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Title of the module</w:t>
      </w:r>
    </w:p>
    <w:p w:rsidR="00110393" w:rsidRPr="00110393" w:rsidRDefault="00C000DE" w:rsidP="00110393">
      <w:pPr>
        <w:spacing w:after="120" w:line="240" w:lineRule="auto"/>
        <w:ind w:left="426" w:right="260"/>
        <w:jc w:val="both"/>
        <w:rPr>
          <w:rFonts w:cs="Arial"/>
        </w:rPr>
      </w:pPr>
      <w:r w:rsidRPr="00C000DE">
        <w:rPr>
          <w:rFonts w:cs="Arial"/>
        </w:rPr>
        <w:t xml:space="preserve">PSYC6450 </w:t>
      </w:r>
      <w:r>
        <w:rPr>
          <w:rFonts w:cs="Arial"/>
        </w:rPr>
        <w:t>(</w:t>
      </w:r>
      <w:r w:rsidR="00110393" w:rsidRPr="00110393">
        <w:rPr>
          <w:rFonts w:cs="Arial"/>
        </w:rPr>
        <w:t>SP645</w:t>
      </w:r>
      <w:r>
        <w:rPr>
          <w:rFonts w:cs="Arial"/>
        </w:rPr>
        <w:t>)</w:t>
      </w:r>
      <w:r w:rsidR="00110393" w:rsidRPr="00110393">
        <w:rPr>
          <w:rFonts w:cs="Arial"/>
        </w:rPr>
        <w:t xml:space="preserve"> Forensic Psychology Reflective Log (Stage 3)</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School or partner institution which will be responsible for management of the module</w:t>
      </w:r>
    </w:p>
    <w:p w:rsidR="00110393" w:rsidRPr="00110393" w:rsidRDefault="00110393" w:rsidP="00110393">
      <w:pPr>
        <w:spacing w:after="120" w:line="240" w:lineRule="auto"/>
        <w:ind w:left="426" w:right="260"/>
        <w:jc w:val="both"/>
        <w:rPr>
          <w:rFonts w:cs="Arial"/>
          <w:iCs/>
        </w:rPr>
      </w:pPr>
      <w:r w:rsidRPr="00110393">
        <w:rPr>
          <w:rFonts w:cs="Arial"/>
          <w:iCs/>
        </w:rPr>
        <w:t xml:space="preserve">School of Psychology </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The level of the module (e.g. Level 4, Level 5, Level 6 or Level 7)</w:t>
      </w:r>
    </w:p>
    <w:p w:rsidR="00110393" w:rsidRPr="00110393" w:rsidRDefault="00110393" w:rsidP="00110393">
      <w:pPr>
        <w:spacing w:after="120" w:line="240" w:lineRule="auto"/>
        <w:ind w:left="426" w:right="260"/>
        <w:jc w:val="both"/>
        <w:rPr>
          <w:rFonts w:cs="Arial"/>
          <w:iCs/>
        </w:rPr>
      </w:pPr>
      <w:r w:rsidRPr="00110393">
        <w:rPr>
          <w:rFonts w:cs="Arial"/>
          <w:iCs/>
        </w:rPr>
        <w:t>Level 4</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 xml:space="preserve">The number of credits and the ECTS value which the module represents </w:t>
      </w:r>
    </w:p>
    <w:p w:rsidR="00110393" w:rsidRPr="00110393" w:rsidRDefault="00110393" w:rsidP="00110393">
      <w:pPr>
        <w:spacing w:after="120" w:line="240" w:lineRule="auto"/>
        <w:ind w:left="426" w:right="260"/>
        <w:jc w:val="both"/>
        <w:rPr>
          <w:rFonts w:cs="Arial"/>
        </w:rPr>
      </w:pPr>
      <w:r w:rsidRPr="00110393">
        <w:rPr>
          <w:rFonts w:cs="Arial"/>
        </w:rPr>
        <w:t>4 (2 ECTS). Non-contributory credits. PASS / FAIL only. Required for progression / award</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Which term(s) the module is to be taught in (or other teaching pattern)</w:t>
      </w:r>
    </w:p>
    <w:p w:rsidR="00110393" w:rsidRPr="00110393" w:rsidRDefault="00110393" w:rsidP="00110393">
      <w:pPr>
        <w:spacing w:after="120" w:line="240" w:lineRule="auto"/>
        <w:ind w:left="426" w:right="260"/>
        <w:jc w:val="both"/>
        <w:rPr>
          <w:rFonts w:cs="Arial"/>
          <w:iCs/>
        </w:rPr>
      </w:pPr>
      <w:r w:rsidRPr="00110393">
        <w:rPr>
          <w:rFonts w:cs="Arial"/>
          <w:iCs/>
        </w:rPr>
        <w:t>Autumn and Spring</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Prerequisite and co-requisite modules</w:t>
      </w:r>
    </w:p>
    <w:p w:rsidR="00110393" w:rsidRPr="00110393" w:rsidRDefault="00110393" w:rsidP="00110393">
      <w:pPr>
        <w:spacing w:after="120" w:line="240" w:lineRule="auto"/>
        <w:ind w:left="426" w:right="260"/>
        <w:rPr>
          <w:rFonts w:cs="Arial"/>
          <w:iCs/>
        </w:rPr>
      </w:pPr>
      <w:r w:rsidRPr="00110393">
        <w:rPr>
          <w:rFonts w:cs="Arial"/>
          <w:iCs/>
        </w:rPr>
        <w:t>None</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The programmes of study to which the module contributes</w:t>
      </w:r>
    </w:p>
    <w:p w:rsidR="00110393" w:rsidRPr="00110393" w:rsidRDefault="00110393" w:rsidP="00110393">
      <w:pPr>
        <w:spacing w:after="120" w:line="240" w:lineRule="auto"/>
        <w:ind w:left="426" w:right="260"/>
        <w:rPr>
          <w:rFonts w:cs="Arial"/>
          <w:iCs/>
        </w:rPr>
      </w:pPr>
      <w:r w:rsidRPr="00110393">
        <w:rPr>
          <w:rFonts w:cs="Arial"/>
          <w:iCs/>
        </w:rPr>
        <w:t>Psychology with Forensic Psychology: COMPULSORY</w:t>
      </w:r>
    </w:p>
    <w:p w:rsidR="00110393" w:rsidRPr="00110393" w:rsidRDefault="00110393" w:rsidP="00110393">
      <w:pPr>
        <w:spacing w:after="120" w:line="240" w:lineRule="auto"/>
        <w:ind w:left="426" w:right="260"/>
        <w:rPr>
          <w:rFonts w:cs="Arial"/>
          <w:iCs/>
        </w:rPr>
      </w:pPr>
      <w:r w:rsidRPr="00110393">
        <w:rPr>
          <w:rFonts w:cs="Arial"/>
          <w:iCs/>
        </w:rPr>
        <w:t xml:space="preserve">Not available wild. </w:t>
      </w:r>
    </w:p>
    <w:p w:rsidR="00110393" w:rsidRPr="00110393" w:rsidRDefault="00110393" w:rsidP="00110393">
      <w:pPr>
        <w:numPr>
          <w:ilvl w:val="0"/>
          <w:numId w:val="1"/>
        </w:numPr>
        <w:spacing w:after="120" w:line="240" w:lineRule="auto"/>
        <w:ind w:left="426" w:right="260" w:hanging="426"/>
        <w:rPr>
          <w:rFonts w:cs="Arial"/>
          <w:b/>
        </w:rPr>
      </w:pPr>
      <w:r w:rsidRPr="00110393">
        <w:rPr>
          <w:rFonts w:cs="Arial"/>
          <w:b/>
        </w:rPr>
        <w:t>The intended subject specific learning outcomes.</w:t>
      </w:r>
      <w:r w:rsidRPr="00110393">
        <w:rPr>
          <w:rFonts w:cs="Arial"/>
          <w:b/>
        </w:rPr>
        <w:br/>
        <w:t>On successfully completing the module students will be able to:</w:t>
      </w: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numPr>
          <w:ilvl w:val="1"/>
          <w:numId w:val="10"/>
        </w:numPr>
        <w:spacing w:before="60" w:after="60" w:line="240" w:lineRule="auto"/>
        <w:ind w:right="-330"/>
        <w:jc w:val="both"/>
        <w:rPr>
          <w:rFonts w:cs="Arial"/>
        </w:rPr>
      </w:pPr>
      <w:r w:rsidRPr="00110393">
        <w:rPr>
          <w:rFonts w:cs="Arial"/>
        </w:rPr>
        <w:t>Adopt multiple perspectives on issues concerning Forensic Psychology, and systematically analyse the relationships between them.</w:t>
      </w:r>
    </w:p>
    <w:p w:rsidR="00110393" w:rsidRPr="00110393" w:rsidRDefault="00110393" w:rsidP="00110393">
      <w:pPr>
        <w:numPr>
          <w:ilvl w:val="1"/>
          <w:numId w:val="10"/>
        </w:numPr>
        <w:spacing w:before="60" w:after="60" w:line="240" w:lineRule="auto"/>
        <w:ind w:right="-330"/>
        <w:jc w:val="both"/>
        <w:rPr>
          <w:rFonts w:cs="Arial"/>
        </w:rPr>
      </w:pPr>
      <w:r w:rsidRPr="00110393">
        <w:rPr>
          <w:rFonts w:cs="Arial"/>
        </w:rPr>
        <w:t>Pose, operationalise and critique research questions.</w:t>
      </w:r>
    </w:p>
    <w:p w:rsidR="00110393" w:rsidRPr="00110393" w:rsidRDefault="00110393" w:rsidP="00110393">
      <w:pPr>
        <w:numPr>
          <w:ilvl w:val="1"/>
          <w:numId w:val="10"/>
        </w:numPr>
        <w:spacing w:before="60" w:after="60" w:line="240" w:lineRule="auto"/>
        <w:ind w:right="-330"/>
        <w:jc w:val="both"/>
        <w:rPr>
          <w:rFonts w:cs="Arial"/>
        </w:rPr>
      </w:pPr>
      <w:r w:rsidRPr="00110393">
        <w:rPr>
          <w:rFonts w:cs="Arial"/>
        </w:rPr>
        <w:t>Present and evaluate research findings</w:t>
      </w:r>
    </w:p>
    <w:p w:rsidR="00110393" w:rsidRPr="00110393" w:rsidRDefault="00110393" w:rsidP="00110393">
      <w:pPr>
        <w:numPr>
          <w:ilvl w:val="0"/>
          <w:numId w:val="1"/>
        </w:numPr>
        <w:spacing w:after="120" w:line="240" w:lineRule="auto"/>
        <w:ind w:left="426" w:right="260" w:hanging="426"/>
        <w:rPr>
          <w:rFonts w:cs="Arial"/>
          <w:b/>
        </w:rPr>
      </w:pPr>
      <w:r w:rsidRPr="00110393">
        <w:rPr>
          <w:rFonts w:cs="Arial"/>
          <w:b/>
        </w:rPr>
        <w:t>The intended generic learning outcomes.</w:t>
      </w:r>
      <w:r w:rsidRPr="00110393">
        <w:rPr>
          <w:rFonts w:cs="Arial"/>
          <w:b/>
        </w:rPr>
        <w:br/>
        <w:t>On successfully completing the module students will be able to:</w:t>
      </w: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1"/>
          <w:numId w:val="11"/>
        </w:numPr>
        <w:spacing w:before="60" w:after="60" w:line="240" w:lineRule="auto"/>
        <w:ind w:right="-330"/>
        <w:jc w:val="both"/>
        <w:rPr>
          <w:rFonts w:cs="Arial"/>
        </w:rPr>
      </w:pPr>
      <w:r w:rsidRPr="00110393">
        <w:rPr>
          <w:rFonts w:cs="Arial"/>
        </w:rPr>
        <w:t>Engage in effective group discussions</w:t>
      </w:r>
    </w:p>
    <w:p w:rsidR="00110393" w:rsidRPr="00110393" w:rsidRDefault="00110393" w:rsidP="00110393">
      <w:pPr>
        <w:pStyle w:val="ListParagraph"/>
        <w:numPr>
          <w:ilvl w:val="1"/>
          <w:numId w:val="11"/>
        </w:numPr>
        <w:spacing w:before="60" w:after="60" w:line="240" w:lineRule="auto"/>
        <w:ind w:right="-330"/>
        <w:jc w:val="both"/>
        <w:rPr>
          <w:rFonts w:cs="Arial"/>
        </w:rPr>
      </w:pPr>
      <w:r w:rsidRPr="00110393">
        <w:rPr>
          <w:rFonts w:cs="Arial"/>
        </w:rPr>
        <w:t xml:space="preserve">Be sensitive to contextual and interpersonal factors </w:t>
      </w:r>
    </w:p>
    <w:p w:rsidR="00110393" w:rsidRPr="00110393" w:rsidRDefault="00110393" w:rsidP="00110393">
      <w:pPr>
        <w:pStyle w:val="ListParagraph"/>
        <w:numPr>
          <w:ilvl w:val="1"/>
          <w:numId w:val="11"/>
        </w:numPr>
        <w:spacing w:before="60" w:after="60" w:line="240" w:lineRule="auto"/>
        <w:ind w:right="-330"/>
        <w:jc w:val="both"/>
        <w:rPr>
          <w:rFonts w:cs="Arial"/>
        </w:rPr>
      </w:pPr>
      <w:r w:rsidRPr="00110393">
        <w:rPr>
          <w:rFonts w:cs="Arial"/>
        </w:rPr>
        <w:t xml:space="preserve">Use effective personal planning and recording to maintain a record of a series of research related activities </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A synopsis of the curriculum</w:t>
      </w:r>
    </w:p>
    <w:p w:rsidR="00110393" w:rsidRPr="00110393" w:rsidRDefault="00110393" w:rsidP="00C000DE">
      <w:pPr>
        <w:pStyle w:val="ListParagraph"/>
        <w:spacing w:before="60" w:after="60" w:line="240" w:lineRule="auto"/>
        <w:ind w:left="450" w:right="-330"/>
        <w:rPr>
          <w:rFonts w:cs="Arial"/>
          <w:iCs/>
        </w:rPr>
      </w:pPr>
      <w:r w:rsidRPr="00110393">
        <w:rPr>
          <w:rFonts w:cs="Arial"/>
          <w:iCs/>
        </w:rPr>
        <w:t xml:space="preserve">Students will attend talks relating to </w:t>
      </w:r>
      <w:r w:rsidR="00A4075A">
        <w:rPr>
          <w:rFonts w:cs="Arial"/>
          <w:iCs/>
        </w:rPr>
        <w:t xml:space="preserve">key </w:t>
      </w:r>
      <w:r w:rsidR="00F75C8B">
        <w:rPr>
          <w:rFonts w:cs="Arial"/>
          <w:iCs/>
        </w:rPr>
        <w:t>topics</w:t>
      </w:r>
      <w:r w:rsidR="00F75C8B" w:rsidRPr="00110393">
        <w:rPr>
          <w:rFonts w:cs="Arial"/>
          <w:iCs/>
        </w:rPr>
        <w:t xml:space="preserve"> </w:t>
      </w:r>
      <w:r w:rsidRPr="00110393">
        <w:rPr>
          <w:rFonts w:cs="Arial"/>
          <w:iCs/>
        </w:rPr>
        <w:t>in Forensic Psychology. These sessions will be facilitated</w:t>
      </w:r>
      <w:r w:rsidR="00A4075A">
        <w:rPr>
          <w:rFonts w:cs="Arial"/>
          <w:iCs/>
        </w:rPr>
        <w:t xml:space="preserve">, and will include </w:t>
      </w:r>
      <w:r w:rsidRPr="00110393">
        <w:rPr>
          <w:rFonts w:cs="Arial"/>
          <w:iCs/>
        </w:rPr>
        <w:t xml:space="preserve">group discussions on the topics. </w:t>
      </w:r>
      <w:r w:rsidR="00A4075A">
        <w:rPr>
          <w:rFonts w:cs="Arial"/>
          <w:iCs/>
        </w:rPr>
        <w:t>Students</w:t>
      </w:r>
      <w:r w:rsidR="00A4075A" w:rsidRPr="00110393">
        <w:rPr>
          <w:rFonts w:cs="Arial"/>
          <w:iCs/>
        </w:rPr>
        <w:t xml:space="preserve"> </w:t>
      </w:r>
      <w:r w:rsidRPr="00110393">
        <w:rPr>
          <w:rFonts w:cs="Arial"/>
          <w:iCs/>
        </w:rPr>
        <w:t>will be required to keep a log book, to keep a record of these discussions. This log book allows the students to have a record of activities for their CV, contributes to employability, and gives practice for similar requirements at MSc level or in pursuing BPS Stage 2 of professional training in Forensic Psychology.</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Reading List (Indicative list, current at time of publication. Reading lists will be published annually)</w:t>
      </w:r>
    </w:p>
    <w:p w:rsidR="00110393" w:rsidRPr="00110393" w:rsidRDefault="00110393" w:rsidP="00110393">
      <w:pPr>
        <w:spacing w:before="60" w:after="60" w:line="240" w:lineRule="auto"/>
        <w:ind w:left="426" w:right="-330"/>
        <w:jc w:val="both"/>
        <w:rPr>
          <w:rFonts w:cs="Arial"/>
        </w:rPr>
      </w:pPr>
      <w:r w:rsidRPr="00110393">
        <w:rPr>
          <w:rFonts w:cs="Arial"/>
        </w:rPr>
        <w:t xml:space="preserve">No core texts are required. However, cutting edge journal articles will be made available for discussion as part of the module. These will be subject to change each year. </w:t>
      </w:r>
    </w:p>
    <w:p w:rsidR="00883204" w:rsidRPr="00110393" w:rsidRDefault="009A2D37" w:rsidP="00696FF5">
      <w:pPr>
        <w:numPr>
          <w:ilvl w:val="0"/>
          <w:numId w:val="1"/>
        </w:numPr>
        <w:spacing w:after="120" w:line="240" w:lineRule="auto"/>
        <w:ind w:left="567" w:right="260" w:hanging="567"/>
        <w:rPr>
          <w:rFonts w:cs="Arial"/>
          <w:iCs/>
        </w:rPr>
      </w:pPr>
      <w:r w:rsidRPr="00110393">
        <w:rPr>
          <w:rFonts w:cs="Arial"/>
          <w:b/>
        </w:rPr>
        <w:t>Learning</w:t>
      </w:r>
      <w:r w:rsidR="00883204" w:rsidRPr="00110393">
        <w:rPr>
          <w:rFonts w:cs="Arial"/>
          <w:b/>
        </w:rPr>
        <w:t xml:space="preserve"> and t</w:t>
      </w:r>
      <w:r w:rsidR="006F3F8B" w:rsidRPr="00110393">
        <w:rPr>
          <w:rFonts w:cs="Arial"/>
          <w:b/>
        </w:rPr>
        <w:t>eaching m</w:t>
      </w:r>
      <w:r w:rsidRPr="00110393">
        <w:rPr>
          <w:rFonts w:cs="Arial"/>
          <w:b/>
        </w:rPr>
        <w:t>ethods</w:t>
      </w:r>
    </w:p>
    <w:p w:rsidR="009A2D37" w:rsidRPr="00110393" w:rsidRDefault="00C57028" w:rsidP="00696FF5">
      <w:pPr>
        <w:spacing w:after="120" w:line="240" w:lineRule="auto"/>
        <w:ind w:left="567" w:right="260"/>
        <w:jc w:val="both"/>
        <w:rPr>
          <w:rFonts w:cs="Arial"/>
          <w:iCs/>
        </w:rPr>
      </w:pPr>
      <w:r w:rsidRPr="00110393">
        <w:rPr>
          <w:rFonts w:cs="Arial"/>
          <w:iCs/>
        </w:rPr>
        <w:t>Total contact hours:</w:t>
      </w:r>
      <w:r w:rsidR="008B7D28" w:rsidRPr="00110393">
        <w:rPr>
          <w:rFonts w:cs="Arial"/>
          <w:iCs/>
        </w:rPr>
        <w:tab/>
      </w:r>
      <w:r w:rsidR="00110393">
        <w:rPr>
          <w:rFonts w:cs="Arial"/>
          <w:iCs/>
        </w:rPr>
        <w:t>12</w:t>
      </w:r>
    </w:p>
    <w:p w:rsidR="00C57028" w:rsidRPr="00110393" w:rsidRDefault="00C57028" w:rsidP="00C57028">
      <w:pPr>
        <w:spacing w:after="120" w:line="240" w:lineRule="auto"/>
        <w:ind w:left="567" w:right="260"/>
        <w:jc w:val="both"/>
        <w:rPr>
          <w:rFonts w:cs="Arial"/>
          <w:iCs/>
        </w:rPr>
      </w:pPr>
      <w:r w:rsidRPr="00110393">
        <w:rPr>
          <w:rFonts w:cs="Arial"/>
          <w:iCs/>
        </w:rPr>
        <w:t>Private study hours:</w:t>
      </w:r>
      <w:r w:rsidR="008B7D28" w:rsidRPr="00110393">
        <w:rPr>
          <w:rFonts w:cs="Arial"/>
          <w:iCs/>
        </w:rPr>
        <w:tab/>
      </w:r>
      <w:r w:rsidR="00110393">
        <w:rPr>
          <w:rFonts w:cs="Arial"/>
          <w:iCs/>
        </w:rPr>
        <w:t>28</w:t>
      </w:r>
    </w:p>
    <w:p w:rsidR="00C57028" w:rsidRPr="00110393" w:rsidRDefault="00C57028" w:rsidP="00C57028">
      <w:pPr>
        <w:spacing w:after="120" w:line="240" w:lineRule="auto"/>
        <w:ind w:left="567" w:right="260"/>
        <w:jc w:val="both"/>
        <w:rPr>
          <w:rFonts w:cs="Arial"/>
          <w:iCs/>
        </w:rPr>
      </w:pPr>
      <w:r w:rsidRPr="00110393">
        <w:rPr>
          <w:rFonts w:cs="Arial"/>
          <w:iCs/>
        </w:rPr>
        <w:t>Total study hours:</w:t>
      </w:r>
      <w:r w:rsidR="008B7D28" w:rsidRPr="00110393">
        <w:rPr>
          <w:rFonts w:cs="Arial"/>
          <w:iCs/>
        </w:rPr>
        <w:tab/>
      </w:r>
      <w:r w:rsidR="00110393">
        <w:rPr>
          <w:rFonts w:cs="Arial"/>
          <w:iCs/>
        </w:rPr>
        <w:t>40</w:t>
      </w:r>
    </w:p>
    <w:p w:rsidR="00C000DE" w:rsidRDefault="00C000DE">
      <w:pPr>
        <w:rPr>
          <w:rFonts w:cs="Arial"/>
          <w:b/>
        </w:rPr>
      </w:pPr>
      <w:r>
        <w:rPr>
          <w:rFonts w:cs="Arial"/>
          <w:b/>
        </w:rPr>
        <w:br w:type="page"/>
      </w:r>
    </w:p>
    <w:p w:rsidR="00883204" w:rsidRPr="00110393" w:rsidRDefault="00EF4933" w:rsidP="00696FF5">
      <w:pPr>
        <w:numPr>
          <w:ilvl w:val="0"/>
          <w:numId w:val="1"/>
        </w:numPr>
        <w:spacing w:after="120" w:line="240" w:lineRule="auto"/>
        <w:ind w:left="567" w:right="260" w:hanging="567"/>
        <w:rPr>
          <w:rFonts w:cs="Arial"/>
          <w:iCs/>
        </w:rPr>
      </w:pPr>
      <w:r w:rsidRPr="00110393">
        <w:rPr>
          <w:rFonts w:cs="Arial"/>
          <w:b/>
        </w:rPr>
        <w:t>Assessment methods</w:t>
      </w:r>
    </w:p>
    <w:p w:rsidR="00696FF5" w:rsidRPr="00110393" w:rsidRDefault="00696FF5" w:rsidP="00696FF5">
      <w:pPr>
        <w:pStyle w:val="ListParagraph"/>
        <w:numPr>
          <w:ilvl w:val="1"/>
          <w:numId w:val="9"/>
        </w:numPr>
        <w:spacing w:after="120"/>
        <w:ind w:left="567" w:hanging="567"/>
        <w:rPr>
          <w:rFonts w:cs="Arial"/>
          <w:iCs/>
        </w:rPr>
      </w:pPr>
      <w:r w:rsidRPr="00110393">
        <w:rPr>
          <w:rFonts w:cs="Arial"/>
          <w:iCs/>
        </w:rPr>
        <w:t>Main assessment methods</w:t>
      </w:r>
    </w:p>
    <w:p w:rsidR="007A6245" w:rsidRPr="00110393" w:rsidRDefault="0021215A" w:rsidP="00696FF5">
      <w:pPr>
        <w:spacing w:after="120" w:line="240" w:lineRule="auto"/>
        <w:ind w:left="567" w:right="260"/>
        <w:jc w:val="both"/>
        <w:rPr>
          <w:rFonts w:cs="Arial"/>
          <w:b/>
          <w:iCs/>
        </w:rPr>
      </w:pPr>
      <w:r>
        <w:rPr>
          <w:rFonts w:cs="Arial"/>
          <w:iCs/>
        </w:rPr>
        <w:t>Pass/Fail Log Book</w:t>
      </w:r>
      <w:r>
        <w:rPr>
          <w:rFonts w:cs="Arial"/>
          <w:iCs/>
        </w:rPr>
        <w:tab/>
      </w:r>
      <w:r>
        <w:rPr>
          <w:rFonts w:cs="Arial"/>
          <w:iCs/>
        </w:rPr>
        <w:tab/>
      </w:r>
      <w:r>
        <w:rPr>
          <w:rFonts w:cs="Arial"/>
          <w:iCs/>
        </w:rPr>
        <w:tab/>
        <w:t>100%</w:t>
      </w:r>
    </w:p>
    <w:p w:rsidR="00696FF5" w:rsidRPr="00110393" w:rsidRDefault="00696FF5" w:rsidP="00696FF5">
      <w:pPr>
        <w:spacing w:after="120"/>
        <w:ind w:left="567" w:hanging="567"/>
        <w:rPr>
          <w:rFonts w:cs="Arial"/>
          <w:iCs/>
        </w:rPr>
      </w:pPr>
      <w:r w:rsidRPr="00110393">
        <w:rPr>
          <w:rFonts w:cs="Arial"/>
          <w:iCs/>
        </w:rPr>
        <w:t>13.2</w:t>
      </w:r>
      <w:r w:rsidRPr="00110393">
        <w:rPr>
          <w:rFonts w:cs="Arial"/>
          <w:iCs/>
        </w:rPr>
        <w:tab/>
        <w:t xml:space="preserve">Reassessment methods </w:t>
      </w:r>
    </w:p>
    <w:p w:rsidR="00696FF5" w:rsidRPr="00110393" w:rsidRDefault="00110393" w:rsidP="00110393">
      <w:pPr>
        <w:spacing w:after="120" w:line="240" w:lineRule="auto"/>
        <w:ind w:left="567" w:right="260"/>
        <w:jc w:val="both"/>
        <w:rPr>
          <w:rFonts w:cs="Arial"/>
          <w:b/>
          <w:iCs/>
        </w:rPr>
      </w:pPr>
      <w:r>
        <w:rPr>
          <w:rFonts w:cs="Arial"/>
          <w:iCs/>
        </w:rPr>
        <w:t xml:space="preserve">Like for Like. </w:t>
      </w:r>
    </w:p>
    <w:p w:rsidR="00274ED7" w:rsidRPr="00110393" w:rsidRDefault="006F3F8B" w:rsidP="00696FF5">
      <w:pPr>
        <w:numPr>
          <w:ilvl w:val="0"/>
          <w:numId w:val="1"/>
        </w:numPr>
        <w:spacing w:after="120" w:line="240" w:lineRule="auto"/>
        <w:ind w:left="567" w:right="261" w:hanging="567"/>
        <w:jc w:val="both"/>
        <w:rPr>
          <w:rFonts w:cs="Arial"/>
          <w:b/>
          <w:iCs/>
        </w:rPr>
      </w:pPr>
      <w:r w:rsidRPr="00110393">
        <w:rPr>
          <w:rFonts w:cs="Arial"/>
          <w:b/>
          <w:iCs/>
        </w:rPr>
        <w:t xml:space="preserve">Map of </w:t>
      </w:r>
      <w:r w:rsidR="00883204" w:rsidRPr="00110393">
        <w:rPr>
          <w:rFonts w:cs="Arial"/>
          <w:b/>
          <w:iCs/>
        </w:rPr>
        <w:t xml:space="preserve">module learning outcomes </w:t>
      </w:r>
      <w:r w:rsidR="00B30E07" w:rsidRPr="00110393">
        <w:rPr>
          <w:rFonts w:cs="Arial"/>
          <w:b/>
          <w:iCs/>
        </w:rPr>
        <w:t>(sections 8 &amp; 9)</w:t>
      </w:r>
      <w:r w:rsidR="00883204" w:rsidRPr="00110393">
        <w:rPr>
          <w:rFonts w:cs="Arial"/>
          <w:b/>
          <w:iCs/>
        </w:rPr>
        <w:t xml:space="preserve"> to l</w:t>
      </w:r>
      <w:r w:rsidRPr="00110393">
        <w:rPr>
          <w:rFonts w:cs="Arial"/>
          <w:b/>
          <w:iCs/>
        </w:rPr>
        <w:t>earning</w:t>
      </w:r>
      <w:r w:rsidR="00B30E07" w:rsidRPr="00110393">
        <w:rPr>
          <w:rFonts w:cs="Arial"/>
          <w:b/>
          <w:iCs/>
        </w:rPr>
        <w:t xml:space="preserve"> and </w:t>
      </w:r>
      <w:r w:rsidR="00883204" w:rsidRPr="00110393">
        <w:rPr>
          <w:rFonts w:cs="Arial"/>
          <w:b/>
          <w:iCs/>
        </w:rPr>
        <w:t>teaching m</w:t>
      </w:r>
      <w:r w:rsidR="00B30E07" w:rsidRPr="00110393">
        <w:rPr>
          <w:rFonts w:cs="Arial"/>
          <w:b/>
          <w:iCs/>
        </w:rPr>
        <w:t>ethods (section12</w:t>
      </w:r>
      <w:r w:rsidRPr="00110393">
        <w:rPr>
          <w:rFonts w:cs="Arial"/>
          <w:b/>
          <w:iCs/>
        </w:rPr>
        <w:t>) and m</w:t>
      </w:r>
      <w:r w:rsidR="00883204" w:rsidRPr="00110393">
        <w:rPr>
          <w:rFonts w:cs="Arial"/>
          <w:b/>
          <w:iCs/>
        </w:rPr>
        <w:t>ethods of a</w:t>
      </w:r>
      <w:r w:rsidR="00B30E07" w:rsidRPr="00110393">
        <w:rPr>
          <w:rFonts w:cs="Arial"/>
          <w:b/>
          <w:iCs/>
        </w:rPr>
        <w:t>ssessment (section 13</w:t>
      </w:r>
      <w:r w:rsidR="00EF4933" w:rsidRPr="00110393">
        <w:rPr>
          <w:rFonts w:cs="Arial"/>
          <w:b/>
          <w:iCs/>
        </w:rPr>
        <w:t>)</w:t>
      </w:r>
    </w:p>
    <w:tbl>
      <w:tblPr>
        <w:tblStyle w:val="TableGrid"/>
        <w:tblW w:w="8640" w:type="dxa"/>
        <w:tblInd w:w="908" w:type="dxa"/>
        <w:tblLayout w:type="fixed"/>
        <w:tblLook w:val="04A0" w:firstRow="1" w:lastRow="0" w:firstColumn="1" w:lastColumn="0" w:noHBand="0" w:noVBand="1"/>
      </w:tblPr>
      <w:tblGrid>
        <w:gridCol w:w="3510"/>
        <w:gridCol w:w="855"/>
        <w:gridCol w:w="855"/>
        <w:gridCol w:w="855"/>
        <w:gridCol w:w="855"/>
        <w:gridCol w:w="855"/>
        <w:gridCol w:w="855"/>
      </w:tblGrid>
      <w:tr w:rsidR="00110393" w:rsidRPr="00DF3330" w:rsidTr="00110393">
        <w:tc>
          <w:tcPr>
            <w:tcW w:w="3510" w:type="dxa"/>
            <w:shd w:val="clear" w:color="auto" w:fill="D9D9D9" w:themeFill="background1" w:themeFillShade="D9"/>
          </w:tcPr>
          <w:p w:rsidR="00110393" w:rsidRPr="00302082" w:rsidRDefault="00110393" w:rsidP="00244C9F">
            <w:pPr>
              <w:spacing w:after="120"/>
              <w:rPr>
                <w:rFonts w:cs="Arial"/>
                <w:i/>
              </w:rPr>
            </w:pPr>
            <w:r w:rsidRPr="00302082">
              <w:rPr>
                <w:rFonts w:cs="Arial"/>
                <w:b/>
              </w:rPr>
              <w:t>Module learning outcome</w:t>
            </w:r>
          </w:p>
        </w:tc>
        <w:tc>
          <w:tcPr>
            <w:tcW w:w="855" w:type="dxa"/>
            <w:vAlign w:val="center"/>
          </w:tcPr>
          <w:p w:rsidR="00110393" w:rsidRPr="00DF3330" w:rsidRDefault="00110393" w:rsidP="00244C9F">
            <w:pPr>
              <w:spacing w:after="120"/>
              <w:jc w:val="center"/>
              <w:rPr>
                <w:rFonts w:cs="Arial"/>
                <w:b/>
                <w:i/>
              </w:rPr>
            </w:pPr>
            <w:r>
              <w:rPr>
                <w:rFonts w:cs="Arial"/>
                <w:b/>
                <w:i/>
              </w:rPr>
              <w:t>8</w:t>
            </w:r>
            <w:r w:rsidRPr="00DF3330">
              <w:rPr>
                <w:rFonts w:cs="Arial"/>
                <w:b/>
                <w:i/>
              </w:rPr>
              <w:t>.1</w:t>
            </w:r>
          </w:p>
        </w:tc>
        <w:tc>
          <w:tcPr>
            <w:tcW w:w="855" w:type="dxa"/>
            <w:vAlign w:val="center"/>
          </w:tcPr>
          <w:p w:rsidR="00110393" w:rsidRPr="00DF3330" w:rsidRDefault="00110393" w:rsidP="00244C9F">
            <w:pPr>
              <w:spacing w:after="120"/>
              <w:jc w:val="center"/>
              <w:rPr>
                <w:rFonts w:cs="Arial"/>
                <w:b/>
                <w:i/>
              </w:rPr>
            </w:pPr>
            <w:r>
              <w:rPr>
                <w:rFonts w:cs="Arial"/>
                <w:b/>
                <w:i/>
              </w:rPr>
              <w:t>8</w:t>
            </w:r>
            <w:r w:rsidRPr="00DF3330">
              <w:rPr>
                <w:rFonts w:cs="Arial"/>
                <w:b/>
                <w:i/>
              </w:rPr>
              <w:t>.2</w:t>
            </w:r>
          </w:p>
        </w:tc>
        <w:tc>
          <w:tcPr>
            <w:tcW w:w="855" w:type="dxa"/>
            <w:vAlign w:val="center"/>
          </w:tcPr>
          <w:p w:rsidR="00110393" w:rsidRPr="00DF3330" w:rsidRDefault="00110393" w:rsidP="00244C9F">
            <w:pPr>
              <w:spacing w:after="120"/>
              <w:jc w:val="center"/>
              <w:rPr>
                <w:rFonts w:cs="Arial"/>
                <w:b/>
                <w:i/>
              </w:rPr>
            </w:pPr>
            <w:r>
              <w:rPr>
                <w:rFonts w:cs="Arial"/>
                <w:b/>
                <w:i/>
              </w:rPr>
              <w:t>8</w:t>
            </w:r>
            <w:r w:rsidRPr="00DF3330">
              <w:rPr>
                <w:rFonts w:cs="Arial"/>
                <w:b/>
                <w:i/>
              </w:rPr>
              <w:t>.3</w:t>
            </w:r>
          </w:p>
        </w:tc>
        <w:tc>
          <w:tcPr>
            <w:tcW w:w="855" w:type="dxa"/>
            <w:vAlign w:val="center"/>
          </w:tcPr>
          <w:p w:rsidR="00110393" w:rsidRPr="00DF3330" w:rsidRDefault="00110393" w:rsidP="00244C9F">
            <w:pPr>
              <w:spacing w:after="120"/>
              <w:jc w:val="center"/>
              <w:rPr>
                <w:rFonts w:cs="Arial"/>
                <w:b/>
                <w:i/>
              </w:rPr>
            </w:pPr>
            <w:r>
              <w:rPr>
                <w:rFonts w:cs="Arial"/>
                <w:b/>
                <w:i/>
              </w:rPr>
              <w:t>9</w:t>
            </w:r>
            <w:r w:rsidRPr="00DF3330">
              <w:rPr>
                <w:rFonts w:cs="Arial"/>
                <w:b/>
                <w:i/>
              </w:rPr>
              <w:t>.1</w:t>
            </w:r>
          </w:p>
        </w:tc>
        <w:tc>
          <w:tcPr>
            <w:tcW w:w="855" w:type="dxa"/>
            <w:vAlign w:val="center"/>
          </w:tcPr>
          <w:p w:rsidR="00110393" w:rsidRPr="00DF3330" w:rsidRDefault="00110393" w:rsidP="00244C9F">
            <w:pPr>
              <w:spacing w:after="120"/>
              <w:jc w:val="center"/>
              <w:rPr>
                <w:rFonts w:cs="Arial"/>
                <w:b/>
                <w:i/>
              </w:rPr>
            </w:pPr>
            <w:r>
              <w:rPr>
                <w:rFonts w:cs="Arial"/>
                <w:b/>
                <w:i/>
              </w:rPr>
              <w:t>9</w:t>
            </w:r>
            <w:r w:rsidRPr="00DF3330">
              <w:rPr>
                <w:rFonts w:cs="Arial"/>
                <w:b/>
                <w:i/>
              </w:rPr>
              <w:t>.2</w:t>
            </w:r>
          </w:p>
        </w:tc>
        <w:tc>
          <w:tcPr>
            <w:tcW w:w="855" w:type="dxa"/>
            <w:vAlign w:val="center"/>
          </w:tcPr>
          <w:p w:rsidR="00110393" w:rsidRPr="00DF3330" w:rsidRDefault="00110393" w:rsidP="00244C9F">
            <w:pPr>
              <w:spacing w:after="120"/>
              <w:jc w:val="center"/>
              <w:rPr>
                <w:rFonts w:cs="Arial"/>
                <w:b/>
                <w:i/>
              </w:rPr>
            </w:pPr>
            <w:r>
              <w:rPr>
                <w:rFonts w:cs="Arial"/>
                <w:b/>
                <w:i/>
              </w:rPr>
              <w:t>9</w:t>
            </w:r>
            <w:r w:rsidRPr="00DF3330">
              <w:rPr>
                <w:rFonts w:cs="Arial"/>
                <w:b/>
                <w:i/>
              </w:rPr>
              <w:t>.3</w:t>
            </w:r>
          </w:p>
        </w:tc>
      </w:tr>
      <w:tr w:rsidR="00110393" w:rsidRPr="00302082" w:rsidTr="006820ED">
        <w:tc>
          <w:tcPr>
            <w:tcW w:w="3510" w:type="dxa"/>
            <w:shd w:val="clear" w:color="auto" w:fill="D9D9D9" w:themeFill="background1" w:themeFillShade="D9"/>
          </w:tcPr>
          <w:p w:rsidR="00110393" w:rsidRPr="00302082" w:rsidRDefault="00110393" w:rsidP="00244C9F">
            <w:pPr>
              <w:spacing w:after="120"/>
              <w:rPr>
                <w:rFonts w:cs="Arial"/>
                <w:b/>
              </w:rPr>
            </w:pPr>
            <w:r w:rsidRPr="00302082">
              <w:rPr>
                <w:rFonts w:cs="Arial"/>
                <w:b/>
              </w:rPr>
              <w:t>Learning</w:t>
            </w:r>
            <w:r>
              <w:rPr>
                <w:rFonts w:cs="Arial"/>
                <w:b/>
              </w:rPr>
              <w:t xml:space="preserve"> </w:t>
            </w:r>
            <w:r w:rsidRPr="00302082">
              <w:rPr>
                <w:rFonts w:cs="Arial"/>
                <w:b/>
              </w:rPr>
              <w:t>/ teaching method</w:t>
            </w: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r>
      <w:tr w:rsidR="00110393" w:rsidRPr="00302082" w:rsidTr="004421F2">
        <w:tc>
          <w:tcPr>
            <w:tcW w:w="3510" w:type="dxa"/>
          </w:tcPr>
          <w:p w:rsidR="00110393" w:rsidRPr="00C000DE" w:rsidRDefault="00A4075A" w:rsidP="00244C9F">
            <w:pPr>
              <w:spacing w:after="120"/>
              <w:rPr>
                <w:rFonts w:cs="Arial"/>
              </w:rPr>
            </w:pPr>
            <w:r w:rsidRPr="00C000DE">
              <w:rPr>
                <w:rFonts w:cs="Arial"/>
                <w:iCs/>
              </w:rPr>
              <w:t>D</w:t>
            </w:r>
            <w:r w:rsidR="00110393" w:rsidRPr="00C000DE">
              <w:rPr>
                <w:rFonts w:cs="Arial"/>
                <w:iCs/>
              </w:rPr>
              <w:t>iscussion forums</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r>
      <w:tr w:rsidR="00110393" w:rsidRPr="00302082" w:rsidTr="00E97E21">
        <w:tc>
          <w:tcPr>
            <w:tcW w:w="3510" w:type="dxa"/>
          </w:tcPr>
          <w:p w:rsidR="00110393" w:rsidRPr="00302082" w:rsidRDefault="00110393" w:rsidP="00244C9F">
            <w:pPr>
              <w:spacing w:after="120"/>
              <w:rPr>
                <w:rFonts w:cs="Arial"/>
                <w:i/>
              </w:rPr>
            </w:pPr>
            <w:r>
              <w:rPr>
                <w:rFonts w:cs="Arial"/>
              </w:rPr>
              <w:t>Private study</w:t>
            </w: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r>
              <w:rPr>
                <w:rFonts w:cs="Arial"/>
                <w:b/>
              </w:rPr>
              <w:t>X</w:t>
            </w:r>
          </w:p>
        </w:tc>
      </w:tr>
      <w:tr w:rsidR="00110393" w:rsidRPr="00302082" w:rsidTr="00110393">
        <w:tc>
          <w:tcPr>
            <w:tcW w:w="8640" w:type="dxa"/>
            <w:gridSpan w:val="7"/>
            <w:shd w:val="clear" w:color="auto" w:fill="D9D9D9" w:themeFill="background1" w:themeFillShade="D9"/>
            <w:vAlign w:val="center"/>
          </w:tcPr>
          <w:p w:rsidR="00110393" w:rsidRPr="00302082" w:rsidRDefault="00110393" w:rsidP="00244C9F">
            <w:pPr>
              <w:spacing w:after="120"/>
              <w:rPr>
                <w:rFonts w:cs="Arial"/>
                <w:b/>
              </w:rPr>
            </w:pPr>
            <w:r w:rsidRPr="00302082">
              <w:rPr>
                <w:rFonts w:cs="Arial"/>
                <w:b/>
              </w:rPr>
              <w:t>Assessment method</w:t>
            </w:r>
          </w:p>
        </w:tc>
      </w:tr>
      <w:tr w:rsidR="00110393" w:rsidRPr="00302082" w:rsidTr="00110393">
        <w:tc>
          <w:tcPr>
            <w:tcW w:w="3510" w:type="dxa"/>
          </w:tcPr>
          <w:p w:rsidR="00110393" w:rsidRPr="00302082" w:rsidRDefault="00110393" w:rsidP="00244C9F">
            <w:pPr>
              <w:spacing w:after="120"/>
              <w:rPr>
                <w:rFonts w:cs="Arial"/>
                <w:i/>
              </w:rPr>
            </w:pPr>
            <w:r>
              <w:rPr>
                <w:rFonts w:cs="Arial"/>
                <w:i/>
              </w:rPr>
              <w:t>Logbook</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r>
    </w:tbl>
    <w:p w:rsidR="007A6245" w:rsidRPr="00110393" w:rsidRDefault="007A6245" w:rsidP="00302082">
      <w:pPr>
        <w:spacing w:after="120" w:line="240" w:lineRule="auto"/>
        <w:ind w:left="426" w:right="260"/>
        <w:rPr>
          <w:rFonts w:cs="Arial"/>
          <w:b/>
          <w:iCs/>
        </w:rPr>
      </w:pPr>
    </w:p>
    <w:p w:rsidR="00883204" w:rsidRPr="00110393" w:rsidRDefault="00883204" w:rsidP="00696FF5">
      <w:pPr>
        <w:numPr>
          <w:ilvl w:val="0"/>
          <w:numId w:val="1"/>
        </w:numPr>
        <w:spacing w:after="120" w:line="240" w:lineRule="auto"/>
        <w:ind w:left="567" w:right="260" w:hanging="567"/>
        <w:jc w:val="both"/>
        <w:rPr>
          <w:rFonts w:cs="Arial"/>
          <w:iCs/>
        </w:rPr>
      </w:pPr>
      <w:r w:rsidRPr="00110393">
        <w:rPr>
          <w:rFonts w:cs="Arial"/>
          <w:b/>
          <w:bCs/>
        </w:rPr>
        <w:t xml:space="preserve">Inclusive module design </w:t>
      </w:r>
    </w:p>
    <w:p w:rsidR="00883204" w:rsidRPr="00110393" w:rsidRDefault="00883204" w:rsidP="00696FF5">
      <w:pPr>
        <w:autoSpaceDE w:val="0"/>
        <w:autoSpaceDN w:val="0"/>
        <w:adjustRightInd w:val="0"/>
        <w:spacing w:after="120" w:line="240" w:lineRule="auto"/>
        <w:ind w:left="567" w:right="260"/>
        <w:jc w:val="both"/>
        <w:rPr>
          <w:rFonts w:cs="Arial"/>
        </w:rPr>
      </w:pPr>
      <w:r w:rsidRPr="00110393">
        <w:rPr>
          <w:rFonts w:cs="Arial"/>
        </w:rPr>
        <w:t xml:space="preserve">The </w:t>
      </w:r>
      <w:r w:rsidR="008B7D28" w:rsidRPr="00110393">
        <w:rPr>
          <w:rFonts w:cs="Arial"/>
        </w:rPr>
        <w:t>School</w:t>
      </w:r>
      <w:r w:rsidRPr="00110393">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110393" w:rsidRDefault="00883204" w:rsidP="00696FF5">
      <w:pPr>
        <w:autoSpaceDE w:val="0"/>
        <w:autoSpaceDN w:val="0"/>
        <w:adjustRightInd w:val="0"/>
        <w:spacing w:after="120" w:line="240" w:lineRule="auto"/>
        <w:ind w:left="567" w:right="260"/>
        <w:jc w:val="both"/>
        <w:rPr>
          <w:rFonts w:cs="Arial"/>
        </w:rPr>
      </w:pPr>
      <w:r w:rsidRPr="00110393">
        <w:rPr>
          <w:rFonts w:cs="Arial"/>
        </w:rPr>
        <w:lastRenderedPageBreak/>
        <w:t>The inclusive practices in the guidance (see Annex B Appendix A) have been considered in order to support all students in the following areas:</w:t>
      </w:r>
    </w:p>
    <w:p w:rsidR="00883204" w:rsidRPr="00110393" w:rsidRDefault="00883204" w:rsidP="00696FF5">
      <w:pPr>
        <w:autoSpaceDE w:val="0"/>
        <w:autoSpaceDN w:val="0"/>
        <w:adjustRightInd w:val="0"/>
        <w:spacing w:after="120" w:line="240" w:lineRule="auto"/>
        <w:ind w:left="567" w:right="260"/>
        <w:jc w:val="both"/>
        <w:rPr>
          <w:rFonts w:cs="Arial"/>
          <w:bCs/>
        </w:rPr>
      </w:pPr>
      <w:r w:rsidRPr="00110393">
        <w:rPr>
          <w:rFonts w:cs="Arial"/>
        </w:rPr>
        <w:t xml:space="preserve">a) </w:t>
      </w:r>
      <w:r w:rsidRPr="00110393">
        <w:rPr>
          <w:rFonts w:cs="Arial"/>
          <w:bCs/>
        </w:rPr>
        <w:t>Accessible resources and curriculum</w:t>
      </w:r>
    </w:p>
    <w:p w:rsidR="00883204" w:rsidRPr="00110393" w:rsidRDefault="00883204" w:rsidP="00696FF5">
      <w:pPr>
        <w:tabs>
          <w:tab w:val="left" w:pos="567"/>
        </w:tabs>
        <w:autoSpaceDE w:val="0"/>
        <w:autoSpaceDN w:val="0"/>
        <w:adjustRightInd w:val="0"/>
        <w:spacing w:after="120" w:line="240" w:lineRule="auto"/>
        <w:ind w:left="567" w:right="260"/>
        <w:jc w:val="both"/>
        <w:rPr>
          <w:rFonts w:cs="Arial"/>
          <w:color w:val="000000"/>
        </w:rPr>
      </w:pPr>
      <w:r w:rsidRPr="00110393">
        <w:rPr>
          <w:rFonts w:cs="Arial"/>
        </w:rPr>
        <w:t xml:space="preserve">b) </w:t>
      </w:r>
      <w:r w:rsidRPr="00110393">
        <w:rPr>
          <w:rFonts w:cs="Arial"/>
          <w:bCs/>
        </w:rPr>
        <w:t>Learning</w:t>
      </w:r>
      <w:r w:rsidR="00BB2045" w:rsidRPr="00110393">
        <w:rPr>
          <w:rFonts w:cs="Arial"/>
          <w:bCs/>
        </w:rPr>
        <w:t>,</w:t>
      </w:r>
      <w:r w:rsidRPr="00110393">
        <w:rPr>
          <w:rFonts w:cs="Arial"/>
          <w:bCs/>
        </w:rPr>
        <w:t xml:space="preserve"> teaching and assessment methods</w:t>
      </w:r>
    </w:p>
    <w:p w:rsidR="009A2D37" w:rsidRPr="00110393" w:rsidRDefault="00883204" w:rsidP="00696FF5">
      <w:pPr>
        <w:numPr>
          <w:ilvl w:val="0"/>
          <w:numId w:val="1"/>
        </w:numPr>
        <w:spacing w:after="120" w:line="240" w:lineRule="auto"/>
        <w:ind w:left="567" w:right="260" w:hanging="567"/>
        <w:jc w:val="both"/>
        <w:rPr>
          <w:rFonts w:cs="Arial"/>
          <w:b/>
        </w:rPr>
      </w:pPr>
      <w:r w:rsidRPr="00110393">
        <w:rPr>
          <w:rFonts w:cs="Arial"/>
          <w:b/>
        </w:rPr>
        <w:t>Campus(</w:t>
      </w:r>
      <w:proofErr w:type="spellStart"/>
      <w:r w:rsidRPr="00110393">
        <w:rPr>
          <w:rFonts w:cs="Arial"/>
          <w:b/>
        </w:rPr>
        <w:t>es</w:t>
      </w:r>
      <w:proofErr w:type="spellEnd"/>
      <w:r w:rsidRPr="00110393">
        <w:rPr>
          <w:rFonts w:cs="Arial"/>
          <w:b/>
        </w:rPr>
        <w:t>) or c</w:t>
      </w:r>
      <w:r w:rsidR="009A2D37" w:rsidRPr="00110393">
        <w:rPr>
          <w:rFonts w:cs="Arial"/>
          <w:b/>
        </w:rPr>
        <w:t>entre(s)</w:t>
      </w:r>
      <w:r w:rsidRPr="00110393">
        <w:rPr>
          <w:rFonts w:cs="Arial"/>
          <w:b/>
        </w:rPr>
        <w:t xml:space="preserve"> where module will be delivered</w:t>
      </w:r>
    </w:p>
    <w:p w:rsidR="009A2D37" w:rsidRPr="00110393" w:rsidRDefault="008B7D28" w:rsidP="00696FF5">
      <w:pPr>
        <w:spacing w:after="120" w:line="240" w:lineRule="auto"/>
        <w:ind w:left="567" w:right="260"/>
        <w:jc w:val="both"/>
        <w:rPr>
          <w:rFonts w:cs="Arial"/>
          <w:b/>
        </w:rPr>
      </w:pPr>
      <w:r w:rsidRPr="00110393">
        <w:rPr>
          <w:rFonts w:cs="Arial"/>
        </w:rPr>
        <w:t>Canterbury</w:t>
      </w:r>
    </w:p>
    <w:p w:rsidR="008B7D28" w:rsidRPr="00110393" w:rsidRDefault="00883204" w:rsidP="008B7D28">
      <w:pPr>
        <w:numPr>
          <w:ilvl w:val="0"/>
          <w:numId w:val="1"/>
        </w:numPr>
        <w:spacing w:after="120" w:line="240" w:lineRule="auto"/>
        <w:ind w:left="567" w:right="261" w:hanging="568"/>
        <w:jc w:val="both"/>
        <w:rPr>
          <w:rFonts w:cs="Arial"/>
          <w:b/>
        </w:rPr>
      </w:pPr>
      <w:r w:rsidRPr="00110393">
        <w:rPr>
          <w:rFonts w:cs="Arial"/>
          <w:b/>
        </w:rPr>
        <w:t xml:space="preserve">Internationalisation </w:t>
      </w:r>
    </w:p>
    <w:p w:rsidR="008B7D28" w:rsidRPr="00110393" w:rsidRDefault="008B7D28" w:rsidP="008B7D28">
      <w:pPr>
        <w:spacing w:after="120" w:line="240" w:lineRule="auto"/>
        <w:ind w:left="567" w:right="261"/>
        <w:jc w:val="both"/>
        <w:rPr>
          <w:rFonts w:cs="Arial"/>
          <w:b/>
        </w:rPr>
      </w:pPr>
      <w:r w:rsidRPr="00110393">
        <w:rPr>
          <w:rFonts w:cs="Arial"/>
        </w:rPr>
        <w:t xml:space="preserve">This module covers worldwide expertise on the subject matter, and encourages students to review content from a breadth of sources, both domestic and international.  </w:t>
      </w:r>
    </w:p>
    <w:p w:rsidR="00641D6D" w:rsidRPr="00110393" w:rsidRDefault="00641D6D" w:rsidP="00302082">
      <w:pPr>
        <w:pBdr>
          <w:bottom w:val="single" w:sz="6" w:space="1" w:color="auto"/>
        </w:pBdr>
        <w:spacing w:after="120" w:line="240" w:lineRule="auto"/>
        <w:ind w:right="260"/>
        <w:rPr>
          <w:rFonts w:cs="Arial"/>
        </w:rPr>
      </w:pPr>
    </w:p>
    <w:p w:rsidR="00441E76" w:rsidRPr="00110393" w:rsidRDefault="00422B69" w:rsidP="00302082">
      <w:pPr>
        <w:spacing w:after="120" w:line="240" w:lineRule="auto"/>
        <w:ind w:right="260"/>
        <w:rPr>
          <w:rFonts w:cs="Arial"/>
          <w:b/>
          <w:sz w:val="20"/>
        </w:rPr>
      </w:pPr>
      <w:r w:rsidRPr="00110393">
        <w:rPr>
          <w:rFonts w:cs="Arial"/>
          <w:b/>
          <w:sz w:val="20"/>
        </w:rPr>
        <w:t>FACULTIES SUPPORT OFFICE</w:t>
      </w:r>
      <w:r w:rsidR="00441E76" w:rsidRPr="00110393">
        <w:rPr>
          <w:rFonts w:cs="Arial"/>
          <w:b/>
          <w:sz w:val="20"/>
        </w:rPr>
        <w:t xml:space="preserve"> USE ONLY</w:t>
      </w:r>
      <w:r w:rsidR="00C612A8" w:rsidRPr="00110393">
        <w:rPr>
          <w:rFonts w:cs="Arial"/>
          <w:b/>
          <w:sz w:val="20"/>
        </w:rPr>
        <w:t xml:space="preserve"> </w:t>
      </w:r>
    </w:p>
    <w:p w:rsidR="00D83563" w:rsidRPr="00110393" w:rsidRDefault="00D83563" w:rsidP="00302082">
      <w:pPr>
        <w:spacing w:after="120" w:line="240" w:lineRule="auto"/>
        <w:ind w:right="260"/>
        <w:rPr>
          <w:rFonts w:cs="Arial"/>
          <w:b/>
          <w:sz w:val="20"/>
        </w:rPr>
      </w:pPr>
      <w:r w:rsidRPr="00110393">
        <w:rPr>
          <w:rFonts w:cs="Arial"/>
          <w:b/>
          <w:sz w:val="20"/>
        </w:rPr>
        <w:t>Revision record – all revisions must be recorded in the grid and full details of the change retained in the appropriate committee records.</w:t>
      </w:r>
    </w:p>
    <w:p w:rsidR="00422B69" w:rsidRPr="00110393"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10393" w:rsidTr="00694309">
        <w:trPr>
          <w:trHeight w:val="317"/>
        </w:trPr>
        <w:tc>
          <w:tcPr>
            <w:tcW w:w="1526" w:type="dxa"/>
          </w:tcPr>
          <w:p w:rsidR="00422B69" w:rsidRPr="00110393" w:rsidRDefault="00422B69" w:rsidP="00302082">
            <w:pPr>
              <w:spacing w:after="120"/>
              <w:ind w:right="-330"/>
              <w:rPr>
                <w:rFonts w:cs="Arial"/>
                <w:sz w:val="18"/>
              </w:rPr>
            </w:pPr>
            <w:r w:rsidRPr="00110393">
              <w:rPr>
                <w:rFonts w:cs="Arial"/>
                <w:sz w:val="18"/>
              </w:rPr>
              <w:t>Date approved</w:t>
            </w:r>
          </w:p>
        </w:tc>
        <w:tc>
          <w:tcPr>
            <w:tcW w:w="1701" w:type="dxa"/>
          </w:tcPr>
          <w:p w:rsidR="00422B69" w:rsidRPr="00110393" w:rsidRDefault="00422B69" w:rsidP="00302082">
            <w:pPr>
              <w:spacing w:after="120"/>
              <w:rPr>
                <w:rFonts w:cs="Arial"/>
                <w:sz w:val="18"/>
              </w:rPr>
            </w:pPr>
            <w:r w:rsidRPr="00110393">
              <w:rPr>
                <w:rFonts w:cs="Arial"/>
                <w:sz w:val="18"/>
              </w:rPr>
              <w:t>Major/minor revision</w:t>
            </w:r>
          </w:p>
        </w:tc>
        <w:tc>
          <w:tcPr>
            <w:tcW w:w="2410" w:type="dxa"/>
          </w:tcPr>
          <w:p w:rsidR="00422B69" w:rsidRPr="00110393" w:rsidRDefault="00422B69" w:rsidP="00302082">
            <w:pPr>
              <w:spacing w:after="120"/>
              <w:ind w:right="-34"/>
              <w:rPr>
                <w:rFonts w:cs="Arial"/>
                <w:sz w:val="18"/>
              </w:rPr>
            </w:pPr>
            <w:r w:rsidRPr="00110393">
              <w:rPr>
                <w:rFonts w:cs="Arial"/>
                <w:sz w:val="18"/>
              </w:rPr>
              <w:t>Start date of the delivery of  revised version</w:t>
            </w:r>
          </w:p>
        </w:tc>
        <w:tc>
          <w:tcPr>
            <w:tcW w:w="2448" w:type="dxa"/>
          </w:tcPr>
          <w:p w:rsidR="00422B69" w:rsidRPr="00110393" w:rsidRDefault="00422B69" w:rsidP="00302082">
            <w:pPr>
              <w:spacing w:after="120"/>
              <w:ind w:right="-330"/>
              <w:rPr>
                <w:rFonts w:cs="Arial"/>
                <w:sz w:val="18"/>
              </w:rPr>
            </w:pPr>
            <w:r w:rsidRPr="00110393">
              <w:rPr>
                <w:rFonts w:cs="Arial"/>
                <w:sz w:val="18"/>
              </w:rPr>
              <w:t>Section revised</w:t>
            </w:r>
          </w:p>
        </w:tc>
        <w:tc>
          <w:tcPr>
            <w:tcW w:w="2597" w:type="dxa"/>
          </w:tcPr>
          <w:p w:rsidR="00422B69" w:rsidRPr="00110393" w:rsidRDefault="00422B69" w:rsidP="00302082">
            <w:pPr>
              <w:spacing w:after="120"/>
              <w:ind w:right="-330"/>
              <w:rPr>
                <w:rFonts w:cs="Arial"/>
                <w:sz w:val="18"/>
              </w:rPr>
            </w:pPr>
            <w:r w:rsidRPr="00110393">
              <w:rPr>
                <w:rFonts w:cs="Arial"/>
                <w:sz w:val="18"/>
              </w:rPr>
              <w:t>Impacts PLOs</w:t>
            </w:r>
            <w:r w:rsidR="00694309" w:rsidRPr="00110393">
              <w:rPr>
                <w:rFonts w:cs="Arial"/>
                <w:sz w:val="18"/>
              </w:rPr>
              <w:t xml:space="preserve"> (</w:t>
            </w:r>
            <w:r w:rsidR="001A425B" w:rsidRPr="00110393">
              <w:rPr>
                <w:rFonts w:cs="Arial"/>
                <w:sz w:val="18"/>
              </w:rPr>
              <w:t>Q6&amp;7 cover sheet)</w:t>
            </w:r>
          </w:p>
        </w:tc>
      </w:tr>
      <w:tr w:rsidR="00302082" w:rsidRPr="00110393" w:rsidTr="00694309">
        <w:trPr>
          <w:trHeight w:val="305"/>
        </w:trPr>
        <w:tc>
          <w:tcPr>
            <w:tcW w:w="1526" w:type="dxa"/>
          </w:tcPr>
          <w:p w:rsidR="00422B69" w:rsidRPr="00110393" w:rsidRDefault="00422B69" w:rsidP="00302082">
            <w:pPr>
              <w:spacing w:after="120"/>
              <w:ind w:right="-330"/>
              <w:rPr>
                <w:rFonts w:cs="Arial"/>
              </w:rPr>
            </w:pPr>
          </w:p>
        </w:tc>
        <w:tc>
          <w:tcPr>
            <w:tcW w:w="1701" w:type="dxa"/>
          </w:tcPr>
          <w:p w:rsidR="00422B69" w:rsidRPr="00110393" w:rsidRDefault="00422B69" w:rsidP="00302082">
            <w:pPr>
              <w:spacing w:after="120"/>
              <w:ind w:right="-330"/>
              <w:rPr>
                <w:rFonts w:cs="Arial"/>
              </w:rPr>
            </w:pPr>
          </w:p>
        </w:tc>
        <w:tc>
          <w:tcPr>
            <w:tcW w:w="2410" w:type="dxa"/>
          </w:tcPr>
          <w:p w:rsidR="00422B69" w:rsidRPr="00110393" w:rsidRDefault="00422B69" w:rsidP="00302082">
            <w:pPr>
              <w:spacing w:after="120"/>
              <w:ind w:right="-330"/>
              <w:rPr>
                <w:rFonts w:cs="Arial"/>
              </w:rPr>
            </w:pPr>
          </w:p>
        </w:tc>
        <w:tc>
          <w:tcPr>
            <w:tcW w:w="2448" w:type="dxa"/>
          </w:tcPr>
          <w:p w:rsidR="00422B69" w:rsidRPr="00110393" w:rsidRDefault="00422B69" w:rsidP="00302082">
            <w:pPr>
              <w:spacing w:after="120"/>
              <w:ind w:right="-330"/>
              <w:rPr>
                <w:rFonts w:cs="Arial"/>
              </w:rPr>
            </w:pPr>
          </w:p>
        </w:tc>
        <w:tc>
          <w:tcPr>
            <w:tcW w:w="2597" w:type="dxa"/>
          </w:tcPr>
          <w:p w:rsidR="00422B69" w:rsidRPr="00110393" w:rsidRDefault="00422B69" w:rsidP="00302082">
            <w:pPr>
              <w:spacing w:after="120"/>
              <w:ind w:right="-330"/>
              <w:rPr>
                <w:rFonts w:cs="Arial"/>
              </w:rPr>
            </w:pPr>
          </w:p>
        </w:tc>
      </w:tr>
      <w:tr w:rsidR="00302082" w:rsidRPr="00110393" w:rsidTr="00694309">
        <w:trPr>
          <w:trHeight w:val="305"/>
        </w:trPr>
        <w:tc>
          <w:tcPr>
            <w:tcW w:w="1526" w:type="dxa"/>
          </w:tcPr>
          <w:p w:rsidR="00422B69" w:rsidRPr="00110393" w:rsidRDefault="00422B69" w:rsidP="00302082">
            <w:pPr>
              <w:spacing w:after="120"/>
              <w:ind w:right="-330"/>
              <w:rPr>
                <w:rFonts w:cs="Arial"/>
              </w:rPr>
            </w:pPr>
          </w:p>
        </w:tc>
        <w:tc>
          <w:tcPr>
            <w:tcW w:w="1701" w:type="dxa"/>
          </w:tcPr>
          <w:p w:rsidR="00422B69" w:rsidRPr="00110393" w:rsidRDefault="00422B69" w:rsidP="00302082">
            <w:pPr>
              <w:spacing w:after="120"/>
              <w:ind w:right="-330"/>
              <w:rPr>
                <w:rFonts w:cs="Arial"/>
              </w:rPr>
            </w:pPr>
          </w:p>
        </w:tc>
        <w:tc>
          <w:tcPr>
            <w:tcW w:w="2410" w:type="dxa"/>
          </w:tcPr>
          <w:p w:rsidR="00422B69" w:rsidRPr="00110393" w:rsidRDefault="00422B69" w:rsidP="00302082">
            <w:pPr>
              <w:spacing w:after="120"/>
              <w:ind w:right="-330"/>
              <w:rPr>
                <w:rFonts w:cs="Arial"/>
              </w:rPr>
            </w:pPr>
          </w:p>
        </w:tc>
        <w:tc>
          <w:tcPr>
            <w:tcW w:w="2448" w:type="dxa"/>
          </w:tcPr>
          <w:p w:rsidR="00422B69" w:rsidRPr="00110393" w:rsidRDefault="00422B69" w:rsidP="00302082">
            <w:pPr>
              <w:spacing w:after="120"/>
              <w:ind w:right="-330"/>
              <w:rPr>
                <w:rFonts w:cs="Arial"/>
              </w:rPr>
            </w:pPr>
          </w:p>
        </w:tc>
        <w:tc>
          <w:tcPr>
            <w:tcW w:w="2597" w:type="dxa"/>
          </w:tcPr>
          <w:p w:rsidR="00422B69" w:rsidRPr="00110393" w:rsidRDefault="00422B69" w:rsidP="00302082">
            <w:pPr>
              <w:spacing w:after="120"/>
              <w:ind w:right="-330"/>
              <w:rPr>
                <w:rFonts w:cs="Arial"/>
              </w:rPr>
            </w:pPr>
          </w:p>
        </w:tc>
      </w:tr>
    </w:tbl>
    <w:p w:rsidR="00D83563" w:rsidRPr="00110393" w:rsidRDefault="00D83563" w:rsidP="00302082">
      <w:pPr>
        <w:spacing w:after="120" w:line="240" w:lineRule="auto"/>
        <w:ind w:right="-330"/>
        <w:rPr>
          <w:rFonts w:cs="Arial"/>
        </w:rPr>
      </w:pPr>
    </w:p>
    <w:p w:rsidR="00C57028" w:rsidRPr="0011039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110393">
        <w:rPr>
          <w:rFonts w:cs="Arial"/>
        </w:rPr>
        <w:t>Revised FSO Jan 2018</w:t>
      </w:r>
      <w:bookmarkStart w:id="0" w:name="_GoBack"/>
      <w:bookmarkEnd w:id="0"/>
    </w:p>
    <w:sectPr w:rsidR="00C57028" w:rsidRPr="0011039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F0" w:rsidRDefault="00A676F0" w:rsidP="009A2D37">
      <w:pPr>
        <w:spacing w:after="0" w:line="240" w:lineRule="auto"/>
      </w:pPr>
      <w:r>
        <w:separator/>
      </w:r>
    </w:p>
  </w:endnote>
  <w:endnote w:type="continuationSeparator" w:id="0">
    <w:p w:rsidR="00A676F0" w:rsidRDefault="00A676F0" w:rsidP="009A2D37">
      <w:pPr>
        <w:spacing w:after="0" w:line="240" w:lineRule="auto"/>
      </w:pPr>
      <w:r>
        <w:continuationSeparator/>
      </w:r>
    </w:p>
  </w:endnote>
  <w:endnote w:type="continuationNotice" w:id="1">
    <w:p w:rsidR="00A676F0" w:rsidRDefault="00A6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000DE">
          <w:rPr>
            <w:noProof/>
          </w:rPr>
          <w:t>2</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F0" w:rsidRDefault="00A676F0" w:rsidP="009A2D37">
      <w:pPr>
        <w:spacing w:after="0" w:line="240" w:lineRule="auto"/>
      </w:pPr>
      <w:r>
        <w:separator/>
      </w:r>
    </w:p>
  </w:footnote>
  <w:footnote w:type="continuationSeparator" w:id="0">
    <w:p w:rsidR="00A676F0" w:rsidRDefault="00A676F0" w:rsidP="009A2D37">
      <w:pPr>
        <w:spacing w:after="0" w:line="240" w:lineRule="auto"/>
      </w:pPr>
      <w:r>
        <w:continuationSeparator/>
      </w:r>
    </w:p>
  </w:footnote>
  <w:footnote w:type="continuationNotice" w:id="1">
    <w:p w:rsidR="00A676F0" w:rsidRDefault="00A676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41692079" wp14:editId="416920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4169207B" wp14:editId="4169207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2D0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583D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5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5A75"/>
    <w:rsid w:val="000E20C1"/>
    <w:rsid w:val="000E3B73"/>
    <w:rsid w:val="000F6C56"/>
    <w:rsid w:val="000F7FBF"/>
    <w:rsid w:val="00106BE5"/>
    <w:rsid w:val="00110393"/>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215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33C"/>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359"/>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10D8"/>
    <w:rsid w:val="00A1270E"/>
    <w:rsid w:val="00A15342"/>
    <w:rsid w:val="00A3007E"/>
    <w:rsid w:val="00A32048"/>
    <w:rsid w:val="00A4075A"/>
    <w:rsid w:val="00A41F06"/>
    <w:rsid w:val="00A50FD4"/>
    <w:rsid w:val="00A52DB4"/>
    <w:rsid w:val="00A618E1"/>
    <w:rsid w:val="00A629B9"/>
    <w:rsid w:val="00A676F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29D"/>
    <w:rsid w:val="00BC19F7"/>
    <w:rsid w:val="00BC41ED"/>
    <w:rsid w:val="00BD009E"/>
    <w:rsid w:val="00BD0EF8"/>
    <w:rsid w:val="00BD7A8C"/>
    <w:rsid w:val="00BE2126"/>
    <w:rsid w:val="00BE3B17"/>
    <w:rsid w:val="00BF51AB"/>
    <w:rsid w:val="00BF716B"/>
    <w:rsid w:val="00BF7233"/>
    <w:rsid w:val="00C000DE"/>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5C8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173CC9-6FB8-471E-8DF1-3ABE3C46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7898-3B03-47A2-AE96-3F4F9C35A63F}">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f2b9e05-657a-4dc1-8c6c-679bdea18f38"/>
    <ds:schemaRef ds:uri="http://purl.org/dc/dcmitype/"/>
  </ds:schemaRefs>
</ds:datastoreItem>
</file>

<file path=customXml/itemProps2.xml><?xml version="1.0" encoding="utf-8"?>
<ds:datastoreItem xmlns:ds="http://schemas.openxmlformats.org/officeDocument/2006/customXml" ds:itemID="{7D887D20-66E7-4515-AF0A-34610B21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E3DBA-8001-4667-9EF0-BCC6C39BDB5F}"/>
</file>

<file path=customXml/itemProps4.xml><?xml version="1.0" encoding="utf-8"?>
<ds:datastoreItem xmlns:ds="http://schemas.openxmlformats.org/officeDocument/2006/customXml" ds:itemID="{75068C9C-57CF-43B4-95FA-DEEF8D1F998D}">
  <ds:schemaRefs>
    <ds:schemaRef ds:uri="http://schemas.microsoft.com/sharepoint/v3/contenttype/forms"/>
  </ds:schemaRefs>
</ds:datastoreItem>
</file>

<file path=customXml/itemProps5.xml><?xml version="1.0" encoding="utf-8"?>
<ds:datastoreItem xmlns:ds="http://schemas.openxmlformats.org/officeDocument/2006/customXml" ds:itemID="{F697B233-1383-4373-9B31-5C1776D4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R.G.Rowe</cp:lastModifiedBy>
  <cp:revision>2</cp:revision>
  <cp:lastPrinted>2015-09-09T08:37:00Z</cp:lastPrinted>
  <dcterms:created xsi:type="dcterms:W3CDTF">2018-10-18T10:02:00Z</dcterms:created>
  <dcterms:modified xsi:type="dcterms:W3CDTF">2018-10-18T10:02:00Z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3f22e47d-d018-4a68-9be2-f343ca20730e</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