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219A"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2CDB93" w14:textId="77777777" w:rsidR="00665D1C" w:rsidRPr="00836D37" w:rsidRDefault="00665D1C" w:rsidP="00665D1C">
      <w:pPr>
        <w:spacing w:after="120" w:line="240" w:lineRule="auto"/>
        <w:ind w:left="562" w:right="259"/>
        <w:jc w:val="both"/>
        <w:rPr>
          <w:rFonts w:ascii="Arial" w:hAnsi="Arial" w:cs="Arial"/>
        </w:rPr>
      </w:pPr>
      <w:r>
        <w:rPr>
          <w:rFonts w:ascii="Arial" w:hAnsi="Arial" w:cs="Arial"/>
        </w:rPr>
        <w:t>PSYC6020 (</w:t>
      </w:r>
      <w:r w:rsidRPr="00836D37">
        <w:rPr>
          <w:rFonts w:ascii="Arial" w:hAnsi="Arial" w:cs="Arial"/>
        </w:rPr>
        <w:t>SP60</w:t>
      </w:r>
      <w:r>
        <w:rPr>
          <w:rFonts w:ascii="Arial" w:hAnsi="Arial" w:cs="Arial"/>
        </w:rPr>
        <w:t>2)</w:t>
      </w:r>
      <w:r w:rsidRPr="00836D37">
        <w:rPr>
          <w:rFonts w:ascii="Arial" w:hAnsi="Arial" w:cs="Arial"/>
        </w:rPr>
        <w:t xml:space="preserve">: </w:t>
      </w:r>
      <w:r>
        <w:rPr>
          <w:rFonts w:ascii="Arial" w:hAnsi="Arial" w:cs="Arial"/>
        </w:rPr>
        <w:t>Researchi</w:t>
      </w:r>
      <w:r w:rsidRPr="00836D37">
        <w:rPr>
          <w:rFonts w:ascii="Arial" w:hAnsi="Arial" w:cs="Arial"/>
        </w:rPr>
        <w:t>ng People with Learning Disabilities</w:t>
      </w:r>
    </w:p>
    <w:p w14:paraId="57F06CF2"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9051E3" w14:textId="77777777" w:rsidR="00665D1C" w:rsidRPr="00836D37" w:rsidRDefault="00665D1C" w:rsidP="00665D1C">
      <w:pPr>
        <w:spacing w:after="120" w:line="240" w:lineRule="auto"/>
        <w:ind w:left="562" w:right="259"/>
        <w:jc w:val="both"/>
        <w:rPr>
          <w:rFonts w:ascii="Arial" w:hAnsi="Arial" w:cs="Arial"/>
        </w:rPr>
      </w:pPr>
      <w:r w:rsidRPr="00836D37">
        <w:rPr>
          <w:rFonts w:ascii="Arial" w:hAnsi="Arial" w:cs="Arial"/>
        </w:rPr>
        <w:t>School of Psychology</w:t>
      </w:r>
    </w:p>
    <w:p w14:paraId="64A2405D"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F8C13E4" w14:textId="77777777" w:rsidR="00665D1C" w:rsidRPr="0036174D" w:rsidRDefault="00665D1C" w:rsidP="00665D1C">
      <w:pPr>
        <w:spacing w:after="120" w:line="240" w:lineRule="auto"/>
        <w:ind w:left="1124" w:right="259" w:hanging="562"/>
        <w:rPr>
          <w:rFonts w:ascii="Arial" w:hAnsi="Arial" w:cs="Arial"/>
          <w:iCs/>
        </w:rPr>
      </w:pPr>
      <w:r>
        <w:rPr>
          <w:rFonts w:ascii="Arial" w:hAnsi="Arial" w:cs="Arial"/>
        </w:rPr>
        <w:t>Level 6</w:t>
      </w:r>
    </w:p>
    <w:p w14:paraId="7BE3DF13"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F1E684" w14:textId="77777777" w:rsidR="00665D1C" w:rsidRPr="00836D37" w:rsidRDefault="00665D1C" w:rsidP="00665D1C">
      <w:pPr>
        <w:spacing w:after="120" w:line="240" w:lineRule="auto"/>
        <w:ind w:left="1124" w:right="259" w:hanging="562"/>
        <w:rPr>
          <w:rFonts w:ascii="Arial" w:hAnsi="Arial" w:cs="Arial"/>
        </w:rPr>
      </w:pPr>
      <w:r w:rsidRPr="00836D37">
        <w:rPr>
          <w:rFonts w:ascii="Arial" w:hAnsi="Arial" w:cs="Arial"/>
        </w:rPr>
        <w:t>15 (7.5 ECTS)</w:t>
      </w:r>
    </w:p>
    <w:p w14:paraId="2E2557A8"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A08BB0" w14:textId="77777777" w:rsidR="00665D1C" w:rsidRPr="00836D37" w:rsidRDefault="00665D1C" w:rsidP="00665D1C">
      <w:pPr>
        <w:spacing w:after="120" w:line="240" w:lineRule="auto"/>
        <w:ind w:left="1124" w:right="259" w:hanging="562"/>
        <w:rPr>
          <w:rFonts w:ascii="Arial" w:hAnsi="Arial" w:cs="Arial"/>
        </w:rPr>
      </w:pPr>
      <w:r>
        <w:rPr>
          <w:rFonts w:ascii="Arial" w:hAnsi="Arial" w:cs="Arial"/>
        </w:rPr>
        <w:t xml:space="preserve">Autumn or </w:t>
      </w:r>
      <w:proofErr w:type="gramStart"/>
      <w:r>
        <w:rPr>
          <w:rFonts w:ascii="Arial" w:hAnsi="Arial" w:cs="Arial"/>
        </w:rPr>
        <w:t>Spring</w:t>
      </w:r>
      <w:proofErr w:type="gramEnd"/>
    </w:p>
    <w:p w14:paraId="4F1BDFF7"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BD853" w14:textId="47FF2BA8" w:rsidR="00665D1C" w:rsidRPr="00836D37" w:rsidRDefault="00645DC5" w:rsidP="00665D1C">
      <w:pPr>
        <w:spacing w:after="120" w:line="240" w:lineRule="auto"/>
        <w:ind w:left="1124" w:right="259" w:hanging="562"/>
        <w:outlineLvl w:val="0"/>
        <w:rPr>
          <w:rFonts w:ascii="Arial" w:hAnsi="Arial" w:cs="Arial"/>
        </w:rPr>
      </w:pPr>
      <w:r>
        <w:rPr>
          <w:rFonts w:ascii="Arial" w:hAnsi="Arial" w:cs="Arial"/>
        </w:rPr>
        <w:t xml:space="preserve">Prerequisite: </w:t>
      </w:r>
      <w:r w:rsidR="00665D1C">
        <w:rPr>
          <w:rFonts w:ascii="Arial" w:hAnsi="Arial" w:cs="Arial"/>
        </w:rPr>
        <w:t>SP601</w:t>
      </w:r>
    </w:p>
    <w:p w14:paraId="7356E0EF"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C6B641" w14:textId="078E2ED7" w:rsidR="00665D1C" w:rsidRDefault="00665D1C" w:rsidP="00BB3DB2">
      <w:pPr>
        <w:spacing w:after="0" w:line="240" w:lineRule="auto"/>
        <w:ind w:left="567"/>
        <w:rPr>
          <w:rFonts w:ascii="Arial" w:hAnsi="Arial" w:cs="Arial"/>
          <w:i/>
        </w:rPr>
      </w:pPr>
      <w:r w:rsidRPr="0051188D">
        <w:rPr>
          <w:rFonts w:ascii="Arial" w:hAnsi="Arial" w:cs="Arial"/>
          <w:i/>
        </w:rPr>
        <w:t>Optional to</w:t>
      </w:r>
      <w:r w:rsidR="00BB3DB2">
        <w:rPr>
          <w:rFonts w:ascii="Arial" w:hAnsi="Arial" w:cs="Arial"/>
          <w:i/>
        </w:rPr>
        <w:t xml:space="preserve"> Psychology undergraduate programmes. </w:t>
      </w:r>
      <w:r w:rsidRPr="0034321C">
        <w:rPr>
          <w:rFonts w:ascii="Arial" w:hAnsi="Arial" w:cs="Arial"/>
          <w:i/>
        </w:rPr>
        <w:t>Available as a wild module</w:t>
      </w:r>
      <w:r>
        <w:rPr>
          <w:rFonts w:ascii="Arial" w:hAnsi="Arial" w:cs="Arial"/>
          <w:i/>
        </w:rPr>
        <w:t xml:space="preserve">. Available to Short-Term Credit students at the discretion of the school and/or module convenor. </w:t>
      </w:r>
    </w:p>
    <w:p w14:paraId="19764AA8" w14:textId="77777777" w:rsidR="00645DC5" w:rsidRPr="0034321C" w:rsidRDefault="00645DC5" w:rsidP="00050B74">
      <w:pPr>
        <w:spacing w:after="0" w:line="240" w:lineRule="auto"/>
        <w:ind w:left="567"/>
        <w:rPr>
          <w:rFonts w:ascii="Arial" w:hAnsi="Arial" w:cs="Arial"/>
          <w:i/>
          <w:iCs/>
        </w:rPr>
      </w:pPr>
    </w:p>
    <w:p w14:paraId="364AD3B9" w14:textId="77777777" w:rsidR="00665D1C" w:rsidRPr="004243F3" w:rsidRDefault="00665D1C" w:rsidP="00665D1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r w:rsidRPr="004243F3">
        <w:rPr>
          <w:rFonts w:ascii="Arial" w:hAnsi="Arial" w:cs="Arial"/>
          <w:b/>
        </w:rPr>
        <w:t>On successfully completing the module students will be able to:</w:t>
      </w:r>
    </w:p>
    <w:p w14:paraId="3662A950" w14:textId="77777777" w:rsidR="008C09A3" w:rsidRDefault="00665D1C" w:rsidP="008C09A3">
      <w:pPr>
        <w:pStyle w:val="ListParagraph"/>
        <w:numPr>
          <w:ilvl w:val="1"/>
          <w:numId w:val="20"/>
        </w:numPr>
        <w:spacing w:after="0"/>
        <w:ind w:left="540" w:hanging="540"/>
        <w:rPr>
          <w:rFonts w:ascii="Arial" w:hAnsi="Arial"/>
        </w:rPr>
      </w:pPr>
      <w:r w:rsidRPr="008C09A3">
        <w:rPr>
          <w:rFonts w:ascii="Arial" w:hAnsi="Arial" w:cs="Arial"/>
        </w:rPr>
        <w:t>Establish</w:t>
      </w:r>
      <w:r w:rsidRPr="008C09A3">
        <w:rPr>
          <w:rFonts w:ascii="Arial" w:hAnsi="Arial"/>
        </w:rPr>
        <w:t xml:space="preserve"> a rapport with a person with learning disabilities in a se</w:t>
      </w:r>
      <w:bookmarkStart w:id="0" w:name="_GoBack"/>
      <w:bookmarkEnd w:id="0"/>
      <w:r w:rsidRPr="008C09A3">
        <w:rPr>
          <w:rFonts w:ascii="Arial" w:hAnsi="Arial"/>
        </w:rPr>
        <w:t>rvice setting</w:t>
      </w:r>
    </w:p>
    <w:p w14:paraId="5AE401BA" w14:textId="77777777" w:rsidR="008C09A3" w:rsidRDefault="00665D1C" w:rsidP="008C09A3">
      <w:pPr>
        <w:pStyle w:val="ListParagraph"/>
        <w:numPr>
          <w:ilvl w:val="1"/>
          <w:numId w:val="20"/>
        </w:numPr>
        <w:spacing w:after="0"/>
        <w:ind w:left="540" w:hanging="540"/>
        <w:rPr>
          <w:rFonts w:ascii="Arial" w:hAnsi="Arial"/>
        </w:rPr>
      </w:pPr>
      <w:r w:rsidRPr="008C09A3">
        <w:rPr>
          <w:rFonts w:ascii="Arial" w:hAnsi="Arial" w:cs="Arial"/>
        </w:rPr>
        <w:t>Demonstrate</w:t>
      </w:r>
      <w:r w:rsidRPr="008C09A3">
        <w:rPr>
          <w:rFonts w:ascii="Arial" w:hAnsi="Arial"/>
        </w:rPr>
        <w:t xml:space="preserve"> knowledge of work related issues for people with learning disabilities</w:t>
      </w:r>
    </w:p>
    <w:p w14:paraId="766FF8DB" w14:textId="01BC7AF8" w:rsidR="00665D1C" w:rsidRDefault="00665D1C" w:rsidP="008C09A3">
      <w:pPr>
        <w:pStyle w:val="ListParagraph"/>
        <w:numPr>
          <w:ilvl w:val="1"/>
          <w:numId w:val="20"/>
        </w:numPr>
        <w:spacing w:after="0"/>
        <w:ind w:left="540" w:hanging="540"/>
        <w:rPr>
          <w:rFonts w:ascii="Arial" w:hAnsi="Arial"/>
        </w:rPr>
      </w:pPr>
      <w:r w:rsidRPr="008C09A3">
        <w:rPr>
          <w:rFonts w:ascii="Arial" w:hAnsi="Arial" w:cs="Arial"/>
        </w:rPr>
        <w:t>Understand</w:t>
      </w:r>
      <w:r w:rsidRPr="008C09A3">
        <w:rPr>
          <w:rFonts w:ascii="Arial" w:hAnsi="Arial"/>
        </w:rPr>
        <w:t xml:space="preserve"> ethical issues involved in interviewing people with learning disabilities, i.e. informed consent</w:t>
      </w:r>
    </w:p>
    <w:p w14:paraId="36C622E8" w14:textId="77777777" w:rsidR="008C09A3" w:rsidRPr="008C09A3" w:rsidRDefault="008C09A3" w:rsidP="008C09A3">
      <w:pPr>
        <w:pStyle w:val="ListParagraph"/>
        <w:spacing w:after="0"/>
        <w:ind w:left="360"/>
        <w:rPr>
          <w:rFonts w:ascii="Arial" w:hAnsi="Arial"/>
        </w:rPr>
      </w:pPr>
    </w:p>
    <w:p w14:paraId="40AADF59" w14:textId="77777777" w:rsidR="00665D1C" w:rsidRPr="004243F3" w:rsidRDefault="00665D1C" w:rsidP="00665D1C">
      <w:pPr>
        <w:numPr>
          <w:ilvl w:val="0"/>
          <w:numId w:val="1"/>
        </w:numPr>
        <w:spacing w:after="120" w:line="240" w:lineRule="auto"/>
        <w:ind w:left="567" w:right="260" w:hanging="567"/>
        <w:rPr>
          <w:rFonts w:ascii="Arial" w:hAnsi="Arial" w:cs="Arial"/>
          <w:b/>
        </w:rPr>
      </w:pPr>
      <w:r w:rsidRPr="004243F3">
        <w:rPr>
          <w:rFonts w:ascii="Arial" w:hAnsi="Arial" w:cs="Arial"/>
          <w:b/>
        </w:rPr>
        <w:t>The intended generic learning outcomes.</w:t>
      </w:r>
      <w:r w:rsidRPr="004243F3">
        <w:rPr>
          <w:rFonts w:ascii="Arial" w:hAnsi="Arial" w:cs="Arial"/>
          <w:b/>
        </w:rPr>
        <w:br/>
        <w:t>On successfully completing the module students will be able to:</w:t>
      </w:r>
    </w:p>
    <w:p w14:paraId="608E2E86" w14:textId="77777777" w:rsidR="008C09A3" w:rsidRDefault="00665D1C" w:rsidP="008C09A3">
      <w:pPr>
        <w:pStyle w:val="ListParagraph"/>
        <w:numPr>
          <w:ilvl w:val="1"/>
          <w:numId w:val="21"/>
        </w:numPr>
        <w:ind w:left="540" w:hanging="540"/>
        <w:rPr>
          <w:rFonts w:ascii="Arial" w:hAnsi="Arial"/>
        </w:rPr>
      </w:pPr>
      <w:r w:rsidRPr="008C09A3">
        <w:rPr>
          <w:rFonts w:ascii="Arial" w:hAnsi="Arial" w:cs="Arial"/>
        </w:rPr>
        <w:t xml:space="preserve">Demonstrate an ability in using </w:t>
      </w:r>
      <w:r w:rsidRPr="008C09A3">
        <w:rPr>
          <w:rFonts w:ascii="Arial" w:hAnsi="Arial"/>
        </w:rPr>
        <w:t>and critiquing qualitative and participatory methodology</w:t>
      </w:r>
      <w:r w:rsidRPr="008C09A3">
        <w:rPr>
          <w:rFonts w:ascii="Arial" w:hAnsi="Arial" w:cs="Arial"/>
        </w:rPr>
        <w:t>,</w:t>
      </w:r>
      <w:r w:rsidRPr="008C09A3">
        <w:rPr>
          <w:rFonts w:ascii="Arial" w:hAnsi="Arial"/>
        </w:rPr>
        <w:t xml:space="preserve"> using experiential knowledge</w:t>
      </w:r>
    </w:p>
    <w:p w14:paraId="23795B9E" w14:textId="77777777" w:rsidR="008C09A3" w:rsidRDefault="00665D1C" w:rsidP="008C09A3">
      <w:pPr>
        <w:pStyle w:val="ListParagraph"/>
        <w:numPr>
          <w:ilvl w:val="1"/>
          <w:numId w:val="21"/>
        </w:numPr>
        <w:ind w:left="540" w:hanging="540"/>
        <w:rPr>
          <w:rFonts w:ascii="Arial" w:hAnsi="Arial"/>
        </w:rPr>
      </w:pPr>
      <w:r w:rsidRPr="008C09A3">
        <w:rPr>
          <w:rFonts w:ascii="Arial" w:hAnsi="Arial" w:cs="Arial"/>
        </w:rPr>
        <w:t>Demonstrate the ability to write</w:t>
      </w:r>
      <w:r w:rsidRPr="008C09A3">
        <w:rPr>
          <w:rFonts w:ascii="Arial" w:hAnsi="Arial"/>
        </w:rPr>
        <w:t xml:space="preserve"> an ethics proposal</w:t>
      </w:r>
    </w:p>
    <w:p w14:paraId="256D9860" w14:textId="4A010067" w:rsidR="00665D1C" w:rsidRPr="008C09A3" w:rsidRDefault="00665D1C" w:rsidP="008C09A3">
      <w:pPr>
        <w:pStyle w:val="ListParagraph"/>
        <w:numPr>
          <w:ilvl w:val="1"/>
          <w:numId w:val="21"/>
        </w:numPr>
        <w:ind w:left="540" w:hanging="540"/>
        <w:rPr>
          <w:rFonts w:ascii="Arial" w:hAnsi="Arial"/>
        </w:rPr>
      </w:pPr>
      <w:r w:rsidRPr="008C09A3">
        <w:rPr>
          <w:rFonts w:ascii="Arial" w:hAnsi="Arial" w:cs="Arial"/>
        </w:rPr>
        <w:t>Disseminate</w:t>
      </w:r>
      <w:r w:rsidRPr="008C09A3">
        <w:rPr>
          <w:rFonts w:ascii="Arial" w:hAnsi="Arial"/>
        </w:rPr>
        <w:t xml:space="preserve"> findings both to an academic institution via a report as well as to a wider community via a presentation</w:t>
      </w:r>
    </w:p>
    <w:p w14:paraId="787B6B58"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D21252" w14:textId="729E4F93" w:rsidR="00BB3DB2" w:rsidRDefault="00665D1C" w:rsidP="00665D1C">
      <w:pPr>
        <w:spacing w:after="120" w:line="240" w:lineRule="auto"/>
        <w:ind w:left="562" w:right="259"/>
        <w:rPr>
          <w:rFonts w:ascii="Arial" w:hAnsi="Arial" w:cs="Arial"/>
        </w:rPr>
      </w:pPr>
      <w:r w:rsidRPr="004243F3">
        <w:rPr>
          <w:rFonts w:ascii="Arial" w:hAnsi="Arial" w:cs="Arial"/>
        </w:rPr>
        <w:t>This module involves students in a project based on interviews with people with learning disabilities. There will be teaching sessions on research, interview construction, recording and analysis. Practical work will involve visiting a person with learning disabilities at their place of work and conducting a recorded interview with due regard to ethical and consent issues. A series of clinics designed to assist students in analysis, interpretation and presentation of the project work will follow. The module will conclude with students doing a group presentation of their findings to people with learning disabilities, staff in learning disability services and other invited guests.</w:t>
      </w:r>
    </w:p>
    <w:p w14:paraId="3E5FAE2B" w14:textId="77777777" w:rsidR="00BB3DB2" w:rsidRDefault="00BB3DB2">
      <w:pPr>
        <w:rPr>
          <w:rFonts w:ascii="Arial" w:hAnsi="Arial" w:cs="Arial"/>
        </w:rPr>
      </w:pPr>
      <w:r>
        <w:rPr>
          <w:rFonts w:ascii="Arial" w:hAnsi="Arial" w:cs="Arial"/>
        </w:rPr>
        <w:br w:type="page"/>
      </w:r>
    </w:p>
    <w:p w14:paraId="6315974C" w14:textId="77777777" w:rsidR="00665D1C" w:rsidRPr="00302082" w:rsidRDefault="00665D1C" w:rsidP="00665D1C">
      <w:pPr>
        <w:numPr>
          <w:ilvl w:val="0"/>
          <w:numId w:val="1"/>
        </w:numPr>
        <w:spacing w:after="120" w:line="240" w:lineRule="auto"/>
        <w:ind w:left="562" w:right="259" w:hanging="567"/>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4E5A31B3" w14:textId="77777777" w:rsidR="00665D1C" w:rsidRPr="0038418B" w:rsidRDefault="00665D1C" w:rsidP="00665D1C">
      <w:pPr>
        <w:ind w:left="576"/>
        <w:rPr>
          <w:rFonts w:ascii="Arial" w:eastAsia="Cambria" w:hAnsi="Arial" w:cs="Arial"/>
          <w:szCs w:val="20"/>
        </w:rPr>
      </w:pPr>
      <w:proofErr w:type="spellStart"/>
      <w:r>
        <w:rPr>
          <w:rFonts w:ascii="Arial" w:eastAsia="Cambria" w:hAnsi="Arial" w:cs="Arial"/>
          <w:szCs w:val="20"/>
        </w:rPr>
        <w:t>Carnaby</w:t>
      </w:r>
      <w:proofErr w:type="spellEnd"/>
      <w:r>
        <w:rPr>
          <w:rFonts w:ascii="Arial" w:eastAsia="Cambria" w:hAnsi="Arial" w:cs="Arial"/>
          <w:szCs w:val="20"/>
        </w:rPr>
        <w:t>, S. (ed.) (2011</w:t>
      </w:r>
      <w:r w:rsidRPr="0038418B">
        <w:rPr>
          <w:rFonts w:ascii="Arial" w:eastAsia="Cambria" w:hAnsi="Arial" w:cs="Arial"/>
          <w:szCs w:val="20"/>
        </w:rPr>
        <w:t xml:space="preserve">) </w:t>
      </w:r>
      <w:r w:rsidRPr="0038418B">
        <w:rPr>
          <w:rFonts w:ascii="Arial" w:eastAsia="Cambria" w:hAnsi="Arial" w:cs="Arial"/>
          <w:i/>
          <w:szCs w:val="20"/>
        </w:rPr>
        <w:t>Learning Disability Today</w:t>
      </w:r>
      <w:r>
        <w:rPr>
          <w:rFonts w:ascii="Arial" w:eastAsia="Cambria" w:hAnsi="Arial" w:cs="Arial"/>
          <w:i/>
          <w:szCs w:val="20"/>
        </w:rPr>
        <w:t>: 3</w:t>
      </w:r>
      <w:r w:rsidRPr="00AA7611">
        <w:rPr>
          <w:rFonts w:ascii="Arial" w:eastAsia="Cambria" w:hAnsi="Arial" w:cs="Arial"/>
          <w:i/>
          <w:szCs w:val="20"/>
          <w:vertAlign w:val="superscript"/>
        </w:rPr>
        <w:t>rd</w:t>
      </w:r>
      <w:r>
        <w:rPr>
          <w:rFonts w:ascii="Arial" w:eastAsia="Cambria" w:hAnsi="Arial" w:cs="Arial"/>
          <w:i/>
          <w:szCs w:val="20"/>
        </w:rPr>
        <w:t xml:space="preserve"> edition</w:t>
      </w:r>
      <w:r w:rsidRPr="0038418B">
        <w:rPr>
          <w:rFonts w:ascii="Arial" w:eastAsia="Cambria" w:hAnsi="Arial" w:cs="Arial"/>
          <w:szCs w:val="20"/>
        </w:rPr>
        <w:t>. Brighton: Pavilion Publishing.</w:t>
      </w:r>
    </w:p>
    <w:p w14:paraId="753179DD"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Dept. of Health (2001) </w:t>
      </w:r>
      <w:r w:rsidRPr="0038418B">
        <w:rPr>
          <w:rFonts w:ascii="Arial" w:eastAsia="Cambria" w:hAnsi="Arial" w:cs="Arial"/>
          <w:i/>
          <w:szCs w:val="20"/>
        </w:rPr>
        <w:t>Valuing People: A new strategy for learning disability in the twenty first century</w:t>
      </w:r>
      <w:r w:rsidRPr="0038418B">
        <w:rPr>
          <w:rFonts w:ascii="Arial" w:eastAsia="Cambria" w:hAnsi="Arial" w:cs="Arial"/>
          <w:szCs w:val="20"/>
        </w:rPr>
        <w:t xml:space="preserve">. </w:t>
      </w:r>
      <w:r w:rsidRPr="0038418B">
        <w:rPr>
          <w:rFonts w:ascii="Arial" w:eastAsia="Cambria" w:hAnsi="Arial" w:cs="Arial"/>
          <w:szCs w:val="20"/>
          <w:u w:val="single"/>
        </w:rPr>
        <w:t>Chapter Six</w:t>
      </w:r>
      <w:r w:rsidRPr="0038418B">
        <w:rPr>
          <w:rFonts w:ascii="Arial" w:eastAsia="Cambria" w:hAnsi="Arial" w:cs="Arial"/>
          <w:szCs w:val="20"/>
        </w:rPr>
        <w:t>. Norwich: The Stationery Office.</w:t>
      </w:r>
    </w:p>
    <w:p w14:paraId="061D0B53"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Dept. of Health (2009) </w:t>
      </w:r>
      <w:r w:rsidRPr="0038418B">
        <w:rPr>
          <w:rFonts w:ascii="Arial" w:eastAsia="Cambria" w:hAnsi="Arial" w:cs="Arial"/>
          <w:i/>
          <w:szCs w:val="20"/>
        </w:rPr>
        <w:t xml:space="preserve">Valuing People Now: a new three year strategy for people with learning </w:t>
      </w:r>
      <w:proofErr w:type="gramStart"/>
      <w:r w:rsidRPr="0038418B">
        <w:rPr>
          <w:rFonts w:ascii="Arial" w:eastAsia="Cambria" w:hAnsi="Arial" w:cs="Arial"/>
          <w:i/>
          <w:szCs w:val="20"/>
        </w:rPr>
        <w:t>disabilities .</w:t>
      </w:r>
      <w:proofErr w:type="gramEnd"/>
      <w:r w:rsidRPr="0038418B">
        <w:rPr>
          <w:rFonts w:ascii="Arial" w:eastAsia="Cambria" w:hAnsi="Arial" w:cs="Arial"/>
          <w:szCs w:val="20"/>
        </w:rPr>
        <w:t xml:space="preserve"> </w:t>
      </w:r>
      <w:r w:rsidRPr="0038418B">
        <w:rPr>
          <w:rFonts w:ascii="Arial" w:eastAsia="Cambria" w:hAnsi="Arial" w:cs="Arial"/>
          <w:szCs w:val="20"/>
          <w:u w:val="single"/>
        </w:rPr>
        <w:t>Chapter Three</w:t>
      </w:r>
      <w:r w:rsidRPr="0038418B">
        <w:rPr>
          <w:rFonts w:ascii="Arial" w:eastAsia="Cambria" w:hAnsi="Arial" w:cs="Arial"/>
          <w:szCs w:val="20"/>
        </w:rPr>
        <w:t>. Norwich: The Stationery Office.</w:t>
      </w:r>
    </w:p>
    <w:p w14:paraId="23482255" w14:textId="77777777" w:rsidR="00665D1C" w:rsidRPr="0038418B" w:rsidRDefault="00665D1C" w:rsidP="00665D1C">
      <w:pPr>
        <w:ind w:left="576"/>
        <w:rPr>
          <w:rFonts w:ascii="Arial" w:eastAsia="Cambria" w:hAnsi="Arial" w:cs="Arial"/>
          <w:i/>
          <w:szCs w:val="20"/>
        </w:rPr>
      </w:pPr>
      <w:r w:rsidRPr="0038418B">
        <w:rPr>
          <w:rFonts w:ascii="Arial" w:eastAsia="Cambria" w:hAnsi="Arial" w:cs="Arial"/>
          <w:szCs w:val="20"/>
        </w:rPr>
        <w:t xml:space="preserve">Grant, G., </w:t>
      </w:r>
      <w:proofErr w:type="spellStart"/>
      <w:r w:rsidRPr="0038418B">
        <w:rPr>
          <w:rFonts w:ascii="Arial" w:eastAsia="Cambria" w:hAnsi="Arial" w:cs="Arial"/>
          <w:szCs w:val="20"/>
        </w:rPr>
        <w:t>Ramcharan</w:t>
      </w:r>
      <w:proofErr w:type="spellEnd"/>
      <w:r w:rsidRPr="0038418B">
        <w:rPr>
          <w:rFonts w:ascii="Arial" w:eastAsia="Cambria" w:hAnsi="Arial" w:cs="Arial"/>
          <w:szCs w:val="20"/>
        </w:rPr>
        <w:t>, P., Flynn, M, Richardson, M (</w:t>
      </w:r>
      <w:proofErr w:type="spellStart"/>
      <w:r w:rsidRPr="0038418B">
        <w:rPr>
          <w:rFonts w:ascii="Arial" w:eastAsia="Cambria" w:hAnsi="Arial" w:cs="Arial"/>
          <w:szCs w:val="20"/>
        </w:rPr>
        <w:t>Eds</w:t>
      </w:r>
      <w:proofErr w:type="spellEnd"/>
      <w:r w:rsidRPr="0038418B">
        <w:rPr>
          <w:rFonts w:ascii="Arial" w:eastAsia="Cambria" w:hAnsi="Arial" w:cs="Arial"/>
          <w:szCs w:val="20"/>
        </w:rPr>
        <w:t xml:space="preserve">) (2010) </w:t>
      </w:r>
      <w:r w:rsidRPr="0038418B">
        <w:rPr>
          <w:rFonts w:ascii="Arial" w:eastAsia="Cambria" w:hAnsi="Arial" w:cs="Arial"/>
          <w:i/>
          <w:szCs w:val="20"/>
        </w:rPr>
        <w:t>Learning Disability. A Life Cycle Approach. 2</w:t>
      </w:r>
      <w:r w:rsidRPr="0038418B">
        <w:rPr>
          <w:rFonts w:ascii="Arial" w:eastAsia="Cambria" w:hAnsi="Arial" w:cs="Arial"/>
          <w:i/>
          <w:szCs w:val="20"/>
          <w:vertAlign w:val="superscript"/>
        </w:rPr>
        <w:t>nd</w:t>
      </w:r>
      <w:r w:rsidRPr="0038418B">
        <w:rPr>
          <w:rFonts w:ascii="Arial" w:eastAsia="Cambria" w:hAnsi="Arial" w:cs="Arial"/>
          <w:i/>
          <w:szCs w:val="20"/>
        </w:rPr>
        <w:t xml:space="preserve"> Edition, </w:t>
      </w:r>
      <w:r w:rsidRPr="0038418B">
        <w:rPr>
          <w:rFonts w:ascii="Arial" w:eastAsia="Cambria" w:hAnsi="Arial" w:cs="Arial"/>
          <w:szCs w:val="20"/>
        </w:rPr>
        <w:t>Open University Press</w:t>
      </w:r>
    </w:p>
    <w:p w14:paraId="2159CCAE"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Heal, L. W. &amp; </w:t>
      </w:r>
      <w:proofErr w:type="spellStart"/>
      <w:r w:rsidRPr="0038418B">
        <w:rPr>
          <w:rFonts w:ascii="Arial" w:eastAsia="Cambria" w:hAnsi="Arial" w:cs="Arial"/>
          <w:szCs w:val="20"/>
        </w:rPr>
        <w:t>Sigelman</w:t>
      </w:r>
      <w:proofErr w:type="spellEnd"/>
      <w:r w:rsidRPr="0038418B">
        <w:rPr>
          <w:rFonts w:ascii="Arial" w:eastAsia="Cambria" w:hAnsi="Arial" w:cs="Arial"/>
          <w:szCs w:val="20"/>
        </w:rPr>
        <w:t xml:space="preserve">, C. K. (1995) Response biases in interview of individuals with limited mental ability in </w:t>
      </w:r>
      <w:r w:rsidRPr="0038418B">
        <w:rPr>
          <w:rFonts w:ascii="Arial" w:eastAsia="Cambria" w:hAnsi="Arial" w:cs="Arial"/>
          <w:i/>
          <w:iCs/>
          <w:szCs w:val="20"/>
        </w:rPr>
        <w:t>Journal of Intellectual Disability Research,</w:t>
      </w:r>
      <w:r w:rsidRPr="0038418B">
        <w:rPr>
          <w:rFonts w:ascii="Arial" w:eastAsia="Cambria" w:hAnsi="Arial" w:cs="Arial"/>
          <w:szCs w:val="20"/>
        </w:rPr>
        <w:t xml:space="preserve"> </w:t>
      </w:r>
      <w:r w:rsidRPr="0038418B">
        <w:rPr>
          <w:rFonts w:ascii="Arial" w:eastAsia="Cambria" w:hAnsi="Arial" w:cs="Arial"/>
          <w:b/>
          <w:szCs w:val="20"/>
        </w:rPr>
        <w:t>29</w:t>
      </w:r>
      <w:r w:rsidRPr="0038418B">
        <w:rPr>
          <w:rFonts w:ascii="Arial" w:eastAsia="Cambria" w:hAnsi="Arial" w:cs="Arial"/>
          <w:szCs w:val="20"/>
        </w:rPr>
        <w:t>, 4, 331-340</w:t>
      </w:r>
    </w:p>
    <w:p w14:paraId="0D0DF2BA" w14:textId="77777777" w:rsidR="00665D1C" w:rsidRPr="0038418B" w:rsidRDefault="00665D1C" w:rsidP="00665D1C">
      <w:pPr>
        <w:tabs>
          <w:tab w:val="left" w:pos="0"/>
        </w:tabs>
        <w:suppressAutoHyphens/>
        <w:ind w:left="576"/>
        <w:jc w:val="both"/>
        <w:rPr>
          <w:rFonts w:ascii="Arial" w:eastAsia="Cambria" w:hAnsi="Arial" w:cs="Times New Roman"/>
          <w:spacing w:val="-3"/>
          <w:szCs w:val="20"/>
        </w:rPr>
      </w:pPr>
      <w:r w:rsidRPr="0038418B">
        <w:rPr>
          <w:rFonts w:ascii="Arial" w:eastAsia="Cambria" w:hAnsi="Arial" w:cs="Times New Roman"/>
          <w:spacing w:val="-3"/>
          <w:szCs w:val="20"/>
        </w:rPr>
        <w:t xml:space="preserve">McCarthy, M. (1998) Interviewing People with learning disabilities about sensitive topics: a discussion of ethical issues, </w:t>
      </w:r>
      <w:r w:rsidRPr="0038418B">
        <w:rPr>
          <w:rFonts w:ascii="Arial" w:eastAsia="Cambria" w:hAnsi="Arial" w:cs="Times New Roman"/>
          <w:i/>
          <w:spacing w:val="-3"/>
          <w:szCs w:val="20"/>
        </w:rPr>
        <w:t xml:space="preserve">British Journal of Learning Disabilities, </w:t>
      </w:r>
      <w:r w:rsidRPr="0038418B">
        <w:rPr>
          <w:rFonts w:ascii="Arial" w:eastAsia="Cambria" w:hAnsi="Arial" w:cs="Times New Roman"/>
          <w:spacing w:val="-3"/>
          <w:szCs w:val="20"/>
        </w:rPr>
        <w:t>26</w:t>
      </w:r>
      <w:proofErr w:type="gramStart"/>
      <w:r w:rsidRPr="0038418B">
        <w:rPr>
          <w:rFonts w:ascii="Arial" w:eastAsia="Cambria" w:hAnsi="Arial" w:cs="Times New Roman"/>
          <w:spacing w:val="-3"/>
          <w:szCs w:val="20"/>
        </w:rPr>
        <w:t>,4</w:t>
      </w:r>
      <w:proofErr w:type="gramEnd"/>
      <w:r w:rsidRPr="0038418B">
        <w:rPr>
          <w:rFonts w:ascii="Arial" w:eastAsia="Cambria" w:hAnsi="Arial" w:cs="Times New Roman"/>
          <w:spacing w:val="-3"/>
          <w:szCs w:val="20"/>
        </w:rPr>
        <w:t>: 140-145.</w:t>
      </w:r>
    </w:p>
    <w:p w14:paraId="6B256FEE" w14:textId="77777777" w:rsidR="00665D1C" w:rsidRPr="004243F3" w:rsidRDefault="00665D1C" w:rsidP="00665D1C">
      <w:pPr>
        <w:tabs>
          <w:tab w:val="left" w:pos="0"/>
        </w:tabs>
        <w:suppressAutoHyphens/>
        <w:ind w:left="576"/>
        <w:jc w:val="both"/>
        <w:rPr>
          <w:rFonts w:ascii="Arial" w:eastAsia="Cambria" w:hAnsi="Arial" w:cs="Times New Roman"/>
          <w:spacing w:val="-3"/>
          <w:szCs w:val="20"/>
        </w:rPr>
      </w:pPr>
      <w:r w:rsidRPr="0038418B">
        <w:rPr>
          <w:rFonts w:ascii="Arial" w:eastAsia="Cambria" w:hAnsi="Arial" w:cs="Times New Roman"/>
          <w:spacing w:val="-3"/>
          <w:szCs w:val="20"/>
        </w:rPr>
        <w:t xml:space="preserve">McCarthy, M. (1999) Asking the Right Questions, In </w:t>
      </w:r>
      <w:r w:rsidRPr="0038418B">
        <w:rPr>
          <w:rFonts w:ascii="Arial" w:eastAsia="Cambria" w:hAnsi="Arial" w:cs="Times New Roman"/>
          <w:i/>
          <w:spacing w:val="-3"/>
          <w:szCs w:val="20"/>
        </w:rPr>
        <w:t>Sexuality and Women with Learning Disabilities, Chapter 3</w:t>
      </w:r>
      <w:r w:rsidRPr="0038418B">
        <w:rPr>
          <w:rFonts w:ascii="Arial" w:eastAsia="Cambria" w:hAnsi="Arial" w:cs="Times New Roman"/>
          <w:spacing w:val="-3"/>
          <w:szCs w:val="20"/>
        </w:rPr>
        <w:t>. London: Jessica Kingsley Publishers.</w:t>
      </w:r>
    </w:p>
    <w:p w14:paraId="1643FDAB" w14:textId="77777777" w:rsidR="00665D1C" w:rsidRPr="0036174D" w:rsidRDefault="00665D1C" w:rsidP="00665D1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9673481"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24</w:t>
      </w:r>
    </w:p>
    <w:p w14:paraId="17561939"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126</w:t>
      </w:r>
    </w:p>
    <w:p w14:paraId="5D1269CF"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26721CB1" w14:textId="77777777" w:rsidR="00665D1C" w:rsidRPr="0036174D" w:rsidRDefault="00665D1C" w:rsidP="00665D1C">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2C37AC3" w14:textId="75059ECD" w:rsidR="00665D1C" w:rsidRPr="008C09A3" w:rsidRDefault="00665D1C" w:rsidP="008C09A3">
      <w:pPr>
        <w:pStyle w:val="ListParagraph"/>
        <w:numPr>
          <w:ilvl w:val="1"/>
          <w:numId w:val="19"/>
        </w:numPr>
        <w:spacing w:after="120"/>
        <w:ind w:left="540" w:hanging="540"/>
        <w:rPr>
          <w:rFonts w:ascii="Arial" w:hAnsi="Arial" w:cs="Arial"/>
          <w:iCs/>
        </w:rPr>
      </w:pPr>
      <w:r w:rsidRPr="008C09A3">
        <w:rPr>
          <w:rFonts w:ascii="Arial" w:hAnsi="Arial" w:cs="Arial"/>
          <w:iCs/>
        </w:rPr>
        <w:t>Main assessment methods</w:t>
      </w:r>
    </w:p>
    <w:p w14:paraId="204930C1" w14:textId="77777777" w:rsidR="00665D1C" w:rsidRDefault="00665D1C" w:rsidP="00665D1C">
      <w:pPr>
        <w:pStyle w:val="ListParagraph"/>
        <w:spacing w:after="120"/>
        <w:ind w:left="562"/>
        <w:contextualSpacing w:val="0"/>
        <w:rPr>
          <w:rFonts w:ascii="Arial" w:hAnsi="Arial" w:cs="Arial"/>
          <w:iCs/>
        </w:rPr>
      </w:pPr>
      <w:r>
        <w:rPr>
          <w:rFonts w:ascii="Arial" w:hAnsi="Arial" w:cs="Arial"/>
          <w:iCs/>
        </w:rPr>
        <w:t>Literature Review</w:t>
      </w:r>
      <w:r>
        <w:rPr>
          <w:rFonts w:ascii="Arial" w:hAnsi="Arial" w:cs="Arial"/>
          <w:iCs/>
        </w:rPr>
        <w:tab/>
      </w:r>
      <w:r>
        <w:rPr>
          <w:rFonts w:ascii="Arial" w:hAnsi="Arial" w:cs="Arial"/>
          <w:iCs/>
        </w:rPr>
        <w:tab/>
        <w:t>1,500 words</w:t>
      </w:r>
      <w:r>
        <w:rPr>
          <w:rFonts w:ascii="Arial" w:hAnsi="Arial" w:cs="Arial"/>
          <w:iCs/>
        </w:rPr>
        <w:tab/>
      </w:r>
      <w:r>
        <w:rPr>
          <w:rFonts w:ascii="Arial" w:hAnsi="Arial" w:cs="Arial"/>
          <w:iCs/>
        </w:rPr>
        <w:tab/>
        <w:t>30%</w:t>
      </w:r>
    </w:p>
    <w:p w14:paraId="32E03282" w14:textId="77777777" w:rsidR="00665D1C" w:rsidRDefault="00665D1C" w:rsidP="00665D1C">
      <w:pPr>
        <w:pStyle w:val="ListParagraph"/>
        <w:spacing w:after="120"/>
        <w:ind w:left="562"/>
        <w:contextualSpacing w:val="0"/>
        <w:rPr>
          <w:rFonts w:ascii="Arial" w:hAnsi="Arial" w:cs="Arial"/>
          <w:iCs/>
        </w:rPr>
      </w:pPr>
      <w:r>
        <w:rPr>
          <w:rFonts w:ascii="Arial" w:hAnsi="Arial" w:cs="Arial"/>
          <w:iCs/>
        </w:rPr>
        <w:t>Project Report</w:t>
      </w:r>
      <w:r>
        <w:rPr>
          <w:rFonts w:ascii="Arial" w:hAnsi="Arial" w:cs="Arial"/>
          <w:iCs/>
        </w:rPr>
        <w:tab/>
      </w:r>
      <w:r>
        <w:rPr>
          <w:rFonts w:ascii="Arial" w:hAnsi="Arial" w:cs="Arial"/>
          <w:iCs/>
        </w:rPr>
        <w:tab/>
      </w:r>
      <w:r>
        <w:rPr>
          <w:rFonts w:ascii="Arial" w:hAnsi="Arial" w:cs="Arial"/>
          <w:iCs/>
        </w:rPr>
        <w:tab/>
        <w:t>3,500 words</w:t>
      </w:r>
      <w:r>
        <w:rPr>
          <w:rFonts w:ascii="Arial" w:hAnsi="Arial" w:cs="Arial"/>
          <w:iCs/>
        </w:rPr>
        <w:tab/>
      </w:r>
      <w:r>
        <w:rPr>
          <w:rFonts w:ascii="Arial" w:hAnsi="Arial" w:cs="Arial"/>
          <w:iCs/>
        </w:rPr>
        <w:tab/>
        <w:t>70%</w:t>
      </w:r>
    </w:p>
    <w:p w14:paraId="5DFE8043" w14:textId="37E41856" w:rsidR="00665D1C" w:rsidRPr="008C09A3" w:rsidRDefault="00665D1C" w:rsidP="008C09A3">
      <w:pPr>
        <w:pStyle w:val="ListParagraph"/>
        <w:numPr>
          <w:ilvl w:val="1"/>
          <w:numId w:val="19"/>
        </w:numPr>
        <w:spacing w:after="120"/>
        <w:ind w:left="540" w:hanging="540"/>
        <w:rPr>
          <w:rFonts w:ascii="Arial" w:hAnsi="Arial" w:cs="Arial"/>
          <w:iCs/>
        </w:rPr>
      </w:pPr>
      <w:r w:rsidRPr="008C09A3">
        <w:rPr>
          <w:rFonts w:ascii="Arial" w:hAnsi="Arial" w:cs="Arial"/>
          <w:iCs/>
        </w:rPr>
        <w:t xml:space="preserve">Reassessment methods </w:t>
      </w:r>
    </w:p>
    <w:p w14:paraId="078B7EC8" w14:textId="74A7AA58" w:rsidR="00645DC5" w:rsidRDefault="00665D1C" w:rsidP="00665D1C">
      <w:pPr>
        <w:pStyle w:val="ListParagraph"/>
        <w:spacing w:after="120"/>
        <w:ind w:left="567"/>
        <w:contextualSpacing w:val="0"/>
        <w:rPr>
          <w:rFonts w:ascii="Arial" w:hAnsi="Arial" w:cs="Arial"/>
          <w:iCs/>
        </w:rPr>
      </w:pPr>
      <w:r>
        <w:rPr>
          <w:rFonts w:ascii="Arial" w:hAnsi="Arial" w:cs="Arial"/>
          <w:iCs/>
        </w:rPr>
        <w:t>Like for Like</w:t>
      </w:r>
    </w:p>
    <w:p w14:paraId="342E6253" w14:textId="77777777" w:rsidR="00645DC5" w:rsidRDefault="00645DC5">
      <w:pPr>
        <w:rPr>
          <w:rFonts w:ascii="Arial" w:hAnsi="Arial" w:cs="Arial"/>
          <w:iCs/>
        </w:rPr>
      </w:pPr>
      <w:r>
        <w:rPr>
          <w:rFonts w:ascii="Arial" w:hAnsi="Arial" w:cs="Arial"/>
          <w:iCs/>
        </w:rPr>
        <w:br w:type="page"/>
      </w:r>
    </w:p>
    <w:p w14:paraId="0D8B7C7A" w14:textId="77777777" w:rsidR="00665D1C" w:rsidRPr="00D50113" w:rsidRDefault="00665D1C" w:rsidP="008C09A3">
      <w:pPr>
        <w:numPr>
          <w:ilvl w:val="0"/>
          <w:numId w:val="19"/>
        </w:numPr>
        <w:spacing w:after="120" w:line="240" w:lineRule="auto"/>
        <w:ind w:left="567" w:right="260" w:hanging="567"/>
        <w:jc w:val="both"/>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617" w:type="dxa"/>
        <w:tblInd w:w="108" w:type="dxa"/>
        <w:tblLayout w:type="fixed"/>
        <w:tblLook w:val="04A0" w:firstRow="1" w:lastRow="0" w:firstColumn="1" w:lastColumn="0" w:noHBand="0" w:noVBand="1"/>
      </w:tblPr>
      <w:tblGrid>
        <w:gridCol w:w="3757"/>
        <w:gridCol w:w="810"/>
        <w:gridCol w:w="810"/>
        <w:gridCol w:w="810"/>
        <w:gridCol w:w="810"/>
        <w:gridCol w:w="810"/>
        <w:gridCol w:w="810"/>
      </w:tblGrid>
      <w:tr w:rsidR="00665D1C" w:rsidRPr="0034321C" w14:paraId="0C3C6C1D" w14:textId="77777777" w:rsidTr="003E0096">
        <w:trPr>
          <w:trHeight w:val="358"/>
        </w:trPr>
        <w:tc>
          <w:tcPr>
            <w:tcW w:w="3757" w:type="dxa"/>
            <w:shd w:val="clear" w:color="auto" w:fill="D9D9D9" w:themeFill="background1" w:themeFillShade="D9"/>
          </w:tcPr>
          <w:p w14:paraId="3B33022D" w14:textId="77777777" w:rsidR="00665D1C" w:rsidRPr="0034321C" w:rsidRDefault="00665D1C" w:rsidP="003E0096">
            <w:pPr>
              <w:spacing w:after="120"/>
              <w:rPr>
                <w:rFonts w:ascii="Arial" w:hAnsi="Arial" w:cs="Arial"/>
                <w:i/>
              </w:rPr>
            </w:pPr>
            <w:r w:rsidRPr="0034321C">
              <w:rPr>
                <w:rFonts w:ascii="Arial" w:hAnsi="Arial" w:cs="Arial"/>
                <w:b/>
              </w:rPr>
              <w:t>Module learning outcome</w:t>
            </w:r>
          </w:p>
        </w:tc>
        <w:tc>
          <w:tcPr>
            <w:tcW w:w="810" w:type="dxa"/>
            <w:vAlign w:val="center"/>
          </w:tcPr>
          <w:p w14:paraId="2EE7587B" w14:textId="77777777" w:rsidR="00665D1C" w:rsidRPr="0034321C" w:rsidRDefault="00665D1C" w:rsidP="003E0096">
            <w:pPr>
              <w:spacing w:after="120"/>
              <w:jc w:val="center"/>
              <w:rPr>
                <w:rFonts w:ascii="Arial" w:hAnsi="Arial" w:cs="Arial"/>
                <w:b/>
                <w:i/>
              </w:rPr>
            </w:pPr>
            <w:r w:rsidRPr="0034321C">
              <w:rPr>
                <w:rFonts w:ascii="Arial" w:hAnsi="Arial" w:cs="Arial"/>
                <w:b/>
                <w:i/>
              </w:rPr>
              <w:t>8.1</w:t>
            </w:r>
          </w:p>
        </w:tc>
        <w:tc>
          <w:tcPr>
            <w:tcW w:w="810" w:type="dxa"/>
            <w:vAlign w:val="center"/>
          </w:tcPr>
          <w:p w14:paraId="7C3A423E" w14:textId="77777777" w:rsidR="00665D1C" w:rsidRPr="0034321C" w:rsidRDefault="00665D1C" w:rsidP="003E0096">
            <w:pPr>
              <w:spacing w:after="120"/>
              <w:jc w:val="center"/>
              <w:rPr>
                <w:rFonts w:ascii="Arial" w:hAnsi="Arial" w:cs="Arial"/>
                <w:b/>
                <w:i/>
              </w:rPr>
            </w:pPr>
            <w:r w:rsidRPr="0034321C">
              <w:rPr>
                <w:rFonts w:ascii="Arial" w:hAnsi="Arial" w:cs="Arial"/>
                <w:b/>
                <w:i/>
              </w:rPr>
              <w:t>8.2</w:t>
            </w:r>
          </w:p>
        </w:tc>
        <w:tc>
          <w:tcPr>
            <w:tcW w:w="810" w:type="dxa"/>
            <w:vAlign w:val="center"/>
          </w:tcPr>
          <w:p w14:paraId="620C4360" w14:textId="77777777" w:rsidR="00665D1C" w:rsidRPr="0034321C" w:rsidRDefault="00665D1C" w:rsidP="003E0096">
            <w:pPr>
              <w:spacing w:after="120"/>
              <w:jc w:val="center"/>
              <w:rPr>
                <w:rFonts w:ascii="Arial" w:hAnsi="Arial" w:cs="Arial"/>
                <w:b/>
                <w:i/>
              </w:rPr>
            </w:pPr>
            <w:r w:rsidRPr="0034321C">
              <w:rPr>
                <w:rFonts w:ascii="Arial" w:hAnsi="Arial" w:cs="Arial"/>
                <w:b/>
                <w:i/>
              </w:rPr>
              <w:t>8.3</w:t>
            </w:r>
          </w:p>
        </w:tc>
        <w:tc>
          <w:tcPr>
            <w:tcW w:w="810" w:type="dxa"/>
            <w:vAlign w:val="center"/>
          </w:tcPr>
          <w:p w14:paraId="0B81A7A6" w14:textId="77777777" w:rsidR="00665D1C" w:rsidRPr="0034321C" w:rsidRDefault="00665D1C" w:rsidP="003E0096">
            <w:pPr>
              <w:spacing w:after="120"/>
              <w:jc w:val="center"/>
              <w:rPr>
                <w:rFonts w:ascii="Arial" w:hAnsi="Arial" w:cs="Arial"/>
                <w:b/>
                <w:i/>
              </w:rPr>
            </w:pPr>
            <w:r w:rsidRPr="0034321C">
              <w:rPr>
                <w:rFonts w:ascii="Arial" w:hAnsi="Arial" w:cs="Arial"/>
                <w:b/>
                <w:i/>
              </w:rPr>
              <w:t>9.1</w:t>
            </w:r>
          </w:p>
        </w:tc>
        <w:tc>
          <w:tcPr>
            <w:tcW w:w="810" w:type="dxa"/>
            <w:vAlign w:val="center"/>
          </w:tcPr>
          <w:p w14:paraId="080942C1" w14:textId="77777777" w:rsidR="00665D1C" w:rsidRPr="0034321C" w:rsidRDefault="00665D1C" w:rsidP="003E0096">
            <w:pPr>
              <w:spacing w:after="120"/>
              <w:jc w:val="center"/>
              <w:rPr>
                <w:rFonts w:ascii="Arial" w:hAnsi="Arial" w:cs="Arial"/>
                <w:b/>
                <w:i/>
              </w:rPr>
            </w:pPr>
            <w:r w:rsidRPr="0034321C">
              <w:rPr>
                <w:rFonts w:ascii="Arial" w:hAnsi="Arial" w:cs="Arial"/>
                <w:b/>
                <w:i/>
              </w:rPr>
              <w:t>9.2</w:t>
            </w:r>
          </w:p>
        </w:tc>
        <w:tc>
          <w:tcPr>
            <w:tcW w:w="810" w:type="dxa"/>
            <w:vAlign w:val="center"/>
          </w:tcPr>
          <w:p w14:paraId="6652A979" w14:textId="77777777" w:rsidR="00665D1C" w:rsidRPr="0034321C" w:rsidRDefault="00665D1C" w:rsidP="003E0096">
            <w:pPr>
              <w:spacing w:after="120"/>
              <w:jc w:val="center"/>
              <w:rPr>
                <w:rFonts w:ascii="Arial" w:hAnsi="Arial" w:cs="Arial"/>
                <w:b/>
                <w:i/>
              </w:rPr>
            </w:pPr>
            <w:r w:rsidRPr="0034321C">
              <w:rPr>
                <w:rFonts w:ascii="Arial" w:hAnsi="Arial" w:cs="Arial"/>
                <w:b/>
                <w:i/>
              </w:rPr>
              <w:t>9.3</w:t>
            </w:r>
          </w:p>
        </w:tc>
      </w:tr>
      <w:tr w:rsidR="00665D1C" w:rsidRPr="0034321C" w14:paraId="39ADBA16" w14:textId="77777777" w:rsidTr="003E0096">
        <w:trPr>
          <w:trHeight w:val="517"/>
        </w:trPr>
        <w:tc>
          <w:tcPr>
            <w:tcW w:w="3757" w:type="dxa"/>
            <w:shd w:val="clear" w:color="auto" w:fill="D9D9D9" w:themeFill="background1" w:themeFillShade="D9"/>
          </w:tcPr>
          <w:p w14:paraId="050C5042" w14:textId="77777777" w:rsidR="00665D1C" w:rsidRPr="0034321C" w:rsidRDefault="00665D1C" w:rsidP="003E0096">
            <w:pPr>
              <w:spacing w:after="120"/>
              <w:rPr>
                <w:rFonts w:ascii="Arial" w:hAnsi="Arial" w:cs="Arial"/>
                <w:b/>
              </w:rPr>
            </w:pPr>
            <w:r w:rsidRPr="0034321C">
              <w:rPr>
                <w:rFonts w:ascii="Arial" w:hAnsi="Arial" w:cs="Arial"/>
                <w:b/>
              </w:rPr>
              <w:t>Learning / teaching method</w:t>
            </w:r>
          </w:p>
        </w:tc>
        <w:tc>
          <w:tcPr>
            <w:tcW w:w="810" w:type="dxa"/>
            <w:shd w:val="clear" w:color="auto" w:fill="D9D9D9" w:themeFill="background1" w:themeFillShade="D9"/>
            <w:vAlign w:val="center"/>
          </w:tcPr>
          <w:p w14:paraId="446F9E89"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0921CE35"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70F071F6"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350D8BC"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F979390"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504F166" w14:textId="77777777" w:rsidR="00665D1C" w:rsidRPr="0034321C" w:rsidRDefault="00665D1C" w:rsidP="003E0096">
            <w:pPr>
              <w:spacing w:after="120"/>
              <w:jc w:val="center"/>
              <w:rPr>
                <w:rFonts w:ascii="Arial" w:hAnsi="Arial" w:cs="Arial"/>
                <w:b/>
              </w:rPr>
            </w:pPr>
          </w:p>
        </w:tc>
      </w:tr>
      <w:tr w:rsidR="00665D1C" w:rsidRPr="0034321C" w14:paraId="13A98FD2" w14:textId="77777777" w:rsidTr="003E0096">
        <w:trPr>
          <w:trHeight w:val="358"/>
        </w:trPr>
        <w:tc>
          <w:tcPr>
            <w:tcW w:w="3757" w:type="dxa"/>
          </w:tcPr>
          <w:p w14:paraId="58C8A446" w14:textId="77777777" w:rsidR="00665D1C" w:rsidRPr="0034321C" w:rsidRDefault="00665D1C" w:rsidP="003E0096">
            <w:pPr>
              <w:spacing w:after="120"/>
              <w:rPr>
                <w:rFonts w:ascii="Arial" w:hAnsi="Arial" w:cs="Arial"/>
              </w:rPr>
            </w:pPr>
            <w:r w:rsidRPr="0034321C">
              <w:rPr>
                <w:rFonts w:ascii="Arial" w:hAnsi="Arial" w:cs="Arial"/>
              </w:rPr>
              <w:t>Lectures</w:t>
            </w:r>
          </w:p>
        </w:tc>
        <w:tc>
          <w:tcPr>
            <w:tcW w:w="810" w:type="dxa"/>
            <w:vAlign w:val="center"/>
          </w:tcPr>
          <w:p w14:paraId="2452F9CF"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1E462EA7"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057875D8"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794D8348" w14:textId="77777777" w:rsidR="00665D1C" w:rsidRPr="0034321C" w:rsidRDefault="00665D1C" w:rsidP="003E0096">
            <w:pPr>
              <w:spacing w:after="120"/>
              <w:jc w:val="center"/>
              <w:rPr>
                <w:rFonts w:ascii="Arial" w:hAnsi="Arial" w:cs="Arial"/>
                <w:b/>
              </w:rPr>
            </w:pPr>
          </w:p>
        </w:tc>
        <w:tc>
          <w:tcPr>
            <w:tcW w:w="810" w:type="dxa"/>
            <w:vAlign w:val="center"/>
          </w:tcPr>
          <w:p w14:paraId="2DB25A9E"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E4B23CF" w14:textId="77777777" w:rsidR="00665D1C" w:rsidRPr="0034321C" w:rsidRDefault="00665D1C" w:rsidP="003E0096">
            <w:pPr>
              <w:spacing w:after="120"/>
              <w:jc w:val="center"/>
              <w:rPr>
                <w:rFonts w:ascii="Arial" w:hAnsi="Arial" w:cs="Arial"/>
                <w:b/>
              </w:rPr>
            </w:pPr>
          </w:p>
        </w:tc>
      </w:tr>
      <w:tr w:rsidR="00665D1C" w:rsidRPr="0034321C" w14:paraId="5AB8FF32" w14:textId="77777777" w:rsidTr="003E0096">
        <w:trPr>
          <w:trHeight w:val="358"/>
        </w:trPr>
        <w:tc>
          <w:tcPr>
            <w:tcW w:w="3757" w:type="dxa"/>
          </w:tcPr>
          <w:p w14:paraId="6AFF3A09" w14:textId="77777777" w:rsidR="00665D1C" w:rsidRPr="0034321C" w:rsidRDefault="00665D1C" w:rsidP="003E0096">
            <w:pPr>
              <w:spacing w:after="120"/>
              <w:rPr>
                <w:rFonts w:ascii="Arial" w:hAnsi="Arial" w:cs="Arial"/>
              </w:rPr>
            </w:pPr>
            <w:r>
              <w:rPr>
                <w:rFonts w:ascii="Arial" w:hAnsi="Arial" w:cs="Arial"/>
              </w:rPr>
              <w:t>Clinic Sessions</w:t>
            </w:r>
          </w:p>
        </w:tc>
        <w:tc>
          <w:tcPr>
            <w:tcW w:w="810" w:type="dxa"/>
          </w:tcPr>
          <w:p w14:paraId="5C6267CD" w14:textId="77777777" w:rsidR="00665D1C" w:rsidRPr="0034321C" w:rsidRDefault="00665D1C" w:rsidP="003E0096">
            <w:pPr>
              <w:spacing w:after="120"/>
              <w:jc w:val="center"/>
              <w:rPr>
                <w:rFonts w:ascii="Arial" w:hAnsi="Arial" w:cs="Arial"/>
                <w:b/>
              </w:rPr>
            </w:pPr>
            <w:r w:rsidRPr="00943DBB">
              <w:rPr>
                <w:rFonts w:ascii="Arial" w:hAnsi="Arial" w:cs="Arial"/>
                <w:b/>
              </w:rPr>
              <w:t>x</w:t>
            </w:r>
          </w:p>
        </w:tc>
        <w:tc>
          <w:tcPr>
            <w:tcW w:w="810" w:type="dxa"/>
          </w:tcPr>
          <w:p w14:paraId="4634F91E" w14:textId="77777777" w:rsidR="00665D1C" w:rsidRDefault="00665D1C" w:rsidP="003E0096">
            <w:pPr>
              <w:spacing w:after="120"/>
              <w:jc w:val="center"/>
              <w:rPr>
                <w:rFonts w:ascii="Arial" w:hAnsi="Arial" w:cs="Arial"/>
                <w:b/>
              </w:rPr>
            </w:pPr>
            <w:r w:rsidRPr="00943DBB">
              <w:rPr>
                <w:rFonts w:ascii="Arial" w:hAnsi="Arial" w:cs="Arial"/>
                <w:b/>
              </w:rPr>
              <w:t>x</w:t>
            </w:r>
          </w:p>
        </w:tc>
        <w:tc>
          <w:tcPr>
            <w:tcW w:w="810" w:type="dxa"/>
          </w:tcPr>
          <w:p w14:paraId="7945BEF9" w14:textId="77777777" w:rsidR="00665D1C" w:rsidRDefault="00665D1C" w:rsidP="003E0096">
            <w:pPr>
              <w:spacing w:after="120"/>
              <w:jc w:val="center"/>
              <w:rPr>
                <w:rFonts w:ascii="Arial" w:hAnsi="Arial" w:cs="Arial"/>
                <w:b/>
              </w:rPr>
            </w:pPr>
            <w:r w:rsidRPr="00943DBB">
              <w:rPr>
                <w:rFonts w:ascii="Arial" w:hAnsi="Arial" w:cs="Arial"/>
                <w:b/>
              </w:rPr>
              <w:t>x</w:t>
            </w:r>
          </w:p>
        </w:tc>
        <w:tc>
          <w:tcPr>
            <w:tcW w:w="810" w:type="dxa"/>
            <w:vAlign w:val="center"/>
          </w:tcPr>
          <w:p w14:paraId="03BC56D0"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6B5B22E1" w14:textId="77777777" w:rsidR="00665D1C" w:rsidRPr="0034321C" w:rsidRDefault="00665D1C" w:rsidP="003E0096">
            <w:pPr>
              <w:spacing w:after="120"/>
              <w:jc w:val="center"/>
              <w:rPr>
                <w:rFonts w:ascii="Arial" w:hAnsi="Arial" w:cs="Arial"/>
                <w:b/>
              </w:rPr>
            </w:pPr>
          </w:p>
        </w:tc>
        <w:tc>
          <w:tcPr>
            <w:tcW w:w="810" w:type="dxa"/>
            <w:vAlign w:val="center"/>
          </w:tcPr>
          <w:p w14:paraId="22561038" w14:textId="77777777" w:rsidR="00665D1C" w:rsidRPr="0034321C" w:rsidRDefault="00665D1C" w:rsidP="003E0096">
            <w:pPr>
              <w:spacing w:after="120"/>
              <w:jc w:val="center"/>
              <w:rPr>
                <w:rFonts w:ascii="Arial" w:hAnsi="Arial" w:cs="Arial"/>
                <w:b/>
              </w:rPr>
            </w:pPr>
          </w:p>
        </w:tc>
      </w:tr>
      <w:tr w:rsidR="00665D1C" w:rsidRPr="0034321C" w14:paraId="3A74209F" w14:textId="77777777" w:rsidTr="003E0096">
        <w:trPr>
          <w:trHeight w:val="358"/>
        </w:trPr>
        <w:tc>
          <w:tcPr>
            <w:tcW w:w="3757" w:type="dxa"/>
          </w:tcPr>
          <w:p w14:paraId="06230C9D" w14:textId="77777777" w:rsidR="00665D1C" w:rsidRPr="0034321C" w:rsidRDefault="00665D1C" w:rsidP="003E0096">
            <w:pPr>
              <w:spacing w:after="120"/>
              <w:rPr>
                <w:rFonts w:ascii="Arial" w:hAnsi="Arial" w:cs="Arial"/>
              </w:rPr>
            </w:pPr>
            <w:r>
              <w:rPr>
                <w:rFonts w:ascii="Arial" w:hAnsi="Arial" w:cs="Arial"/>
              </w:rPr>
              <w:t>Fieldwork visits</w:t>
            </w:r>
          </w:p>
        </w:tc>
        <w:tc>
          <w:tcPr>
            <w:tcW w:w="810" w:type="dxa"/>
          </w:tcPr>
          <w:p w14:paraId="09A7A8A6"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tcPr>
          <w:p w14:paraId="7FFD91F6" w14:textId="77777777" w:rsidR="00665D1C" w:rsidRDefault="00665D1C" w:rsidP="003E0096">
            <w:pPr>
              <w:spacing w:after="120"/>
              <w:jc w:val="center"/>
              <w:rPr>
                <w:rFonts w:ascii="Arial" w:hAnsi="Arial" w:cs="Arial"/>
                <w:b/>
              </w:rPr>
            </w:pPr>
            <w:r w:rsidRPr="006C1AC2">
              <w:rPr>
                <w:rFonts w:ascii="Arial" w:hAnsi="Arial" w:cs="Arial"/>
                <w:b/>
              </w:rPr>
              <w:t>x</w:t>
            </w:r>
          </w:p>
        </w:tc>
        <w:tc>
          <w:tcPr>
            <w:tcW w:w="810" w:type="dxa"/>
          </w:tcPr>
          <w:p w14:paraId="3DD58A45" w14:textId="77777777" w:rsidR="00665D1C" w:rsidRDefault="00665D1C" w:rsidP="003E0096">
            <w:pPr>
              <w:spacing w:after="120"/>
              <w:jc w:val="center"/>
              <w:rPr>
                <w:rFonts w:ascii="Arial" w:hAnsi="Arial" w:cs="Arial"/>
                <w:b/>
              </w:rPr>
            </w:pPr>
            <w:r w:rsidRPr="006C1AC2">
              <w:rPr>
                <w:rFonts w:ascii="Arial" w:hAnsi="Arial" w:cs="Arial"/>
                <w:b/>
              </w:rPr>
              <w:t>x</w:t>
            </w:r>
          </w:p>
        </w:tc>
        <w:tc>
          <w:tcPr>
            <w:tcW w:w="810" w:type="dxa"/>
          </w:tcPr>
          <w:p w14:paraId="4426554E"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tcPr>
          <w:p w14:paraId="0DA35BD1"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vAlign w:val="center"/>
          </w:tcPr>
          <w:p w14:paraId="4F062988" w14:textId="77777777" w:rsidR="00665D1C" w:rsidRPr="0034321C" w:rsidRDefault="00665D1C" w:rsidP="003E0096">
            <w:pPr>
              <w:spacing w:after="120"/>
              <w:jc w:val="center"/>
              <w:rPr>
                <w:rFonts w:ascii="Arial" w:hAnsi="Arial" w:cs="Arial"/>
                <w:b/>
              </w:rPr>
            </w:pPr>
            <w:r>
              <w:rPr>
                <w:rFonts w:ascii="Arial" w:hAnsi="Arial" w:cs="Arial"/>
                <w:b/>
              </w:rPr>
              <w:t>x</w:t>
            </w:r>
          </w:p>
        </w:tc>
      </w:tr>
      <w:tr w:rsidR="00665D1C" w:rsidRPr="0034321C" w14:paraId="7CFFB108" w14:textId="77777777" w:rsidTr="003E0096">
        <w:trPr>
          <w:trHeight w:val="358"/>
        </w:trPr>
        <w:tc>
          <w:tcPr>
            <w:tcW w:w="3757" w:type="dxa"/>
          </w:tcPr>
          <w:p w14:paraId="141441EA" w14:textId="77777777" w:rsidR="00665D1C" w:rsidRPr="0034321C" w:rsidRDefault="00665D1C" w:rsidP="003E0096">
            <w:pPr>
              <w:spacing w:after="120"/>
              <w:rPr>
                <w:rFonts w:ascii="Arial" w:hAnsi="Arial" w:cs="Arial"/>
              </w:rPr>
            </w:pPr>
            <w:r>
              <w:rPr>
                <w:rFonts w:ascii="Arial" w:hAnsi="Arial" w:cs="Arial"/>
              </w:rPr>
              <w:t>Presentation session</w:t>
            </w:r>
          </w:p>
        </w:tc>
        <w:tc>
          <w:tcPr>
            <w:tcW w:w="810" w:type="dxa"/>
            <w:vAlign w:val="center"/>
          </w:tcPr>
          <w:p w14:paraId="683172CA" w14:textId="77777777" w:rsidR="00665D1C" w:rsidRPr="0034321C" w:rsidRDefault="00665D1C" w:rsidP="003E0096">
            <w:pPr>
              <w:spacing w:after="120"/>
              <w:jc w:val="center"/>
              <w:rPr>
                <w:rFonts w:ascii="Arial" w:hAnsi="Arial" w:cs="Arial"/>
                <w:b/>
              </w:rPr>
            </w:pPr>
          </w:p>
        </w:tc>
        <w:tc>
          <w:tcPr>
            <w:tcW w:w="810" w:type="dxa"/>
            <w:vAlign w:val="center"/>
          </w:tcPr>
          <w:p w14:paraId="4C0DA5D8" w14:textId="77777777" w:rsidR="00665D1C" w:rsidRDefault="00665D1C" w:rsidP="003E0096">
            <w:pPr>
              <w:spacing w:after="120"/>
              <w:jc w:val="center"/>
              <w:rPr>
                <w:rFonts w:ascii="Arial" w:hAnsi="Arial" w:cs="Arial"/>
                <w:b/>
              </w:rPr>
            </w:pPr>
            <w:r>
              <w:rPr>
                <w:rFonts w:ascii="Arial" w:hAnsi="Arial" w:cs="Arial"/>
                <w:b/>
              </w:rPr>
              <w:t>x</w:t>
            </w:r>
          </w:p>
        </w:tc>
        <w:tc>
          <w:tcPr>
            <w:tcW w:w="810" w:type="dxa"/>
            <w:vAlign w:val="center"/>
          </w:tcPr>
          <w:p w14:paraId="42A02FFA" w14:textId="77777777" w:rsidR="00665D1C" w:rsidRDefault="00665D1C" w:rsidP="003E0096">
            <w:pPr>
              <w:spacing w:after="120"/>
              <w:jc w:val="center"/>
              <w:rPr>
                <w:rFonts w:ascii="Arial" w:hAnsi="Arial" w:cs="Arial"/>
                <w:b/>
              </w:rPr>
            </w:pPr>
          </w:p>
        </w:tc>
        <w:tc>
          <w:tcPr>
            <w:tcW w:w="810" w:type="dxa"/>
            <w:vAlign w:val="center"/>
          </w:tcPr>
          <w:p w14:paraId="165D61DD" w14:textId="77777777" w:rsidR="00665D1C" w:rsidRPr="0034321C" w:rsidRDefault="00665D1C" w:rsidP="003E0096">
            <w:pPr>
              <w:spacing w:after="120"/>
              <w:jc w:val="center"/>
              <w:rPr>
                <w:rFonts w:ascii="Arial" w:hAnsi="Arial" w:cs="Arial"/>
                <w:b/>
              </w:rPr>
            </w:pPr>
          </w:p>
        </w:tc>
        <w:tc>
          <w:tcPr>
            <w:tcW w:w="810" w:type="dxa"/>
            <w:vAlign w:val="center"/>
          </w:tcPr>
          <w:p w14:paraId="17801F2C" w14:textId="77777777" w:rsidR="00665D1C" w:rsidRPr="0034321C" w:rsidRDefault="00665D1C" w:rsidP="003E0096">
            <w:pPr>
              <w:spacing w:after="120"/>
              <w:jc w:val="center"/>
              <w:rPr>
                <w:rFonts w:ascii="Arial" w:hAnsi="Arial" w:cs="Arial"/>
                <w:b/>
              </w:rPr>
            </w:pPr>
          </w:p>
        </w:tc>
        <w:tc>
          <w:tcPr>
            <w:tcW w:w="810" w:type="dxa"/>
            <w:vAlign w:val="center"/>
          </w:tcPr>
          <w:p w14:paraId="2938A431" w14:textId="77777777" w:rsidR="00665D1C" w:rsidRPr="0034321C" w:rsidRDefault="00665D1C" w:rsidP="003E0096">
            <w:pPr>
              <w:spacing w:after="120"/>
              <w:jc w:val="center"/>
              <w:rPr>
                <w:rFonts w:ascii="Arial" w:hAnsi="Arial" w:cs="Arial"/>
                <w:b/>
              </w:rPr>
            </w:pPr>
            <w:r>
              <w:rPr>
                <w:rFonts w:ascii="Arial" w:hAnsi="Arial" w:cs="Arial"/>
                <w:b/>
              </w:rPr>
              <w:t>x</w:t>
            </w:r>
          </w:p>
        </w:tc>
      </w:tr>
      <w:tr w:rsidR="00665D1C" w:rsidRPr="0034321C" w14:paraId="77E0C778" w14:textId="77777777" w:rsidTr="003E0096">
        <w:trPr>
          <w:trHeight w:val="378"/>
        </w:trPr>
        <w:tc>
          <w:tcPr>
            <w:tcW w:w="3757" w:type="dxa"/>
          </w:tcPr>
          <w:p w14:paraId="783779D0" w14:textId="77777777" w:rsidR="00665D1C" w:rsidRPr="0034321C" w:rsidRDefault="00665D1C" w:rsidP="003E0096">
            <w:pPr>
              <w:spacing w:after="120"/>
              <w:rPr>
                <w:rFonts w:ascii="Arial" w:hAnsi="Arial" w:cs="Arial"/>
              </w:rPr>
            </w:pPr>
            <w:r w:rsidRPr="0034321C">
              <w:rPr>
                <w:rFonts w:ascii="Arial" w:hAnsi="Arial" w:cs="Arial"/>
              </w:rPr>
              <w:t>Private study</w:t>
            </w:r>
          </w:p>
        </w:tc>
        <w:tc>
          <w:tcPr>
            <w:tcW w:w="810" w:type="dxa"/>
            <w:vAlign w:val="center"/>
          </w:tcPr>
          <w:p w14:paraId="03490EC9"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4C8EFFD"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BAB94E1"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107B4FA9"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5ABCAA7"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0A8A54B8"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r w:rsidR="00665D1C" w:rsidRPr="0034321C" w14:paraId="23D715AE" w14:textId="77777777" w:rsidTr="003E0096">
        <w:trPr>
          <w:trHeight w:val="358"/>
        </w:trPr>
        <w:tc>
          <w:tcPr>
            <w:tcW w:w="3757" w:type="dxa"/>
            <w:shd w:val="clear" w:color="auto" w:fill="D9D9D9" w:themeFill="background1" w:themeFillShade="D9"/>
          </w:tcPr>
          <w:p w14:paraId="05514261" w14:textId="77777777" w:rsidR="00665D1C" w:rsidRPr="00543D91" w:rsidRDefault="00665D1C" w:rsidP="003E0096">
            <w:pPr>
              <w:spacing w:after="120"/>
              <w:rPr>
                <w:rFonts w:ascii="Arial" w:hAnsi="Arial" w:cs="Arial"/>
                <w:b/>
                <w:iCs/>
              </w:rPr>
            </w:pPr>
            <w:r w:rsidRPr="00543D91">
              <w:rPr>
                <w:rFonts w:ascii="Arial" w:hAnsi="Arial" w:cs="Arial"/>
                <w:b/>
                <w:iCs/>
              </w:rPr>
              <w:t>Assessment Methods</w:t>
            </w:r>
          </w:p>
        </w:tc>
        <w:tc>
          <w:tcPr>
            <w:tcW w:w="810" w:type="dxa"/>
            <w:shd w:val="clear" w:color="auto" w:fill="D9D9D9" w:themeFill="background1" w:themeFillShade="D9"/>
            <w:vAlign w:val="center"/>
          </w:tcPr>
          <w:p w14:paraId="196C396A"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67E3577F"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17A081A0"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03998C7A"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34AEE463"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347C690E" w14:textId="77777777" w:rsidR="00665D1C" w:rsidRPr="0034321C" w:rsidRDefault="00665D1C" w:rsidP="003E0096">
            <w:pPr>
              <w:spacing w:after="120"/>
              <w:jc w:val="center"/>
              <w:rPr>
                <w:rFonts w:ascii="Arial" w:hAnsi="Arial" w:cs="Arial"/>
                <w:b/>
              </w:rPr>
            </w:pPr>
          </w:p>
        </w:tc>
      </w:tr>
      <w:tr w:rsidR="00665D1C" w:rsidRPr="0034321C" w14:paraId="1E05BA6A" w14:textId="77777777" w:rsidTr="003E0096">
        <w:trPr>
          <w:trHeight w:val="358"/>
        </w:trPr>
        <w:tc>
          <w:tcPr>
            <w:tcW w:w="3757" w:type="dxa"/>
          </w:tcPr>
          <w:p w14:paraId="0D6774A7" w14:textId="77777777" w:rsidR="00665D1C" w:rsidRPr="0034321C" w:rsidRDefault="00665D1C" w:rsidP="003E0096">
            <w:pPr>
              <w:spacing w:after="120"/>
              <w:rPr>
                <w:rFonts w:ascii="Arial" w:hAnsi="Arial" w:cs="Arial"/>
                <w:i/>
              </w:rPr>
            </w:pPr>
            <w:r>
              <w:rPr>
                <w:rFonts w:ascii="Arial" w:hAnsi="Arial" w:cs="Arial"/>
                <w:iCs/>
              </w:rPr>
              <w:t>Literature Review (1,500 words)</w:t>
            </w:r>
          </w:p>
        </w:tc>
        <w:tc>
          <w:tcPr>
            <w:tcW w:w="810" w:type="dxa"/>
            <w:vAlign w:val="center"/>
          </w:tcPr>
          <w:p w14:paraId="54F2E63C" w14:textId="5F3EF3AB" w:rsidR="00665D1C" w:rsidRPr="0034321C" w:rsidRDefault="00665D1C" w:rsidP="003E0096">
            <w:pPr>
              <w:spacing w:after="120"/>
              <w:jc w:val="center"/>
              <w:rPr>
                <w:rFonts w:ascii="Arial" w:hAnsi="Arial" w:cs="Arial"/>
                <w:b/>
              </w:rPr>
            </w:pPr>
          </w:p>
        </w:tc>
        <w:tc>
          <w:tcPr>
            <w:tcW w:w="810" w:type="dxa"/>
            <w:vAlign w:val="center"/>
          </w:tcPr>
          <w:p w14:paraId="05777526"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52D5F51E"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75295038"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CF769C2"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AA1033B"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r w:rsidR="00665D1C" w:rsidRPr="0034321C" w14:paraId="2FDCB7DA" w14:textId="77777777" w:rsidTr="003E0096">
        <w:trPr>
          <w:trHeight w:val="368"/>
        </w:trPr>
        <w:tc>
          <w:tcPr>
            <w:tcW w:w="3757" w:type="dxa"/>
          </w:tcPr>
          <w:p w14:paraId="5CCD2F06" w14:textId="77777777" w:rsidR="00665D1C" w:rsidRPr="0034321C" w:rsidRDefault="00665D1C" w:rsidP="003E0096">
            <w:pPr>
              <w:spacing w:after="120"/>
              <w:rPr>
                <w:rFonts w:ascii="Arial" w:hAnsi="Arial" w:cs="Arial"/>
                <w:i/>
              </w:rPr>
            </w:pPr>
            <w:r>
              <w:rPr>
                <w:rFonts w:ascii="Arial" w:hAnsi="Arial" w:cs="Arial"/>
                <w:iCs/>
              </w:rPr>
              <w:t>Project Report (3,500 words)</w:t>
            </w:r>
          </w:p>
        </w:tc>
        <w:tc>
          <w:tcPr>
            <w:tcW w:w="810" w:type="dxa"/>
            <w:vAlign w:val="center"/>
          </w:tcPr>
          <w:p w14:paraId="4691F410"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84CDF74"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8255694"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7B776C1D"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F7B9A82"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33E33E60"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bl>
    <w:p w14:paraId="4185EAE8" w14:textId="77777777" w:rsidR="00665D1C" w:rsidRDefault="00665D1C" w:rsidP="00665D1C">
      <w:pPr>
        <w:spacing w:after="120" w:line="240" w:lineRule="auto"/>
        <w:ind w:left="426" w:right="260"/>
        <w:rPr>
          <w:rFonts w:ascii="Arial" w:hAnsi="Arial" w:cs="Arial"/>
          <w:b/>
          <w:iCs/>
        </w:rPr>
      </w:pPr>
    </w:p>
    <w:p w14:paraId="49918F69" w14:textId="77777777" w:rsidR="00665D1C" w:rsidRPr="00D50113" w:rsidRDefault="00665D1C" w:rsidP="008C09A3">
      <w:pPr>
        <w:numPr>
          <w:ilvl w:val="0"/>
          <w:numId w:val="19"/>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3793C5" w14:textId="77777777" w:rsidR="00665D1C" w:rsidRPr="00D50113" w:rsidRDefault="00665D1C" w:rsidP="00665D1C">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F2CEA99" w14:textId="77777777" w:rsidR="00665D1C" w:rsidRPr="00D50113" w:rsidRDefault="00665D1C" w:rsidP="00665D1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30B724" w14:textId="77777777" w:rsidR="00665D1C" w:rsidRPr="00D50113" w:rsidRDefault="00665D1C" w:rsidP="00665D1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EEA575" w14:textId="77777777" w:rsidR="00665D1C" w:rsidRPr="00D50113" w:rsidRDefault="00665D1C" w:rsidP="00665D1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4E8159" w14:textId="77777777" w:rsidR="00665D1C" w:rsidRDefault="00665D1C" w:rsidP="008C09A3">
      <w:pPr>
        <w:numPr>
          <w:ilvl w:val="0"/>
          <w:numId w:val="19"/>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60C5194F" w14:textId="77777777" w:rsidR="00665D1C" w:rsidRPr="00836D37" w:rsidRDefault="00665D1C" w:rsidP="00665D1C">
      <w:pPr>
        <w:spacing w:after="120" w:line="240" w:lineRule="auto"/>
        <w:ind w:left="1124" w:right="259" w:hanging="562"/>
        <w:jc w:val="both"/>
        <w:rPr>
          <w:rFonts w:ascii="Arial" w:hAnsi="Arial" w:cs="Arial"/>
        </w:rPr>
      </w:pPr>
      <w:r w:rsidRPr="00836D37">
        <w:rPr>
          <w:rFonts w:ascii="Arial" w:hAnsi="Arial" w:cs="Arial"/>
        </w:rPr>
        <w:t>Canterbury</w:t>
      </w:r>
    </w:p>
    <w:p w14:paraId="0468CDB6" w14:textId="77777777" w:rsidR="00665D1C" w:rsidRPr="002A7F48" w:rsidRDefault="00665D1C" w:rsidP="008C09A3">
      <w:pPr>
        <w:numPr>
          <w:ilvl w:val="0"/>
          <w:numId w:val="19"/>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3A862B5" w14:textId="77777777" w:rsidR="00665D1C" w:rsidRPr="00DE2DA1" w:rsidRDefault="00665D1C" w:rsidP="00665D1C">
      <w:pPr>
        <w:spacing w:after="120" w:line="240" w:lineRule="auto"/>
        <w:ind w:left="540" w:right="259"/>
        <w:jc w:val="both"/>
        <w:rPr>
          <w:rFonts w:ascii="Arial" w:hAnsi="Arial" w:cs="Arial"/>
        </w:rPr>
      </w:pPr>
      <w:r w:rsidRPr="00DE2DA1">
        <w:rPr>
          <w:rFonts w:ascii="Arial" w:hAnsi="Arial" w:cs="Arial"/>
        </w:rPr>
        <w:t xml:space="preserve">The module discusses topics of universal nature (e.g. social and health psychology topics) as well as specific topics linked to international studies such as social impacts of learning disabilities. Module readings for this module feature research undertaken in various countries. </w:t>
      </w:r>
    </w:p>
    <w:p w14:paraId="2DDF9E4F" w14:textId="77777777" w:rsidR="00665D1C" w:rsidRPr="00302082" w:rsidRDefault="00665D1C" w:rsidP="00665D1C">
      <w:pPr>
        <w:pBdr>
          <w:bottom w:val="single" w:sz="6" w:space="1" w:color="auto"/>
        </w:pBdr>
        <w:spacing w:after="120" w:line="240" w:lineRule="auto"/>
        <w:ind w:right="261"/>
        <w:rPr>
          <w:rFonts w:ascii="Arial" w:hAnsi="Arial" w:cs="Arial"/>
        </w:rPr>
      </w:pPr>
    </w:p>
    <w:p w14:paraId="76C90D65" w14:textId="77777777" w:rsidR="00665D1C" w:rsidRPr="00BA453C" w:rsidRDefault="00665D1C" w:rsidP="00665D1C">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1A13CD96" w14:textId="77777777" w:rsidR="00665D1C" w:rsidRPr="00BA453C" w:rsidRDefault="00665D1C" w:rsidP="00665D1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C2AA92" w14:textId="77777777" w:rsidR="00665D1C" w:rsidRPr="00302082" w:rsidRDefault="00665D1C" w:rsidP="00665D1C">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665D1C" w:rsidRPr="00BA453C" w14:paraId="3D3ADDE1" w14:textId="77777777" w:rsidTr="003E0096">
        <w:trPr>
          <w:trHeight w:val="317"/>
        </w:trPr>
        <w:tc>
          <w:tcPr>
            <w:tcW w:w="1526" w:type="dxa"/>
          </w:tcPr>
          <w:p w14:paraId="3B16438F" w14:textId="77777777" w:rsidR="00665D1C" w:rsidRPr="00BA453C" w:rsidRDefault="00665D1C" w:rsidP="003E0096">
            <w:pPr>
              <w:spacing w:after="120"/>
              <w:ind w:right="-330"/>
              <w:rPr>
                <w:rFonts w:ascii="Arial" w:hAnsi="Arial" w:cs="Arial"/>
                <w:sz w:val="18"/>
              </w:rPr>
            </w:pPr>
            <w:r w:rsidRPr="00BA453C">
              <w:rPr>
                <w:rFonts w:ascii="Arial" w:hAnsi="Arial" w:cs="Arial"/>
                <w:sz w:val="18"/>
              </w:rPr>
              <w:t>Date approved</w:t>
            </w:r>
          </w:p>
        </w:tc>
        <w:tc>
          <w:tcPr>
            <w:tcW w:w="1701" w:type="dxa"/>
          </w:tcPr>
          <w:p w14:paraId="602A9858" w14:textId="77777777" w:rsidR="00665D1C" w:rsidRPr="00BA453C" w:rsidRDefault="00665D1C" w:rsidP="003E0096">
            <w:pPr>
              <w:spacing w:after="120"/>
              <w:rPr>
                <w:rFonts w:ascii="Arial" w:hAnsi="Arial" w:cs="Arial"/>
                <w:sz w:val="18"/>
              </w:rPr>
            </w:pPr>
            <w:r w:rsidRPr="00BA453C">
              <w:rPr>
                <w:rFonts w:ascii="Arial" w:hAnsi="Arial" w:cs="Arial"/>
                <w:sz w:val="18"/>
              </w:rPr>
              <w:t>Major/minor revision</w:t>
            </w:r>
          </w:p>
        </w:tc>
        <w:tc>
          <w:tcPr>
            <w:tcW w:w="2410" w:type="dxa"/>
          </w:tcPr>
          <w:p w14:paraId="5D23482D" w14:textId="77777777" w:rsidR="00665D1C" w:rsidRPr="00BA453C" w:rsidRDefault="00665D1C" w:rsidP="003E009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94C8E1" w14:textId="77777777" w:rsidR="00665D1C" w:rsidRPr="00BA453C" w:rsidRDefault="00665D1C" w:rsidP="003E0096">
            <w:pPr>
              <w:spacing w:after="120"/>
              <w:ind w:right="-330"/>
              <w:rPr>
                <w:rFonts w:ascii="Arial" w:hAnsi="Arial" w:cs="Arial"/>
                <w:sz w:val="18"/>
              </w:rPr>
            </w:pPr>
            <w:r w:rsidRPr="00BA453C">
              <w:rPr>
                <w:rFonts w:ascii="Arial" w:hAnsi="Arial" w:cs="Arial"/>
                <w:sz w:val="18"/>
              </w:rPr>
              <w:t>Section revised</w:t>
            </w:r>
          </w:p>
        </w:tc>
        <w:tc>
          <w:tcPr>
            <w:tcW w:w="2400" w:type="dxa"/>
          </w:tcPr>
          <w:p w14:paraId="3FEB341C" w14:textId="77777777" w:rsidR="00665D1C" w:rsidRPr="00BA453C" w:rsidRDefault="00665D1C" w:rsidP="003E00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65D1C" w:rsidRPr="00302082" w14:paraId="458B2308" w14:textId="77777777" w:rsidTr="003E0096">
        <w:trPr>
          <w:trHeight w:val="305"/>
        </w:trPr>
        <w:tc>
          <w:tcPr>
            <w:tcW w:w="1526" w:type="dxa"/>
          </w:tcPr>
          <w:p w14:paraId="165ED410" w14:textId="77777777" w:rsidR="00665D1C" w:rsidRPr="00302082" w:rsidRDefault="00665D1C" w:rsidP="003E0096">
            <w:pPr>
              <w:spacing w:after="120"/>
              <w:ind w:right="-330"/>
              <w:rPr>
                <w:rFonts w:ascii="Arial" w:hAnsi="Arial" w:cs="Arial"/>
              </w:rPr>
            </w:pPr>
            <w:r>
              <w:rPr>
                <w:rFonts w:ascii="Arial" w:hAnsi="Arial" w:cs="Arial"/>
              </w:rPr>
              <w:t>21/03/16</w:t>
            </w:r>
          </w:p>
        </w:tc>
        <w:tc>
          <w:tcPr>
            <w:tcW w:w="1701" w:type="dxa"/>
          </w:tcPr>
          <w:p w14:paraId="4EFA1CB0" w14:textId="77777777" w:rsidR="00665D1C" w:rsidRPr="00302082" w:rsidRDefault="00665D1C" w:rsidP="003E0096">
            <w:pPr>
              <w:spacing w:after="120"/>
              <w:ind w:right="-330"/>
              <w:rPr>
                <w:rFonts w:ascii="Arial" w:hAnsi="Arial" w:cs="Arial"/>
              </w:rPr>
            </w:pPr>
            <w:r>
              <w:rPr>
                <w:rFonts w:ascii="Arial" w:hAnsi="Arial" w:cs="Arial"/>
              </w:rPr>
              <w:t>Minor</w:t>
            </w:r>
          </w:p>
        </w:tc>
        <w:tc>
          <w:tcPr>
            <w:tcW w:w="2410" w:type="dxa"/>
          </w:tcPr>
          <w:p w14:paraId="6C2B7296" w14:textId="77777777" w:rsidR="00665D1C" w:rsidRPr="00302082" w:rsidRDefault="00665D1C" w:rsidP="003E0096">
            <w:pPr>
              <w:spacing w:after="120"/>
              <w:ind w:right="-330"/>
              <w:rPr>
                <w:rFonts w:ascii="Arial" w:hAnsi="Arial" w:cs="Arial"/>
              </w:rPr>
            </w:pPr>
            <w:r>
              <w:rPr>
                <w:rFonts w:ascii="Arial" w:hAnsi="Arial" w:cs="Arial"/>
              </w:rPr>
              <w:t>September 2016</w:t>
            </w:r>
          </w:p>
        </w:tc>
        <w:tc>
          <w:tcPr>
            <w:tcW w:w="2448" w:type="dxa"/>
          </w:tcPr>
          <w:p w14:paraId="59D7DED9" w14:textId="77777777" w:rsidR="00665D1C" w:rsidRPr="00302082" w:rsidRDefault="00665D1C" w:rsidP="003E0096">
            <w:pPr>
              <w:spacing w:after="120"/>
              <w:ind w:right="-330"/>
              <w:rPr>
                <w:rFonts w:ascii="Arial" w:hAnsi="Arial" w:cs="Arial"/>
              </w:rPr>
            </w:pPr>
            <w:r>
              <w:rPr>
                <w:rFonts w:ascii="Arial" w:hAnsi="Arial" w:cs="Arial"/>
              </w:rPr>
              <w:t>13,14</w:t>
            </w:r>
          </w:p>
        </w:tc>
        <w:tc>
          <w:tcPr>
            <w:tcW w:w="2400" w:type="dxa"/>
          </w:tcPr>
          <w:p w14:paraId="498D1C7F" w14:textId="77777777" w:rsidR="00665D1C" w:rsidRPr="00302082" w:rsidRDefault="00665D1C" w:rsidP="003E0096">
            <w:pPr>
              <w:spacing w:after="120"/>
              <w:ind w:right="-330"/>
              <w:rPr>
                <w:rFonts w:ascii="Arial" w:hAnsi="Arial" w:cs="Arial"/>
              </w:rPr>
            </w:pPr>
            <w:r>
              <w:rPr>
                <w:rFonts w:ascii="Arial" w:hAnsi="Arial" w:cs="Arial"/>
              </w:rPr>
              <w:t>No</w:t>
            </w:r>
          </w:p>
        </w:tc>
      </w:tr>
      <w:tr w:rsidR="00665D1C" w:rsidRPr="00302082" w14:paraId="74B1DAF3" w14:textId="77777777" w:rsidTr="003E0096">
        <w:trPr>
          <w:trHeight w:val="305"/>
        </w:trPr>
        <w:tc>
          <w:tcPr>
            <w:tcW w:w="1526" w:type="dxa"/>
          </w:tcPr>
          <w:p w14:paraId="05CBBD28" w14:textId="77777777" w:rsidR="00665D1C" w:rsidRPr="00302082" w:rsidRDefault="00665D1C" w:rsidP="003E0096">
            <w:pPr>
              <w:spacing w:after="120"/>
              <w:ind w:right="-330"/>
              <w:rPr>
                <w:rFonts w:ascii="Arial" w:hAnsi="Arial" w:cs="Arial"/>
              </w:rPr>
            </w:pPr>
          </w:p>
        </w:tc>
        <w:tc>
          <w:tcPr>
            <w:tcW w:w="1701" w:type="dxa"/>
          </w:tcPr>
          <w:p w14:paraId="74245370" w14:textId="77777777" w:rsidR="00665D1C" w:rsidRPr="00302082" w:rsidRDefault="00665D1C" w:rsidP="003E0096">
            <w:pPr>
              <w:spacing w:after="120"/>
              <w:ind w:right="-330"/>
              <w:rPr>
                <w:rFonts w:ascii="Arial" w:hAnsi="Arial" w:cs="Arial"/>
              </w:rPr>
            </w:pPr>
          </w:p>
        </w:tc>
        <w:tc>
          <w:tcPr>
            <w:tcW w:w="2410" w:type="dxa"/>
          </w:tcPr>
          <w:p w14:paraId="30A1DA76" w14:textId="77777777" w:rsidR="00665D1C" w:rsidRPr="00302082" w:rsidRDefault="00665D1C" w:rsidP="003E0096">
            <w:pPr>
              <w:spacing w:after="120"/>
              <w:ind w:right="-330"/>
              <w:rPr>
                <w:rFonts w:ascii="Arial" w:hAnsi="Arial" w:cs="Arial"/>
              </w:rPr>
            </w:pPr>
          </w:p>
        </w:tc>
        <w:tc>
          <w:tcPr>
            <w:tcW w:w="2448" w:type="dxa"/>
          </w:tcPr>
          <w:p w14:paraId="4C46B490" w14:textId="77777777" w:rsidR="00665D1C" w:rsidRPr="00302082" w:rsidRDefault="00665D1C" w:rsidP="003E0096">
            <w:pPr>
              <w:spacing w:after="120"/>
              <w:ind w:right="-330"/>
              <w:rPr>
                <w:rFonts w:ascii="Arial" w:hAnsi="Arial" w:cs="Arial"/>
              </w:rPr>
            </w:pPr>
          </w:p>
        </w:tc>
        <w:tc>
          <w:tcPr>
            <w:tcW w:w="2400" w:type="dxa"/>
          </w:tcPr>
          <w:p w14:paraId="4F89CE08" w14:textId="77777777" w:rsidR="00665D1C" w:rsidRPr="00302082" w:rsidRDefault="00665D1C" w:rsidP="003E0096">
            <w:pPr>
              <w:spacing w:after="120"/>
              <w:ind w:right="-330"/>
              <w:rPr>
                <w:rFonts w:ascii="Arial" w:hAnsi="Arial" w:cs="Arial"/>
              </w:rPr>
            </w:pPr>
          </w:p>
        </w:tc>
      </w:tr>
    </w:tbl>
    <w:p w14:paraId="66299882" w14:textId="77777777" w:rsidR="00665D1C" w:rsidRDefault="00665D1C" w:rsidP="00665D1C">
      <w:pPr>
        <w:spacing w:after="120" w:line="240" w:lineRule="auto"/>
        <w:ind w:right="-330"/>
        <w:rPr>
          <w:rFonts w:ascii="Arial" w:hAnsi="Arial" w:cs="Arial"/>
        </w:rPr>
      </w:pPr>
    </w:p>
    <w:p w14:paraId="49C3434A" w14:textId="11D774B7" w:rsidR="00D83563" w:rsidRPr="00302082" w:rsidRDefault="00665D1C" w:rsidP="00645DC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CF6B" w14:textId="77777777" w:rsidR="00EC4548" w:rsidRDefault="00EC4548" w:rsidP="009A2D37">
      <w:pPr>
        <w:spacing w:after="0" w:line="240" w:lineRule="auto"/>
      </w:pPr>
      <w:r>
        <w:separator/>
      </w:r>
    </w:p>
  </w:endnote>
  <w:endnote w:type="continuationSeparator" w:id="0">
    <w:p w14:paraId="1722F7F6" w14:textId="77777777" w:rsidR="00EC4548" w:rsidRDefault="00EC4548" w:rsidP="009A2D37">
      <w:pPr>
        <w:spacing w:after="0" w:line="240" w:lineRule="auto"/>
      </w:pPr>
      <w:r>
        <w:continuationSeparator/>
      </w:r>
    </w:p>
  </w:endnote>
  <w:endnote w:type="continuationNotice" w:id="1">
    <w:p w14:paraId="1AA8574A" w14:textId="77777777" w:rsidR="00EC4548" w:rsidRDefault="00EC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02792DCA" w:rsidR="008B2543" w:rsidRDefault="0019787E" w:rsidP="009A2D37">
        <w:pPr>
          <w:pStyle w:val="Footer"/>
          <w:jc w:val="center"/>
        </w:pPr>
        <w:r>
          <w:fldChar w:fldCharType="begin"/>
        </w:r>
        <w:r>
          <w:instrText xml:space="preserve"> PAGE   \* MERGEFORMAT </w:instrText>
        </w:r>
        <w:r>
          <w:fldChar w:fldCharType="separate"/>
        </w:r>
        <w:r w:rsidR="00050B74">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65E34FE" w:rsidR="00DB36AB" w:rsidRDefault="00DB36AB" w:rsidP="00DB36AB">
        <w:pPr>
          <w:pStyle w:val="Footer"/>
          <w:jc w:val="center"/>
        </w:pPr>
        <w:r>
          <w:fldChar w:fldCharType="begin"/>
        </w:r>
        <w:r>
          <w:instrText xml:space="preserve"> PAGE   \* MERGEFORMAT </w:instrText>
        </w:r>
        <w:r>
          <w:fldChar w:fldCharType="separate"/>
        </w:r>
        <w:r w:rsidR="00050B7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9383" w14:textId="77777777" w:rsidR="00EC4548" w:rsidRDefault="00EC4548" w:rsidP="009A2D37">
      <w:pPr>
        <w:spacing w:after="0" w:line="240" w:lineRule="auto"/>
      </w:pPr>
      <w:r>
        <w:separator/>
      </w:r>
    </w:p>
  </w:footnote>
  <w:footnote w:type="continuationSeparator" w:id="0">
    <w:p w14:paraId="237A7E57" w14:textId="77777777" w:rsidR="00EC4548" w:rsidRDefault="00EC4548" w:rsidP="009A2D37">
      <w:pPr>
        <w:spacing w:after="0" w:line="240" w:lineRule="auto"/>
      </w:pPr>
      <w:r>
        <w:continuationSeparator/>
      </w:r>
    </w:p>
  </w:footnote>
  <w:footnote w:type="continuationNotice" w:id="1">
    <w:p w14:paraId="142011FB" w14:textId="77777777" w:rsidR="00EC4548" w:rsidRDefault="00EC4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C35" w14:textId="649DB489" w:rsidR="000F7FBF" w:rsidRPr="000F7FBF" w:rsidRDefault="000F7FBF" w:rsidP="00050B74">
    <w:pPr>
      <w:jc w:val="cente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5E1402F"/>
    <w:multiLevelType w:val="multilevel"/>
    <w:tmpl w:val="3728652C"/>
    <w:lvl w:ilvl="0">
      <w:start w:val="9"/>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2303D85"/>
    <w:multiLevelType w:val="multilevel"/>
    <w:tmpl w:val="ADDEB396"/>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A960F3"/>
    <w:multiLevelType w:val="multilevel"/>
    <w:tmpl w:val="3D320D5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6"/>
  </w:num>
  <w:num w:numId="6">
    <w:abstractNumId w:val="13"/>
  </w:num>
  <w:num w:numId="7">
    <w:abstractNumId w:val="20"/>
  </w:num>
  <w:num w:numId="8">
    <w:abstractNumId w:val="14"/>
  </w:num>
  <w:num w:numId="9">
    <w:abstractNumId w:val="8"/>
  </w:num>
  <w:num w:numId="10">
    <w:abstractNumId w:val="1"/>
  </w:num>
  <w:num w:numId="11">
    <w:abstractNumId w:val="2"/>
  </w:num>
  <w:num w:numId="12">
    <w:abstractNumId w:val="15"/>
  </w:num>
  <w:num w:numId="13">
    <w:abstractNumId w:val="12"/>
  </w:num>
  <w:num w:numId="14">
    <w:abstractNumId w:val="10"/>
  </w:num>
  <w:num w:numId="15">
    <w:abstractNumId w:val="17"/>
  </w:num>
  <w:num w:numId="16">
    <w:abstractNumId w:val="19"/>
  </w:num>
  <w:num w:numId="17">
    <w:abstractNumId w:val="9"/>
  </w:num>
  <w:num w:numId="18">
    <w:abstractNumId w:val="11"/>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50B74"/>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96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92DA4"/>
    <w:rsid w:val="00496AA3"/>
    <w:rsid w:val="00497C98"/>
    <w:rsid w:val="004A39D7"/>
    <w:rsid w:val="004A55FA"/>
    <w:rsid w:val="004B5D03"/>
    <w:rsid w:val="004C1EC4"/>
    <w:rsid w:val="004D035C"/>
    <w:rsid w:val="004F3C18"/>
    <w:rsid w:val="004F4328"/>
    <w:rsid w:val="005005E4"/>
    <w:rsid w:val="005052BE"/>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5DC5"/>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627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9A3"/>
    <w:rsid w:val="008C5D95"/>
    <w:rsid w:val="008D7401"/>
    <w:rsid w:val="00903DF6"/>
    <w:rsid w:val="00921CF6"/>
    <w:rsid w:val="00922E9E"/>
    <w:rsid w:val="00924EF0"/>
    <w:rsid w:val="00934D7B"/>
    <w:rsid w:val="00947180"/>
    <w:rsid w:val="009567BE"/>
    <w:rsid w:val="009676FA"/>
    <w:rsid w:val="009679E0"/>
    <w:rsid w:val="00977632"/>
    <w:rsid w:val="00980991"/>
    <w:rsid w:val="00982A8E"/>
    <w:rsid w:val="00987DB4"/>
    <w:rsid w:val="0099029D"/>
    <w:rsid w:val="00996204"/>
    <w:rsid w:val="009A26CB"/>
    <w:rsid w:val="009A2BC2"/>
    <w:rsid w:val="009A2D37"/>
    <w:rsid w:val="009A7587"/>
    <w:rsid w:val="009B0A69"/>
    <w:rsid w:val="009C2474"/>
    <w:rsid w:val="009C7082"/>
    <w:rsid w:val="009D0006"/>
    <w:rsid w:val="009D068C"/>
    <w:rsid w:val="009E665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3DB2"/>
    <w:rsid w:val="00BB4189"/>
    <w:rsid w:val="00BC19F7"/>
    <w:rsid w:val="00BC41ED"/>
    <w:rsid w:val="00BC43F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6261"/>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C1810"/>
    <w:rsid w:val="00EC3FCC"/>
    <w:rsid w:val="00EC454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7BB"/>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859D8-C4AC-4625-8D63-B8C93D635DC2}">
  <ds:schemaRefs>
    <ds:schemaRef ds:uri="http://schemas.openxmlformats.org/officeDocument/2006/bibliography"/>
  </ds:schemaRefs>
</ds:datastoreItem>
</file>

<file path=customXml/itemProps2.xml><?xml version="1.0" encoding="utf-8"?>
<ds:datastoreItem xmlns:ds="http://schemas.openxmlformats.org/officeDocument/2006/customXml" ds:itemID="{54478C3B-C50C-4AF9-949F-3D6D1E70BE54}"/>
</file>

<file path=customXml/itemProps3.xml><?xml version="1.0" encoding="utf-8"?>
<ds:datastoreItem xmlns:ds="http://schemas.openxmlformats.org/officeDocument/2006/customXml" ds:itemID="{26E90CEB-4B97-4861-B349-A875D2552D28}"/>
</file>

<file path=customXml/itemProps4.xml><?xml version="1.0" encoding="utf-8"?>
<ds:datastoreItem xmlns:ds="http://schemas.openxmlformats.org/officeDocument/2006/customXml" ds:itemID="{A874F99E-3A9C-4F08-87C2-6C377008942D}"/>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2019-12-11T10:52:00Z</dcterms:created>
  <dcterms:modified xsi:type="dcterms:W3CDTF">2020-03-06T12:47:00Z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