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872464">
      <w:pPr>
        <w:pStyle w:val="Heading2"/>
        <w:spacing w:before="0"/>
      </w:pPr>
      <w:bookmarkStart w:id="0" w:name="_Hlk110345875"/>
      <w:r>
        <w:t>KentVision Code and t</w:t>
      </w:r>
      <w:r w:rsidR="009A2D37" w:rsidRPr="00072357">
        <w:t>itle of the module</w:t>
      </w:r>
    </w:p>
    <w:bookmarkEnd w:id="0"/>
    <w:p w14:paraId="53DD716D" w14:textId="371CA3E0" w:rsidR="00694B52" w:rsidRPr="009D52D0" w:rsidRDefault="004C5B52" w:rsidP="00FF34D0">
      <w:pPr>
        <w:pStyle w:val="BodyText"/>
      </w:pPr>
      <w:r w:rsidRPr="004C5B52">
        <w:t>POLI9990 Research Methods 2</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6FD3497C" w:rsidR="000B128D" w:rsidRPr="000B128D" w:rsidRDefault="004C5B52" w:rsidP="000B128D">
      <w:pPr>
        <w:pStyle w:val="BodyText"/>
      </w:pPr>
      <w:r w:rsidRPr="004C5B52">
        <w:t xml:space="preserve">Division of Human </w:t>
      </w:r>
      <w:r w:rsidR="00466233">
        <w:t>and</w:t>
      </w:r>
      <w:r w:rsidRPr="004C5B52">
        <w:t xml:space="preserve"> Social Sciences</w:t>
      </w:r>
      <w:r w:rsidR="00872464">
        <w:t xml:space="preserve">, </w:t>
      </w:r>
      <w:r w:rsidRPr="004C5B52">
        <w:t>School of Politics and International R</w:t>
      </w:r>
      <w:r>
        <w:t>el</w:t>
      </w:r>
      <w:r w:rsidRPr="004C5B52">
        <w:t>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69EE7C60" w:rsidR="000B128D" w:rsidRPr="000B128D" w:rsidRDefault="004C5B52"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32E2F0E7" w:rsidR="000B128D" w:rsidRPr="000B128D" w:rsidRDefault="004C5B52" w:rsidP="000B128D">
      <w:pPr>
        <w:pStyle w:val="BodyText"/>
      </w:pPr>
      <w:r w:rsidRPr="004C5B52">
        <w:t>4 credits (2 ECTS) Non-contributory</w:t>
      </w:r>
    </w:p>
    <w:p w14:paraId="0A7DD2EB" w14:textId="7E8B7066" w:rsidR="009A2D37" w:rsidRDefault="009A2D37" w:rsidP="00072357">
      <w:pPr>
        <w:pStyle w:val="Heading2"/>
      </w:pPr>
      <w:r w:rsidRPr="009D52D0">
        <w:t>Which term(s) the module is to be taught in (or other teaching pattern)</w:t>
      </w:r>
    </w:p>
    <w:p w14:paraId="4663FC2E" w14:textId="75C29564" w:rsidR="00AA3C37" w:rsidRPr="00AA3C37" w:rsidRDefault="00AA3C37" w:rsidP="00AA3C37">
      <w:pPr>
        <w:pStyle w:val="BodyText"/>
      </w:pPr>
      <w:r>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0E1DAA68" w:rsidR="000B128D" w:rsidRPr="000B128D" w:rsidRDefault="004C5B52"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50D1054B" w:rsidR="009A2D37" w:rsidRDefault="00E1736E" w:rsidP="000B128D">
      <w:pPr>
        <w:pStyle w:val="Heading4"/>
      </w:pPr>
      <w:r>
        <w:t xml:space="preserve">Compulsory </w:t>
      </w:r>
      <w:r w:rsidR="00872464" w:rsidRPr="00872464">
        <w:t>non-contributory on</w:t>
      </w:r>
      <w:r>
        <w:t xml:space="preserve"> the following courses:</w:t>
      </w:r>
    </w:p>
    <w:p w14:paraId="50A8D0E1" w14:textId="4C4C5323" w:rsidR="004C5B52" w:rsidRDefault="004C5B52" w:rsidP="00872464">
      <w:pPr>
        <w:pStyle w:val="ListBullet"/>
      </w:pPr>
      <w:r>
        <w:t>MA Security and Terrorism</w:t>
      </w:r>
    </w:p>
    <w:p w14:paraId="77622DCA" w14:textId="77777777" w:rsidR="004C5B52" w:rsidRDefault="004C5B52" w:rsidP="00872464">
      <w:pPr>
        <w:pStyle w:val="ListBullet"/>
      </w:pPr>
      <w:r>
        <w:t>MA International Conflict Analysis</w:t>
      </w:r>
    </w:p>
    <w:p w14:paraId="0C83875C" w14:textId="77777777" w:rsidR="004C5B52" w:rsidRPr="00AA3C37" w:rsidRDefault="004C5B52" w:rsidP="00872464">
      <w:pPr>
        <w:pStyle w:val="ListBullet"/>
      </w:pPr>
      <w:r w:rsidRPr="00AA3C37">
        <w:t xml:space="preserve">MA International Relations </w:t>
      </w:r>
    </w:p>
    <w:p w14:paraId="2CEC9A55" w14:textId="638A7131" w:rsidR="004C5B52" w:rsidRPr="00AA3C37" w:rsidRDefault="004C5B52" w:rsidP="00872464">
      <w:pPr>
        <w:pStyle w:val="ListBullet"/>
      </w:pPr>
      <w:r>
        <w:t>MA</w:t>
      </w:r>
      <w:r w:rsidRPr="00AA3C37">
        <w:t xml:space="preserve"> International Relations and International Law </w:t>
      </w:r>
    </w:p>
    <w:p w14:paraId="49396994" w14:textId="308D079E" w:rsidR="00E1736E" w:rsidRDefault="00E1736E" w:rsidP="00726225">
      <w:pPr>
        <w:pStyle w:val="Heading4"/>
      </w:pPr>
      <w:r>
        <w:t>Optional to the following courses:</w:t>
      </w:r>
    </w:p>
    <w:p w14:paraId="089B8BE0" w14:textId="00DFDE06" w:rsidR="000B128D" w:rsidRDefault="004C5B52" w:rsidP="00726225">
      <w:pPr>
        <w:pStyle w:val="ListBullet"/>
      </w:pPr>
      <w:r>
        <w:t>None</w:t>
      </w:r>
    </w:p>
    <w:p w14:paraId="256A8AC3" w14:textId="3D776326"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73D90180" w14:textId="45041F0A" w:rsidR="004C5B52" w:rsidRDefault="004C5B52" w:rsidP="00872464">
      <w:pPr>
        <w:pStyle w:val="ListNumber2"/>
      </w:pPr>
      <w:r>
        <w:t>8.1</w:t>
      </w:r>
      <w:r>
        <w:tab/>
        <w:t>Have a good understanding of the issues involved in formulating a meaningful and  feasible research question, as well as of the ways of dealing with these issues</w:t>
      </w:r>
    </w:p>
    <w:p w14:paraId="671B743F" w14:textId="4A279068" w:rsidR="004C5B52" w:rsidRDefault="004C5B52" w:rsidP="00872464">
      <w:pPr>
        <w:pStyle w:val="ListNumber2"/>
      </w:pPr>
      <w:r>
        <w:t>8.2</w:t>
      </w:r>
      <w:r>
        <w:tab/>
        <w:t>Understand how to work methodically and systematically in their studies, and to adopt a critical perspective in their use of work done by other political and social scientists</w:t>
      </w:r>
    </w:p>
    <w:p w14:paraId="234792B2" w14:textId="6ADBD473" w:rsidR="004C5B52" w:rsidRDefault="004C5B52" w:rsidP="00872464">
      <w:pPr>
        <w:pStyle w:val="ListNumber2"/>
      </w:pPr>
      <w:r>
        <w:t>8.3</w:t>
      </w:r>
      <w:r>
        <w:tab/>
        <w:t>Be able to apply their knowledge and skills to a research project that they have developed on their own</w:t>
      </w:r>
    </w:p>
    <w:p w14:paraId="0BD3692B" w14:textId="0E72247C" w:rsidR="004C5B52" w:rsidRDefault="004C5B52" w:rsidP="00872464">
      <w:pPr>
        <w:pStyle w:val="ListNumber2"/>
      </w:pPr>
      <w:r>
        <w:t>8.4</w:t>
      </w:r>
      <w:r>
        <w:tab/>
        <w:t>Be able to conduct an advanced academic research project, present the findings, and write-up in a concise and coherent manner</w:t>
      </w:r>
    </w:p>
    <w:p w14:paraId="48765A6E" w14:textId="4BEE6151" w:rsidR="004C5B52" w:rsidRDefault="004C5B52" w:rsidP="00872464">
      <w:pPr>
        <w:pStyle w:val="ListNumber2"/>
      </w:pPr>
      <w:r>
        <w:t>8.5</w:t>
      </w:r>
      <w:r>
        <w:tab/>
        <w:t>Have a good familiarity with learning resources in politics and international relations, including primary and secondary sources, and different forms of data and other empirical materials</w:t>
      </w:r>
    </w:p>
    <w:p w14:paraId="7F78168F" w14:textId="13184A14" w:rsidR="004C5B52" w:rsidRDefault="004C5B52" w:rsidP="00872464">
      <w:pPr>
        <w:pStyle w:val="ListNumber2"/>
      </w:pPr>
      <w:r>
        <w:t>8.6</w:t>
      </w:r>
      <w:r>
        <w:tab/>
        <w:t>Critically engage with political phenomena, including the vocabulary, concepts, theories and methods of political debate</w:t>
      </w:r>
    </w:p>
    <w:p w14:paraId="3D065BAB" w14:textId="111D99B7" w:rsidR="004C5B52" w:rsidRDefault="004C5B52" w:rsidP="00872464">
      <w:pPr>
        <w:pStyle w:val="ListNumber2"/>
      </w:pPr>
      <w:r>
        <w:t>8.7</w:t>
      </w:r>
      <w:r>
        <w:tab/>
        <w:t>Examine and evaluate different interpretations of political issues and events and solutions to political problems</w:t>
      </w:r>
    </w:p>
    <w:p w14:paraId="28238C29" w14:textId="67A3C731" w:rsidR="004C5B52" w:rsidRPr="004C5B52" w:rsidRDefault="004C5B52" w:rsidP="00872464">
      <w:pPr>
        <w:pStyle w:val="ListNumber2"/>
      </w:pPr>
      <w:r>
        <w:t>8.8</w:t>
      </w:r>
      <w:r>
        <w:tab/>
        <w:t>Describe, evaluate and apply different intellectual approaches in collecting, analysing and presenting political information.</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4123B2F4" w14:textId="77777777" w:rsidR="004C5B52" w:rsidRPr="004C5B52" w:rsidRDefault="004C5B52" w:rsidP="004C5B52">
      <w:pPr>
        <w:pStyle w:val="ListNumber2"/>
      </w:pPr>
      <w:r w:rsidRPr="004C5B52">
        <w:t>9.1</w:t>
      </w:r>
      <w:r w:rsidRPr="004C5B52">
        <w:tab/>
        <w:t>Produce academic documents to a high standard</w:t>
      </w:r>
    </w:p>
    <w:p w14:paraId="11950CFD" w14:textId="77777777" w:rsidR="004C5B52" w:rsidRPr="004C5B52" w:rsidRDefault="004C5B52" w:rsidP="004C5B52">
      <w:pPr>
        <w:pStyle w:val="ListNumber2"/>
      </w:pPr>
      <w:r w:rsidRPr="004C5B52">
        <w:t>9.2</w:t>
      </w:r>
      <w:r w:rsidRPr="004C5B52">
        <w:tab/>
        <w:t>Formulate research proposals</w:t>
      </w:r>
    </w:p>
    <w:p w14:paraId="1E20114A" w14:textId="77777777" w:rsidR="004C5B52" w:rsidRPr="004C5B52" w:rsidRDefault="004C5B52" w:rsidP="004C5B52">
      <w:pPr>
        <w:pStyle w:val="ListNumber2"/>
      </w:pPr>
      <w:r w:rsidRPr="004C5B52">
        <w:t>9.3</w:t>
      </w:r>
      <w:r w:rsidRPr="004C5B52">
        <w:tab/>
        <w:t>Understand what makes a strong research project</w:t>
      </w:r>
    </w:p>
    <w:p w14:paraId="31D8601B" w14:textId="6014FB37" w:rsidR="00273CF0" w:rsidRPr="004C5B52" w:rsidRDefault="004C5B52" w:rsidP="004C5B52">
      <w:pPr>
        <w:pStyle w:val="ListNumber2"/>
      </w:pPr>
      <w:r w:rsidRPr="004C5B52">
        <w:t>9.4</w:t>
      </w:r>
      <w:r w:rsidR="00872464">
        <w:tab/>
      </w:r>
      <w:r w:rsidRPr="004C5B52">
        <w:t>Plan and execute independent research</w:t>
      </w:r>
    </w:p>
    <w:p w14:paraId="73386C6A" w14:textId="56366AB2" w:rsidR="009A2D37" w:rsidRDefault="009A2D37" w:rsidP="00072357">
      <w:pPr>
        <w:pStyle w:val="Heading2"/>
      </w:pPr>
      <w:r w:rsidRPr="009D52D0">
        <w:t>A synopsis of the curriculum</w:t>
      </w:r>
    </w:p>
    <w:p w14:paraId="34536338" w14:textId="51255DA9" w:rsidR="004C5B52" w:rsidRPr="001638BB" w:rsidRDefault="004C5B52" w:rsidP="004C5B52">
      <w:pPr>
        <w:spacing w:after="120" w:line="240" w:lineRule="auto"/>
        <w:ind w:left="567" w:right="543"/>
        <w:jc w:val="both"/>
        <w:rPr>
          <w:rFonts w:ascii="Arial" w:hAnsi="Arial" w:cs="Arial"/>
          <w:iCs/>
          <w:sz w:val="24"/>
          <w:szCs w:val="24"/>
        </w:rPr>
      </w:pPr>
      <w:r w:rsidRPr="001638BB">
        <w:rPr>
          <w:rFonts w:ascii="Arial" w:hAnsi="Arial" w:cs="Arial"/>
          <w:color w:val="333333"/>
          <w:sz w:val="24"/>
          <w:szCs w:val="24"/>
          <w:shd w:val="clear" w:color="auto" w:fill="FFFFFF"/>
        </w:rPr>
        <w:t>T</w:t>
      </w:r>
      <w:r>
        <w:rPr>
          <w:rFonts w:ascii="Arial" w:hAnsi="Arial" w:cs="Arial"/>
          <w:color w:val="333333"/>
          <w:sz w:val="24"/>
          <w:szCs w:val="24"/>
          <w:shd w:val="clear" w:color="auto" w:fill="FFFFFF"/>
        </w:rPr>
        <w:t>his module</w:t>
      </w:r>
      <w:r w:rsidRPr="001638BB">
        <w:rPr>
          <w:rFonts w:ascii="Arial" w:hAnsi="Arial" w:cs="Arial"/>
          <w:color w:val="333333"/>
          <w:sz w:val="24"/>
          <w:szCs w:val="24"/>
          <w:shd w:val="clear" w:color="auto" w:fill="FFFFFF"/>
        </w:rPr>
        <w:t xml:space="preserve"> provide</w:t>
      </w:r>
      <w:r>
        <w:rPr>
          <w:rFonts w:ascii="Arial" w:hAnsi="Arial" w:cs="Arial"/>
          <w:color w:val="333333"/>
          <w:sz w:val="24"/>
          <w:szCs w:val="24"/>
          <w:shd w:val="clear" w:color="auto" w:fill="FFFFFF"/>
        </w:rPr>
        <w:t>s</w:t>
      </w:r>
      <w:r w:rsidRPr="001638BB">
        <w:rPr>
          <w:rFonts w:ascii="Arial" w:hAnsi="Arial" w:cs="Arial"/>
          <w:color w:val="333333"/>
          <w:sz w:val="24"/>
          <w:szCs w:val="24"/>
          <w:shd w:val="clear" w:color="auto" w:fill="FFFFFF"/>
        </w:rPr>
        <w:t xml:space="preserve"> students with an understanding of academic research and an ability to identify and utilise appropriate strategies and techniques for the purpose of individual investigation, research and practice within a subject specific area of their course route. This module will prepare students to undertake the dissertation module in Stage 2 of their course.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lastRenderedPageBreak/>
        <w:t xml:space="preserve">The University is committed to ensuring that core reading materials are in accessible electronic format in line with the Kent Inclusive Practices. </w:t>
      </w:r>
    </w:p>
    <w:p w14:paraId="65C929EC" w14:textId="049AB2FF" w:rsidR="008D4447" w:rsidRDefault="00636058" w:rsidP="003D2999">
      <w:pPr>
        <w:pStyle w:val="BodyText"/>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3DD19157" w14:textId="3FE6C4B9" w:rsidR="002769E7" w:rsidRDefault="002769E7" w:rsidP="003D2999">
      <w:pPr>
        <w:pStyle w:val="BodyText"/>
      </w:pPr>
    </w:p>
    <w:p w14:paraId="1315B451" w14:textId="77777777" w:rsidR="002769E7" w:rsidRDefault="002769E7" w:rsidP="003D2999">
      <w:pPr>
        <w:pStyle w:val="BodyText"/>
      </w:pPr>
    </w:p>
    <w:bookmarkEnd w:id="4"/>
    <w:p w14:paraId="7495F0A5" w14:textId="2813DC3F" w:rsidR="004C5B52" w:rsidRPr="001638BB" w:rsidRDefault="004C5B52" w:rsidP="002769E7">
      <w:pPr>
        <w:pStyle w:val="Heading2"/>
        <w:rPr>
          <w:i/>
          <w:iCs/>
        </w:rPr>
      </w:pPr>
      <w:r w:rsidRPr="001638BB">
        <w:t>Learning and teaching methods</w:t>
      </w:r>
    </w:p>
    <w:p w14:paraId="373DD76A" w14:textId="77777777" w:rsidR="004C5B52" w:rsidRPr="001638BB" w:rsidRDefault="004C5B52" w:rsidP="002769E7">
      <w:pPr>
        <w:pStyle w:val="BodyText"/>
        <w:rPr>
          <w:iCs/>
        </w:rPr>
      </w:pPr>
      <w:r w:rsidRPr="001638BB">
        <w:rPr>
          <w:shd w:val="clear" w:color="auto" w:fill="FFFFFF"/>
        </w:rPr>
        <w:t>40 hours to include workshops, directed independent learning, and the preparation of a research proposal under supervision from an academic within the subject area of their degree route.</w:t>
      </w:r>
    </w:p>
    <w:p w14:paraId="78B7FB57" w14:textId="25C999CE" w:rsidR="004C5B52" w:rsidRPr="004C5B52" w:rsidRDefault="00EF4933" w:rsidP="004C5B52">
      <w:pPr>
        <w:pStyle w:val="Heading2"/>
      </w:pPr>
      <w:r w:rsidRPr="009D52D0">
        <w:t>Assessment methods</w:t>
      </w:r>
    </w:p>
    <w:p w14:paraId="7F14E902" w14:textId="421E3A58" w:rsidR="00696FF5" w:rsidRPr="004C5B52" w:rsidRDefault="00696FF5" w:rsidP="00256400">
      <w:pPr>
        <w:pStyle w:val="ListNumber3"/>
        <w:numPr>
          <w:ilvl w:val="1"/>
          <w:numId w:val="23"/>
        </w:numPr>
        <w:rPr>
          <w:b/>
          <w:i/>
        </w:rPr>
      </w:pPr>
      <w:r w:rsidRPr="00B2615D">
        <w:t>Main assessment methods</w:t>
      </w:r>
    </w:p>
    <w:p w14:paraId="1CB118E3" w14:textId="01CD4D75" w:rsidR="004C5B52" w:rsidRPr="004C5B52" w:rsidRDefault="004C5B52" w:rsidP="004C5B52">
      <w:pPr>
        <w:spacing w:after="120" w:line="240" w:lineRule="auto"/>
        <w:ind w:left="426" w:right="543" w:firstLine="141"/>
        <w:rPr>
          <w:rFonts w:ascii="Arial" w:hAnsi="Arial" w:cs="Arial"/>
          <w:iCs/>
          <w:sz w:val="24"/>
          <w:szCs w:val="24"/>
        </w:rPr>
      </w:pPr>
      <w:r w:rsidRPr="001638BB">
        <w:rPr>
          <w:rFonts w:ascii="Arial" w:hAnsi="Arial" w:cs="Arial"/>
          <w:iCs/>
          <w:sz w:val="24"/>
          <w:szCs w:val="24"/>
        </w:rPr>
        <w:t>Participation and engagement – no formal assessment.</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465B2358" w:rsidR="00256400" w:rsidRPr="009D52D0" w:rsidRDefault="004C5B52" w:rsidP="00256400">
      <w:pPr>
        <w:pStyle w:val="BodyText"/>
      </w:pPr>
      <w:r>
        <w:t>None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6" w:name="_Hlk94692352"/>
      <w:bookmarkStart w:id="7" w:name="_Hlk110349908"/>
      <w:bookmarkStart w:id="8"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4C5B52" w:rsidRPr="009D52D0" w14:paraId="5413EC92" w14:textId="77777777" w:rsidTr="004C5B52">
        <w:trPr>
          <w:cantSplit/>
          <w:tblHeader/>
        </w:trPr>
        <w:tc>
          <w:tcPr>
            <w:tcW w:w="2439" w:type="dxa"/>
            <w:shd w:val="clear" w:color="auto" w:fill="D9D9D9" w:themeFill="background1" w:themeFillShade="D9"/>
          </w:tcPr>
          <w:p w14:paraId="140365DD" w14:textId="77777777" w:rsidR="004C5B52" w:rsidRPr="009D52D0" w:rsidRDefault="004C5B52" w:rsidP="00AD1300">
            <w:pPr>
              <w:pStyle w:val="Tableoutcomesideheadings"/>
            </w:pPr>
            <w:bookmarkStart w:id="9" w:name="_Hlk118797252"/>
            <w:r w:rsidRPr="009D52D0">
              <w:t>Module learning outcome</w:t>
            </w:r>
          </w:p>
        </w:tc>
        <w:tc>
          <w:tcPr>
            <w:tcW w:w="567" w:type="dxa"/>
          </w:tcPr>
          <w:p w14:paraId="6167848F" w14:textId="77777777" w:rsidR="004C5B52" w:rsidRPr="009D52D0" w:rsidRDefault="004C5B52" w:rsidP="00AD1300">
            <w:pPr>
              <w:pStyle w:val="Tableoutcomeshead"/>
            </w:pPr>
            <w:r w:rsidRPr="009D52D0">
              <w:t>8.1</w:t>
            </w:r>
          </w:p>
        </w:tc>
        <w:tc>
          <w:tcPr>
            <w:tcW w:w="567" w:type="dxa"/>
          </w:tcPr>
          <w:p w14:paraId="5B554168" w14:textId="77777777" w:rsidR="004C5B52" w:rsidRPr="009D52D0" w:rsidRDefault="004C5B52" w:rsidP="00AD1300">
            <w:pPr>
              <w:pStyle w:val="Tableoutcomeshead"/>
            </w:pPr>
            <w:r w:rsidRPr="009D52D0">
              <w:t>8.2</w:t>
            </w:r>
          </w:p>
        </w:tc>
        <w:tc>
          <w:tcPr>
            <w:tcW w:w="567" w:type="dxa"/>
          </w:tcPr>
          <w:p w14:paraId="70BB1C5A" w14:textId="77777777" w:rsidR="004C5B52" w:rsidRPr="009D52D0" w:rsidRDefault="004C5B52" w:rsidP="00AD1300">
            <w:pPr>
              <w:pStyle w:val="Tableoutcomeshead"/>
            </w:pPr>
            <w:r w:rsidRPr="009D52D0">
              <w:t>8.3</w:t>
            </w:r>
          </w:p>
        </w:tc>
        <w:tc>
          <w:tcPr>
            <w:tcW w:w="567" w:type="dxa"/>
          </w:tcPr>
          <w:p w14:paraId="553BA646" w14:textId="77777777" w:rsidR="004C5B52" w:rsidRPr="009D52D0" w:rsidRDefault="004C5B52" w:rsidP="00AD1300">
            <w:pPr>
              <w:pStyle w:val="Tableoutcomeshead"/>
            </w:pPr>
            <w:r w:rsidRPr="009D52D0">
              <w:t>8.4</w:t>
            </w:r>
          </w:p>
        </w:tc>
        <w:tc>
          <w:tcPr>
            <w:tcW w:w="567" w:type="dxa"/>
          </w:tcPr>
          <w:p w14:paraId="6C66B5C0" w14:textId="77777777" w:rsidR="004C5B52" w:rsidRPr="009D52D0" w:rsidRDefault="004C5B52" w:rsidP="00AD1300">
            <w:pPr>
              <w:pStyle w:val="Tableoutcomeshead"/>
            </w:pPr>
            <w:r w:rsidRPr="009D52D0">
              <w:t>8.5</w:t>
            </w:r>
          </w:p>
        </w:tc>
        <w:tc>
          <w:tcPr>
            <w:tcW w:w="567" w:type="dxa"/>
          </w:tcPr>
          <w:p w14:paraId="0A11AAFA" w14:textId="2042ECD2" w:rsidR="004C5B52" w:rsidRPr="009D52D0" w:rsidRDefault="004C5B52" w:rsidP="00AD1300">
            <w:pPr>
              <w:pStyle w:val="Tableoutcomeshead"/>
            </w:pPr>
            <w:r>
              <w:t>8.6</w:t>
            </w:r>
          </w:p>
        </w:tc>
        <w:tc>
          <w:tcPr>
            <w:tcW w:w="567" w:type="dxa"/>
          </w:tcPr>
          <w:p w14:paraId="497B06D5" w14:textId="053208DE" w:rsidR="004C5B52" w:rsidRPr="009D52D0" w:rsidRDefault="004C5B52" w:rsidP="00AD1300">
            <w:pPr>
              <w:pStyle w:val="Tableoutcomeshead"/>
            </w:pPr>
            <w:r>
              <w:t>8.7</w:t>
            </w:r>
          </w:p>
        </w:tc>
        <w:tc>
          <w:tcPr>
            <w:tcW w:w="567" w:type="dxa"/>
          </w:tcPr>
          <w:p w14:paraId="0E07BFE4" w14:textId="7A084C7D" w:rsidR="004C5B52" w:rsidRPr="009D52D0" w:rsidRDefault="004C5B52" w:rsidP="00AD1300">
            <w:pPr>
              <w:pStyle w:val="Tableoutcomeshead"/>
            </w:pPr>
            <w:r>
              <w:t>8.8</w:t>
            </w:r>
          </w:p>
        </w:tc>
        <w:tc>
          <w:tcPr>
            <w:tcW w:w="567" w:type="dxa"/>
          </w:tcPr>
          <w:p w14:paraId="3B577D4A" w14:textId="072ABFAB" w:rsidR="004C5B52" w:rsidRPr="009D52D0" w:rsidRDefault="004C5B52" w:rsidP="00AD1300">
            <w:pPr>
              <w:pStyle w:val="Tableoutcomeshead"/>
            </w:pPr>
            <w:r w:rsidRPr="009D52D0">
              <w:t>9.1</w:t>
            </w:r>
          </w:p>
        </w:tc>
        <w:tc>
          <w:tcPr>
            <w:tcW w:w="567" w:type="dxa"/>
          </w:tcPr>
          <w:p w14:paraId="266E4126" w14:textId="77777777" w:rsidR="004C5B52" w:rsidRPr="009D52D0" w:rsidRDefault="004C5B52" w:rsidP="00AD1300">
            <w:pPr>
              <w:pStyle w:val="Tableoutcomeshead"/>
            </w:pPr>
            <w:r w:rsidRPr="009D52D0">
              <w:t>9.2</w:t>
            </w:r>
          </w:p>
        </w:tc>
        <w:tc>
          <w:tcPr>
            <w:tcW w:w="567" w:type="dxa"/>
          </w:tcPr>
          <w:p w14:paraId="6EC60A4C" w14:textId="77777777" w:rsidR="004C5B52" w:rsidRPr="009D52D0" w:rsidRDefault="004C5B52" w:rsidP="00AD1300">
            <w:pPr>
              <w:pStyle w:val="Tableoutcomeshead"/>
            </w:pPr>
            <w:r w:rsidRPr="009D52D0">
              <w:t>9.3</w:t>
            </w:r>
          </w:p>
        </w:tc>
        <w:tc>
          <w:tcPr>
            <w:tcW w:w="567" w:type="dxa"/>
          </w:tcPr>
          <w:p w14:paraId="3E85E7FE" w14:textId="77777777" w:rsidR="004C5B52" w:rsidRPr="009D52D0" w:rsidRDefault="004C5B52" w:rsidP="00AD1300">
            <w:pPr>
              <w:pStyle w:val="Tableoutcomeshead"/>
            </w:pPr>
            <w:r w:rsidRPr="009D52D0">
              <w:t>9.4</w:t>
            </w:r>
          </w:p>
        </w:tc>
      </w:tr>
      <w:tr w:rsidR="004C5B52" w:rsidRPr="009D52D0" w14:paraId="780DC4A5" w14:textId="77777777" w:rsidTr="004C5B52">
        <w:tc>
          <w:tcPr>
            <w:tcW w:w="2439" w:type="dxa"/>
          </w:tcPr>
          <w:p w14:paraId="16F79E00" w14:textId="77777777" w:rsidR="004C5B52" w:rsidRPr="009D52D0" w:rsidRDefault="004C5B52" w:rsidP="00AD1300">
            <w:pPr>
              <w:pStyle w:val="Tableoutcomesideheadings"/>
            </w:pPr>
            <w:r w:rsidRPr="009D52D0">
              <w:t>Private Study</w:t>
            </w:r>
          </w:p>
        </w:tc>
        <w:tc>
          <w:tcPr>
            <w:tcW w:w="567" w:type="dxa"/>
          </w:tcPr>
          <w:p w14:paraId="34752F0E" w14:textId="31F1AF81" w:rsidR="004C5B52" w:rsidRPr="009D52D0" w:rsidRDefault="004C5B52" w:rsidP="00AD1300">
            <w:pPr>
              <w:pStyle w:val="Tableoutcomecrosses"/>
              <w:rPr>
                <w:b/>
              </w:rPr>
            </w:pPr>
            <w:r>
              <w:rPr>
                <w:b/>
              </w:rPr>
              <w:t>x</w:t>
            </w:r>
          </w:p>
        </w:tc>
        <w:tc>
          <w:tcPr>
            <w:tcW w:w="567" w:type="dxa"/>
          </w:tcPr>
          <w:p w14:paraId="0E9B09C0" w14:textId="1FE6A754" w:rsidR="004C5B52" w:rsidRPr="009D52D0" w:rsidRDefault="004C5B52" w:rsidP="00AD1300">
            <w:pPr>
              <w:pStyle w:val="Tableoutcomecrosses"/>
              <w:rPr>
                <w:b/>
              </w:rPr>
            </w:pPr>
            <w:r>
              <w:rPr>
                <w:b/>
              </w:rPr>
              <w:t>x</w:t>
            </w:r>
          </w:p>
        </w:tc>
        <w:tc>
          <w:tcPr>
            <w:tcW w:w="567" w:type="dxa"/>
          </w:tcPr>
          <w:p w14:paraId="6CD1C02C" w14:textId="6EAE1595" w:rsidR="004C5B52" w:rsidRPr="009D52D0" w:rsidRDefault="004C5B52" w:rsidP="00AD1300">
            <w:pPr>
              <w:pStyle w:val="Tableoutcomecrosses"/>
              <w:rPr>
                <w:b/>
              </w:rPr>
            </w:pPr>
            <w:r>
              <w:rPr>
                <w:b/>
              </w:rPr>
              <w:t>x</w:t>
            </w:r>
          </w:p>
        </w:tc>
        <w:tc>
          <w:tcPr>
            <w:tcW w:w="567" w:type="dxa"/>
          </w:tcPr>
          <w:p w14:paraId="45C64561" w14:textId="277EEDB1" w:rsidR="004C5B52" w:rsidRPr="009D52D0" w:rsidRDefault="004C5B52" w:rsidP="00AD1300">
            <w:pPr>
              <w:pStyle w:val="Tableoutcomecrosses"/>
              <w:rPr>
                <w:b/>
              </w:rPr>
            </w:pPr>
            <w:r>
              <w:rPr>
                <w:b/>
              </w:rPr>
              <w:t>x</w:t>
            </w:r>
          </w:p>
        </w:tc>
        <w:tc>
          <w:tcPr>
            <w:tcW w:w="567" w:type="dxa"/>
          </w:tcPr>
          <w:p w14:paraId="62607B91" w14:textId="4B715CD1" w:rsidR="004C5B52" w:rsidRPr="009D52D0" w:rsidRDefault="004C5B52" w:rsidP="00AD1300">
            <w:pPr>
              <w:pStyle w:val="Tableoutcomecrosses"/>
              <w:rPr>
                <w:b/>
              </w:rPr>
            </w:pPr>
            <w:r>
              <w:rPr>
                <w:b/>
              </w:rPr>
              <w:t>x</w:t>
            </w:r>
          </w:p>
        </w:tc>
        <w:tc>
          <w:tcPr>
            <w:tcW w:w="567" w:type="dxa"/>
          </w:tcPr>
          <w:p w14:paraId="370D8FDC" w14:textId="57029CA2" w:rsidR="004C5B52" w:rsidRPr="009D52D0" w:rsidRDefault="004C5B52" w:rsidP="00AD1300">
            <w:pPr>
              <w:pStyle w:val="Tableoutcomecrosses"/>
              <w:rPr>
                <w:b/>
              </w:rPr>
            </w:pPr>
            <w:r>
              <w:rPr>
                <w:b/>
              </w:rPr>
              <w:t>x</w:t>
            </w:r>
          </w:p>
        </w:tc>
        <w:tc>
          <w:tcPr>
            <w:tcW w:w="567" w:type="dxa"/>
          </w:tcPr>
          <w:p w14:paraId="20E9C282" w14:textId="1A3FE379" w:rsidR="004C5B52" w:rsidRPr="009D52D0" w:rsidRDefault="004C5B52" w:rsidP="00AD1300">
            <w:pPr>
              <w:pStyle w:val="Tableoutcomecrosses"/>
              <w:rPr>
                <w:b/>
              </w:rPr>
            </w:pPr>
            <w:r>
              <w:rPr>
                <w:b/>
              </w:rPr>
              <w:t>x</w:t>
            </w:r>
          </w:p>
        </w:tc>
        <w:tc>
          <w:tcPr>
            <w:tcW w:w="567" w:type="dxa"/>
          </w:tcPr>
          <w:p w14:paraId="2EF42A72" w14:textId="20064CA9" w:rsidR="004C5B52" w:rsidRPr="009D52D0" w:rsidRDefault="004C5B52" w:rsidP="00AD1300">
            <w:pPr>
              <w:pStyle w:val="Tableoutcomecrosses"/>
              <w:rPr>
                <w:b/>
              </w:rPr>
            </w:pPr>
            <w:r>
              <w:rPr>
                <w:b/>
              </w:rPr>
              <w:t>x</w:t>
            </w:r>
          </w:p>
        </w:tc>
        <w:tc>
          <w:tcPr>
            <w:tcW w:w="567" w:type="dxa"/>
          </w:tcPr>
          <w:p w14:paraId="2A716802" w14:textId="2CB7AF9C" w:rsidR="004C5B52" w:rsidRPr="009D52D0" w:rsidRDefault="004C5B52" w:rsidP="00AD1300">
            <w:pPr>
              <w:pStyle w:val="Tableoutcomecrosses"/>
              <w:rPr>
                <w:b/>
              </w:rPr>
            </w:pPr>
            <w:r>
              <w:rPr>
                <w:b/>
              </w:rPr>
              <w:t>x</w:t>
            </w:r>
          </w:p>
        </w:tc>
        <w:tc>
          <w:tcPr>
            <w:tcW w:w="567" w:type="dxa"/>
          </w:tcPr>
          <w:p w14:paraId="5BAFD1A4" w14:textId="1DD8C0B3" w:rsidR="004C5B52" w:rsidRPr="009D52D0" w:rsidRDefault="004C5B52" w:rsidP="00AD1300">
            <w:pPr>
              <w:pStyle w:val="Tableoutcomecrosses"/>
              <w:rPr>
                <w:b/>
              </w:rPr>
            </w:pPr>
            <w:r>
              <w:rPr>
                <w:b/>
              </w:rPr>
              <w:t>x</w:t>
            </w:r>
          </w:p>
        </w:tc>
        <w:tc>
          <w:tcPr>
            <w:tcW w:w="567" w:type="dxa"/>
          </w:tcPr>
          <w:p w14:paraId="030A7445" w14:textId="1F656261" w:rsidR="004C5B52" w:rsidRPr="009D52D0" w:rsidRDefault="004C5B52" w:rsidP="00AD1300">
            <w:pPr>
              <w:pStyle w:val="Tableoutcomecrosses"/>
              <w:rPr>
                <w:b/>
              </w:rPr>
            </w:pPr>
            <w:r>
              <w:rPr>
                <w:b/>
              </w:rPr>
              <w:t>x</w:t>
            </w:r>
          </w:p>
        </w:tc>
        <w:tc>
          <w:tcPr>
            <w:tcW w:w="567" w:type="dxa"/>
          </w:tcPr>
          <w:p w14:paraId="431B3FED" w14:textId="3CABE22E" w:rsidR="004C5B52" w:rsidRPr="009D52D0" w:rsidRDefault="004C5B52" w:rsidP="00AD1300">
            <w:pPr>
              <w:pStyle w:val="Tableoutcomecrosses"/>
              <w:rPr>
                <w:b/>
              </w:rPr>
            </w:pPr>
            <w:r>
              <w:rPr>
                <w:b/>
              </w:rPr>
              <w:t>x</w:t>
            </w:r>
          </w:p>
        </w:tc>
      </w:tr>
      <w:tr w:rsidR="004C5B52" w:rsidRPr="009D52D0" w14:paraId="5C50A519" w14:textId="77777777" w:rsidTr="004C5B52">
        <w:tc>
          <w:tcPr>
            <w:tcW w:w="2439" w:type="dxa"/>
          </w:tcPr>
          <w:p w14:paraId="433DE3A7" w14:textId="7D0E8AD9" w:rsidR="004C5B52" w:rsidRPr="00AD1300" w:rsidRDefault="004C5B52" w:rsidP="004C5B52">
            <w:pPr>
              <w:pStyle w:val="Tableoutcomesideheadings"/>
              <w:ind w:left="0"/>
              <w:rPr>
                <w:iCs/>
              </w:rPr>
            </w:pPr>
            <w:r>
              <w:rPr>
                <w:iCs/>
              </w:rPr>
              <w:t>W</w:t>
            </w:r>
            <w:r w:rsidRPr="00AD1300">
              <w:rPr>
                <w:iCs/>
              </w:rPr>
              <w:t>orkshop</w:t>
            </w:r>
            <w:r>
              <w:rPr>
                <w:iCs/>
              </w:rPr>
              <w:t>s</w:t>
            </w:r>
          </w:p>
        </w:tc>
        <w:tc>
          <w:tcPr>
            <w:tcW w:w="567" w:type="dxa"/>
          </w:tcPr>
          <w:p w14:paraId="3853654B" w14:textId="2A480C62" w:rsidR="004C5B52" w:rsidRPr="009D52D0" w:rsidRDefault="004C5B52" w:rsidP="00AD1300">
            <w:pPr>
              <w:pStyle w:val="Tableoutcomecrosses"/>
              <w:rPr>
                <w:b/>
              </w:rPr>
            </w:pPr>
            <w:r>
              <w:rPr>
                <w:b/>
              </w:rPr>
              <w:t>x</w:t>
            </w:r>
          </w:p>
        </w:tc>
        <w:tc>
          <w:tcPr>
            <w:tcW w:w="567" w:type="dxa"/>
          </w:tcPr>
          <w:p w14:paraId="7261D01A" w14:textId="290FE059" w:rsidR="004C5B52" w:rsidRPr="009D52D0" w:rsidRDefault="004C5B52" w:rsidP="00AD1300">
            <w:pPr>
              <w:pStyle w:val="Tableoutcomecrosses"/>
              <w:rPr>
                <w:b/>
              </w:rPr>
            </w:pPr>
            <w:r>
              <w:rPr>
                <w:b/>
              </w:rPr>
              <w:t>x</w:t>
            </w:r>
          </w:p>
        </w:tc>
        <w:tc>
          <w:tcPr>
            <w:tcW w:w="567" w:type="dxa"/>
          </w:tcPr>
          <w:p w14:paraId="2D7957D4" w14:textId="611E7A84" w:rsidR="004C5B52" w:rsidRPr="009D52D0" w:rsidRDefault="004C5B52" w:rsidP="00AD1300">
            <w:pPr>
              <w:pStyle w:val="Tableoutcomecrosses"/>
              <w:rPr>
                <w:b/>
              </w:rPr>
            </w:pPr>
            <w:r>
              <w:rPr>
                <w:b/>
              </w:rPr>
              <w:t>x</w:t>
            </w:r>
          </w:p>
        </w:tc>
        <w:tc>
          <w:tcPr>
            <w:tcW w:w="567" w:type="dxa"/>
          </w:tcPr>
          <w:p w14:paraId="232B2686" w14:textId="694EFF07" w:rsidR="004C5B52" w:rsidRPr="009D52D0" w:rsidRDefault="004C5B52" w:rsidP="00AD1300">
            <w:pPr>
              <w:pStyle w:val="Tableoutcomecrosses"/>
              <w:rPr>
                <w:b/>
              </w:rPr>
            </w:pPr>
            <w:r>
              <w:rPr>
                <w:b/>
              </w:rPr>
              <w:t>x</w:t>
            </w:r>
          </w:p>
        </w:tc>
        <w:tc>
          <w:tcPr>
            <w:tcW w:w="567" w:type="dxa"/>
          </w:tcPr>
          <w:p w14:paraId="4971B999" w14:textId="169AB106" w:rsidR="004C5B52" w:rsidRPr="009D52D0" w:rsidRDefault="004C5B52" w:rsidP="00AD1300">
            <w:pPr>
              <w:pStyle w:val="Tableoutcomecrosses"/>
              <w:rPr>
                <w:b/>
              </w:rPr>
            </w:pPr>
            <w:r>
              <w:rPr>
                <w:b/>
              </w:rPr>
              <w:t>x</w:t>
            </w:r>
          </w:p>
        </w:tc>
        <w:tc>
          <w:tcPr>
            <w:tcW w:w="567" w:type="dxa"/>
          </w:tcPr>
          <w:p w14:paraId="33F0AB51" w14:textId="4785E1DC" w:rsidR="004C5B52" w:rsidRPr="009D52D0" w:rsidRDefault="004C5B52" w:rsidP="00AD1300">
            <w:pPr>
              <w:pStyle w:val="Tableoutcomecrosses"/>
              <w:rPr>
                <w:b/>
              </w:rPr>
            </w:pPr>
            <w:r>
              <w:rPr>
                <w:b/>
              </w:rPr>
              <w:t>x</w:t>
            </w:r>
          </w:p>
        </w:tc>
        <w:tc>
          <w:tcPr>
            <w:tcW w:w="567" w:type="dxa"/>
          </w:tcPr>
          <w:p w14:paraId="663EF542" w14:textId="763694FA" w:rsidR="004C5B52" w:rsidRPr="009D52D0" w:rsidRDefault="004C5B52" w:rsidP="00AD1300">
            <w:pPr>
              <w:pStyle w:val="Tableoutcomecrosses"/>
              <w:rPr>
                <w:b/>
              </w:rPr>
            </w:pPr>
            <w:r>
              <w:rPr>
                <w:b/>
              </w:rPr>
              <w:t>x</w:t>
            </w:r>
          </w:p>
        </w:tc>
        <w:tc>
          <w:tcPr>
            <w:tcW w:w="567" w:type="dxa"/>
          </w:tcPr>
          <w:p w14:paraId="5CA0425D" w14:textId="26FE35C8" w:rsidR="004C5B52" w:rsidRPr="009D52D0" w:rsidRDefault="004C5B52" w:rsidP="00AD1300">
            <w:pPr>
              <w:pStyle w:val="Tableoutcomecrosses"/>
              <w:rPr>
                <w:b/>
              </w:rPr>
            </w:pPr>
            <w:r>
              <w:rPr>
                <w:b/>
              </w:rPr>
              <w:t>x</w:t>
            </w:r>
          </w:p>
        </w:tc>
        <w:tc>
          <w:tcPr>
            <w:tcW w:w="567" w:type="dxa"/>
          </w:tcPr>
          <w:p w14:paraId="2AE9F109" w14:textId="0161EFFC" w:rsidR="004C5B52" w:rsidRPr="009D52D0" w:rsidRDefault="004C5B52" w:rsidP="00AD1300">
            <w:pPr>
              <w:pStyle w:val="Tableoutcomecrosses"/>
              <w:rPr>
                <w:b/>
              </w:rPr>
            </w:pPr>
            <w:r>
              <w:rPr>
                <w:b/>
              </w:rPr>
              <w:t>x</w:t>
            </w:r>
          </w:p>
        </w:tc>
        <w:tc>
          <w:tcPr>
            <w:tcW w:w="567" w:type="dxa"/>
          </w:tcPr>
          <w:p w14:paraId="6BD0A090" w14:textId="25403E1C" w:rsidR="004C5B52" w:rsidRPr="009D52D0" w:rsidRDefault="004C5B52" w:rsidP="00AD1300">
            <w:pPr>
              <w:pStyle w:val="Tableoutcomecrosses"/>
              <w:rPr>
                <w:b/>
              </w:rPr>
            </w:pPr>
            <w:r>
              <w:rPr>
                <w:b/>
              </w:rPr>
              <w:t>x</w:t>
            </w:r>
          </w:p>
        </w:tc>
        <w:tc>
          <w:tcPr>
            <w:tcW w:w="567" w:type="dxa"/>
          </w:tcPr>
          <w:p w14:paraId="3DAC9A4A" w14:textId="2C9B8E6B" w:rsidR="004C5B52" w:rsidRPr="009D52D0" w:rsidRDefault="004C5B52" w:rsidP="00AD1300">
            <w:pPr>
              <w:pStyle w:val="Tableoutcomecrosses"/>
              <w:rPr>
                <w:b/>
              </w:rPr>
            </w:pPr>
            <w:r>
              <w:rPr>
                <w:b/>
              </w:rPr>
              <w:t>x</w:t>
            </w:r>
          </w:p>
        </w:tc>
        <w:tc>
          <w:tcPr>
            <w:tcW w:w="567" w:type="dxa"/>
          </w:tcPr>
          <w:p w14:paraId="21A7EAF7" w14:textId="66B36078" w:rsidR="004C5B52" w:rsidRPr="009D52D0" w:rsidRDefault="004C5B52" w:rsidP="00AD1300">
            <w:pPr>
              <w:pStyle w:val="Tableoutcomecrosses"/>
              <w:rPr>
                <w:b/>
              </w:rPr>
            </w:pPr>
            <w:r>
              <w:rPr>
                <w:b/>
              </w:rPr>
              <w:t>x</w:t>
            </w:r>
          </w:p>
        </w:tc>
      </w:tr>
    </w:tbl>
    <w:p w14:paraId="1DF2B576" w14:textId="6861D79A" w:rsidR="007A6245" w:rsidRDefault="00636058" w:rsidP="002769E7">
      <w:pPr>
        <w:spacing w:before="480" w:after="360" w:line="240" w:lineRule="auto"/>
        <w:ind w:left="567"/>
        <w:rPr>
          <w:rFonts w:ascii="Arial" w:hAnsi="Arial" w:cs="Arial"/>
          <w:b/>
          <w:iCs/>
          <w:sz w:val="24"/>
          <w:szCs w:val="24"/>
        </w:rPr>
      </w:pPr>
      <w:bookmarkStart w:id="10" w:name="_Hlk94692647"/>
      <w:bookmarkEnd w:id="6"/>
      <w:bookmarkEnd w:id="9"/>
      <w:r>
        <w:rPr>
          <w:rFonts w:ascii="Arial" w:hAnsi="Arial" w:cs="Arial"/>
          <w:b/>
          <w:iCs/>
          <w:sz w:val="24"/>
          <w:szCs w:val="24"/>
        </w:rPr>
        <w:t>Module learning outcomes against assessment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4C5B52" w:rsidRPr="009D52D0" w14:paraId="61295987" w14:textId="77777777" w:rsidTr="009919F2">
        <w:trPr>
          <w:cantSplit/>
          <w:tblHeader/>
        </w:trPr>
        <w:tc>
          <w:tcPr>
            <w:tcW w:w="2439" w:type="dxa"/>
            <w:shd w:val="clear" w:color="auto" w:fill="D9D9D9" w:themeFill="background1" w:themeFillShade="D9"/>
          </w:tcPr>
          <w:bookmarkEnd w:id="10"/>
          <w:p w14:paraId="116B3101" w14:textId="77777777" w:rsidR="004C5B52" w:rsidRPr="009D52D0" w:rsidRDefault="004C5B52" w:rsidP="009919F2">
            <w:pPr>
              <w:pStyle w:val="Tableoutcomesideheadings"/>
            </w:pPr>
            <w:r w:rsidRPr="009D52D0">
              <w:lastRenderedPageBreak/>
              <w:t>Module learning outcome</w:t>
            </w:r>
          </w:p>
        </w:tc>
        <w:tc>
          <w:tcPr>
            <w:tcW w:w="567" w:type="dxa"/>
          </w:tcPr>
          <w:p w14:paraId="5843A6FD" w14:textId="77777777" w:rsidR="004C5B52" w:rsidRPr="009D52D0" w:rsidRDefault="004C5B52" w:rsidP="009919F2">
            <w:pPr>
              <w:pStyle w:val="Tableoutcomeshead"/>
            </w:pPr>
            <w:r w:rsidRPr="009D52D0">
              <w:t>8.1</w:t>
            </w:r>
          </w:p>
        </w:tc>
        <w:tc>
          <w:tcPr>
            <w:tcW w:w="567" w:type="dxa"/>
          </w:tcPr>
          <w:p w14:paraId="366A1785" w14:textId="77777777" w:rsidR="004C5B52" w:rsidRPr="009D52D0" w:rsidRDefault="004C5B52" w:rsidP="009919F2">
            <w:pPr>
              <w:pStyle w:val="Tableoutcomeshead"/>
            </w:pPr>
            <w:r w:rsidRPr="009D52D0">
              <w:t>8.2</w:t>
            </w:r>
          </w:p>
        </w:tc>
        <w:tc>
          <w:tcPr>
            <w:tcW w:w="567" w:type="dxa"/>
          </w:tcPr>
          <w:p w14:paraId="1F151A77" w14:textId="77777777" w:rsidR="004C5B52" w:rsidRPr="009D52D0" w:rsidRDefault="004C5B52" w:rsidP="009919F2">
            <w:pPr>
              <w:pStyle w:val="Tableoutcomeshead"/>
            </w:pPr>
            <w:r w:rsidRPr="009D52D0">
              <w:t>8.3</w:t>
            </w:r>
          </w:p>
        </w:tc>
        <w:tc>
          <w:tcPr>
            <w:tcW w:w="567" w:type="dxa"/>
          </w:tcPr>
          <w:p w14:paraId="07A51635" w14:textId="77777777" w:rsidR="004C5B52" w:rsidRPr="009D52D0" w:rsidRDefault="004C5B52" w:rsidP="009919F2">
            <w:pPr>
              <w:pStyle w:val="Tableoutcomeshead"/>
            </w:pPr>
            <w:r w:rsidRPr="009D52D0">
              <w:t>8.4</w:t>
            </w:r>
          </w:p>
        </w:tc>
        <w:tc>
          <w:tcPr>
            <w:tcW w:w="567" w:type="dxa"/>
          </w:tcPr>
          <w:p w14:paraId="6351B3F6" w14:textId="77777777" w:rsidR="004C5B52" w:rsidRPr="009D52D0" w:rsidRDefault="004C5B52" w:rsidP="009919F2">
            <w:pPr>
              <w:pStyle w:val="Tableoutcomeshead"/>
            </w:pPr>
            <w:r w:rsidRPr="009D52D0">
              <w:t>8.5</w:t>
            </w:r>
          </w:p>
        </w:tc>
        <w:tc>
          <w:tcPr>
            <w:tcW w:w="567" w:type="dxa"/>
          </w:tcPr>
          <w:p w14:paraId="5071D3DC" w14:textId="77777777" w:rsidR="004C5B52" w:rsidRPr="009D52D0" w:rsidRDefault="004C5B52" w:rsidP="009919F2">
            <w:pPr>
              <w:pStyle w:val="Tableoutcomeshead"/>
            </w:pPr>
            <w:r>
              <w:t>8.6</w:t>
            </w:r>
          </w:p>
        </w:tc>
        <w:tc>
          <w:tcPr>
            <w:tcW w:w="567" w:type="dxa"/>
          </w:tcPr>
          <w:p w14:paraId="39D9838D" w14:textId="77777777" w:rsidR="004C5B52" w:rsidRPr="009D52D0" w:rsidRDefault="004C5B52" w:rsidP="009919F2">
            <w:pPr>
              <w:pStyle w:val="Tableoutcomeshead"/>
            </w:pPr>
            <w:r>
              <w:t>8.7</w:t>
            </w:r>
          </w:p>
        </w:tc>
        <w:tc>
          <w:tcPr>
            <w:tcW w:w="567" w:type="dxa"/>
          </w:tcPr>
          <w:p w14:paraId="68988FE3" w14:textId="77777777" w:rsidR="004C5B52" w:rsidRPr="009D52D0" w:rsidRDefault="004C5B52" w:rsidP="009919F2">
            <w:pPr>
              <w:pStyle w:val="Tableoutcomeshead"/>
            </w:pPr>
            <w:r>
              <w:t>8.8</w:t>
            </w:r>
          </w:p>
        </w:tc>
        <w:tc>
          <w:tcPr>
            <w:tcW w:w="567" w:type="dxa"/>
          </w:tcPr>
          <w:p w14:paraId="3FD4E53C" w14:textId="77777777" w:rsidR="004C5B52" w:rsidRPr="009D52D0" w:rsidRDefault="004C5B52" w:rsidP="009919F2">
            <w:pPr>
              <w:pStyle w:val="Tableoutcomeshead"/>
            </w:pPr>
            <w:r w:rsidRPr="009D52D0">
              <w:t>9.1</w:t>
            </w:r>
          </w:p>
        </w:tc>
        <w:tc>
          <w:tcPr>
            <w:tcW w:w="567" w:type="dxa"/>
          </w:tcPr>
          <w:p w14:paraId="656B0C9B" w14:textId="77777777" w:rsidR="004C5B52" w:rsidRPr="009D52D0" w:rsidRDefault="004C5B52" w:rsidP="009919F2">
            <w:pPr>
              <w:pStyle w:val="Tableoutcomeshead"/>
            </w:pPr>
            <w:r w:rsidRPr="009D52D0">
              <w:t>9.2</w:t>
            </w:r>
          </w:p>
        </w:tc>
        <w:tc>
          <w:tcPr>
            <w:tcW w:w="567" w:type="dxa"/>
          </w:tcPr>
          <w:p w14:paraId="56CF8008" w14:textId="77777777" w:rsidR="004C5B52" w:rsidRPr="009D52D0" w:rsidRDefault="004C5B52" w:rsidP="009919F2">
            <w:pPr>
              <w:pStyle w:val="Tableoutcomeshead"/>
            </w:pPr>
            <w:r w:rsidRPr="009D52D0">
              <w:t>9.3</w:t>
            </w:r>
          </w:p>
        </w:tc>
        <w:tc>
          <w:tcPr>
            <w:tcW w:w="567" w:type="dxa"/>
          </w:tcPr>
          <w:p w14:paraId="716F980F" w14:textId="77777777" w:rsidR="004C5B52" w:rsidRPr="009D52D0" w:rsidRDefault="004C5B52" w:rsidP="009919F2">
            <w:pPr>
              <w:pStyle w:val="Tableoutcomeshead"/>
            </w:pPr>
            <w:r w:rsidRPr="009D52D0">
              <w:t>9.4</w:t>
            </w:r>
          </w:p>
        </w:tc>
      </w:tr>
      <w:tr w:rsidR="004C5B52" w:rsidRPr="009D52D0" w14:paraId="238D438D" w14:textId="77777777" w:rsidTr="009919F2">
        <w:tc>
          <w:tcPr>
            <w:tcW w:w="2439" w:type="dxa"/>
          </w:tcPr>
          <w:p w14:paraId="0A5C8768" w14:textId="21ED08A1" w:rsidR="004C5B52" w:rsidRPr="009D52D0" w:rsidRDefault="004C5B52" w:rsidP="009919F2">
            <w:pPr>
              <w:pStyle w:val="Tableoutcomesideheadings"/>
            </w:pPr>
            <w:r w:rsidRPr="009D52D0">
              <w:t>P</w:t>
            </w:r>
            <w:r>
              <w:t xml:space="preserve">articipation and Engagement </w:t>
            </w:r>
          </w:p>
        </w:tc>
        <w:tc>
          <w:tcPr>
            <w:tcW w:w="567" w:type="dxa"/>
          </w:tcPr>
          <w:p w14:paraId="1AC361D2" w14:textId="77777777" w:rsidR="004C5B52" w:rsidRPr="009D52D0" w:rsidRDefault="004C5B52" w:rsidP="009919F2">
            <w:pPr>
              <w:pStyle w:val="Tableoutcomecrosses"/>
              <w:rPr>
                <w:b/>
              </w:rPr>
            </w:pPr>
            <w:r>
              <w:rPr>
                <w:b/>
              </w:rPr>
              <w:t>x</w:t>
            </w:r>
          </w:p>
        </w:tc>
        <w:tc>
          <w:tcPr>
            <w:tcW w:w="567" w:type="dxa"/>
          </w:tcPr>
          <w:p w14:paraId="548C823D" w14:textId="77777777" w:rsidR="004C5B52" w:rsidRPr="009D52D0" w:rsidRDefault="004C5B52" w:rsidP="009919F2">
            <w:pPr>
              <w:pStyle w:val="Tableoutcomecrosses"/>
              <w:rPr>
                <w:b/>
              </w:rPr>
            </w:pPr>
            <w:r>
              <w:rPr>
                <w:b/>
              </w:rPr>
              <w:t>x</w:t>
            </w:r>
          </w:p>
        </w:tc>
        <w:tc>
          <w:tcPr>
            <w:tcW w:w="567" w:type="dxa"/>
          </w:tcPr>
          <w:p w14:paraId="2D6D4CE8" w14:textId="77777777" w:rsidR="004C5B52" w:rsidRPr="009D52D0" w:rsidRDefault="004C5B52" w:rsidP="009919F2">
            <w:pPr>
              <w:pStyle w:val="Tableoutcomecrosses"/>
              <w:rPr>
                <w:b/>
              </w:rPr>
            </w:pPr>
            <w:r>
              <w:rPr>
                <w:b/>
              </w:rPr>
              <w:t>x</w:t>
            </w:r>
          </w:p>
        </w:tc>
        <w:tc>
          <w:tcPr>
            <w:tcW w:w="567" w:type="dxa"/>
          </w:tcPr>
          <w:p w14:paraId="552C2597" w14:textId="77777777" w:rsidR="004C5B52" w:rsidRPr="009D52D0" w:rsidRDefault="004C5B52" w:rsidP="009919F2">
            <w:pPr>
              <w:pStyle w:val="Tableoutcomecrosses"/>
              <w:rPr>
                <w:b/>
              </w:rPr>
            </w:pPr>
            <w:r>
              <w:rPr>
                <w:b/>
              </w:rPr>
              <w:t>x</w:t>
            </w:r>
          </w:p>
        </w:tc>
        <w:tc>
          <w:tcPr>
            <w:tcW w:w="567" w:type="dxa"/>
          </w:tcPr>
          <w:p w14:paraId="19AAEC5F" w14:textId="77777777" w:rsidR="004C5B52" w:rsidRPr="009D52D0" w:rsidRDefault="004C5B52" w:rsidP="009919F2">
            <w:pPr>
              <w:pStyle w:val="Tableoutcomecrosses"/>
              <w:rPr>
                <w:b/>
              </w:rPr>
            </w:pPr>
            <w:r>
              <w:rPr>
                <w:b/>
              </w:rPr>
              <w:t>x</w:t>
            </w:r>
          </w:p>
        </w:tc>
        <w:tc>
          <w:tcPr>
            <w:tcW w:w="567" w:type="dxa"/>
          </w:tcPr>
          <w:p w14:paraId="4D3ABC2C" w14:textId="77777777" w:rsidR="004C5B52" w:rsidRPr="009D52D0" w:rsidRDefault="004C5B52" w:rsidP="009919F2">
            <w:pPr>
              <w:pStyle w:val="Tableoutcomecrosses"/>
              <w:rPr>
                <w:b/>
              </w:rPr>
            </w:pPr>
            <w:r>
              <w:rPr>
                <w:b/>
              </w:rPr>
              <w:t>x</w:t>
            </w:r>
          </w:p>
        </w:tc>
        <w:tc>
          <w:tcPr>
            <w:tcW w:w="567" w:type="dxa"/>
          </w:tcPr>
          <w:p w14:paraId="6151BEA5" w14:textId="77777777" w:rsidR="004C5B52" w:rsidRPr="009D52D0" w:rsidRDefault="004C5B52" w:rsidP="009919F2">
            <w:pPr>
              <w:pStyle w:val="Tableoutcomecrosses"/>
              <w:rPr>
                <w:b/>
              </w:rPr>
            </w:pPr>
            <w:r>
              <w:rPr>
                <w:b/>
              </w:rPr>
              <w:t>x</w:t>
            </w:r>
          </w:p>
        </w:tc>
        <w:tc>
          <w:tcPr>
            <w:tcW w:w="567" w:type="dxa"/>
          </w:tcPr>
          <w:p w14:paraId="180BB7E8" w14:textId="77777777" w:rsidR="004C5B52" w:rsidRPr="009D52D0" w:rsidRDefault="004C5B52" w:rsidP="009919F2">
            <w:pPr>
              <w:pStyle w:val="Tableoutcomecrosses"/>
              <w:rPr>
                <w:b/>
              </w:rPr>
            </w:pPr>
            <w:r>
              <w:rPr>
                <w:b/>
              </w:rPr>
              <w:t>x</w:t>
            </w:r>
          </w:p>
        </w:tc>
        <w:tc>
          <w:tcPr>
            <w:tcW w:w="567" w:type="dxa"/>
          </w:tcPr>
          <w:p w14:paraId="149AEB58" w14:textId="77777777" w:rsidR="004C5B52" w:rsidRPr="009D52D0" w:rsidRDefault="004C5B52" w:rsidP="009919F2">
            <w:pPr>
              <w:pStyle w:val="Tableoutcomecrosses"/>
              <w:rPr>
                <w:b/>
              </w:rPr>
            </w:pPr>
            <w:r>
              <w:rPr>
                <w:b/>
              </w:rPr>
              <w:t>x</w:t>
            </w:r>
          </w:p>
        </w:tc>
        <w:tc>
          <w:tcPr>
            <w:tcW w:w="567" w:type="dxa"/>
          </w:tcPr>
          <w:p w14:paraId="16433AF4" w14:textId="77777777" w:rsidR="004C5B52" w:rsidRPr="009D52D0" w:rsidRDefault="004C5B52" w:rsidP="009919F2">
            <w:pPr>
              <w:pStyle w:val="Tableoutcomecrosses"/>
              <w:rPr>
                <w:b/>
              </w:rPr>
            </w:pPr>
            <w:r>
              <w:rPr>
                <w:b/>
              </w:rPr>
              <w:t>x</w:t>
            </w:r>
          </w:p>
        </w:tc>
        <w:tc>
          <w:tcPr>
            <w:tcW w:w="567" w:type="dxa"/>
          </w:tcPr>
          <w:p w14:paraId="2C396E05" w14:textId="77777777" w:rsidR="004C5B52" w:rsidRPr="009D52D0" w:rsidRDefault="004C5B52" w:rsidP="009919F2">
            <w:pPr>
              <w:pStyle w:val="Tableoutcomecrosses"/>
              <w:rPr>
                <w:b/>
              </w:rPr>
            </w:pPr>
            <w:r>
              <w:rPr>
                <w:b/>
              </w:rPr>
              <w:t>x</w:t>
            </w:r>
          </w:p>
        </w:tc>
        <w:tc>
          <w:tcPr>
            <w:tcW w:w="567" w:type="dxa"/>
          </w:tcPr>
          <w:p w14:paraId="323E8551" w14:textId="77777777" w:rsidR="004C5B52" w:rsidRPr="009D52D0" w:rsidRDefault="004C5B52" w:rsidP="009919F2">
            <w:pPr>
              <w:pStyle w:val="Tableoutcomecrosses"/>
              <w:rPr>
                <w:b/>
              </w:rPr>
            </w:pPr>
            <w:r>
              <w:rPr>
                <w:b/>
              </w:rPr>
              <w:t>x</w:t>
            </w:r>
          </w:p>
        </w:tc>
      </w:tr>
    </w:tbl>
    <w:bookmarkEnd w:id="7"/>
    <w:bookmarkEnd w:id="8"/>
    <w:p w14:paraId="03283DDF" w14:textId="77777777" w:rsidR="00883204" w:rsidRPr="009D52D0" w:rsidRDefault="00883204" w:rsidP="002769E7">
      <w:pPr>
        <w:pStyle w:val="Heading2"/>
        <w:spacing w:before="960"/>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7A83818B" w:rsidR="00AD1300" w:rsidRPr="00AD1300" w:rsidRDefault="004C5B52" w:rsidP="00AD1300">
      <w:pPr>
        <w:pStyle w:val="BodyText"/>
      </w:pPr>
      <w:r>
        <w:t>Canterbury</w:t>
      </w:r>
    </w:p>
    <w:p w14:paraId="654C7CE7" w14:textId="7FD75D27" w:rsidR="00883204" w:rsidRDefault="00883204" w:rsidP="00072357">
      <w:pPr>
        <w:pStyle w:val="Heading2"/>
      </w:pPr>
      <w:r w:rsidRPr="009D52D0">
        <w:t>Internationalisation</w:t>
      </w:r>
    </w:p>
    <w:p w14:paraId="2CB23452" w14:textId="77777777" w:rsidR="004C5B52" w:rsidRPr="001638BB" w:rsidRDefault="004C5B52" w:rsidP="004C5B52">
      <w:pPr>
        <w:spacing w:after="120" w:line="240" w:lineRule="auto"/>
        <w:ind w:left="567" w:right="543"/>
        <w:jc w:val="both"/>
        <w:rPr>
          <w:rFonts w:ascii="Arial" w:hAnsi="Arial" w:cs="Arial"/>
          <w:sz w:val="24"/>
          <w:szCs w:val="24"/>
        </w:rPr>
      </w:pPr>
      <w:r w:rsidRPr="001638BB">
        <w:rPr>
          <w:rFonts w:ascii="Arial" w:hAnsi="Arial" w:cs="Arial"/>
          <w:sz w:val="24"/>
          <w:szCs w:val="24"/>
        </w:rPr>
        <w:t>Students will be encouraged to develop and explore intercultural competencies, knowledge of global discourses relevant to their specific research focus and expand their own horizons through diverse research.</w:t>
      </w:r>
    </w:p>
    <w:p w14:paraId="3F5B9073" w14:textId="6B341C2A" w:rsidR="009D52D0" w:rsidRDefault="009D52D0">
      <w:pPr>
        <w:rPr>
          <w:rFonts w:ascii="Arial" w:hAnsi="Arial" w:cs="Arial"/>
          <w:sz w:val="24"/>
          <w:szCs w:val="24"/>
        </w:rPr>
      </w:pPr>
      <w:bookmarkStart w:id="11" w:name="_Hlk110347234"/>
    </w:p>
    <w:p w14:paraId="36C1544F" w14:textId="77777777" w:rsidR="00641D6D" w:rsidRPr="002769E7" w:rsidRDefault="00641D6D" w:rsidP="009D52D0">
      <w:pPr>
        <w:pBdr>
          <w:bottom w:val="single" w:sz="6" w:space="1" w:color="auto"/>
        </w:pBdr>
        <w:spacing w:after="120" w:line="240" w:lineRule="auto"/>
        <w:ind w:right="543"/>
        <w:rPr>
          <w:rFonts w:ascii="Arial" w:hAnsi="Arial" w:cs="Arial"/>
        </w:rPr>
      </w:pPr>
    </w:p>
    <w:p w14:paraId="31CC2DF2" w14:textId="77777777" w:rsidR="00441E76" w:rsidRPr="002769E7" w:rsidRDefault="009F5EA4" w:rsidP="009D52D0">
      <w:pPr>
        <w:spacing w:after="120" w:line="240" w:lineRule="auto"/>
        <w:ind w:right="543"/>
        <w:rPr>
          <w:rFonts w:ascii="Arial" w:hAnsi="Arial" w:cs="Arial"/>
          <w:b/>
        </w:rPr>
      </w:pPr>
      <w:r w:rsidRPr="002769E7">
        <w:rPr>
          <w:rFonts w:ascii="Arial" w:hAnsi="Arial" w:cs="Arial"/>
          <w:b/>
        </w:rPr>
        <w:t xml:space="preserve">DIVISIONAL </w:t>
      </w:r>
      <w:r w:rsidR="00441E76" w:rsidRPr="002769E7">
        <w:rPr>
          <w:rFonts w:ascii="Arial" w:hAnsi="Arial" w:cs="Arial"/>
          <w:b/>
        </w:rPr>
        <w:t>USE ONLY</w:t>
      </w:r>
      <w:r w:rsidR="00C612A8" w:rsidRPr="002769E7">
        <w:rPr>
          <w:rFonts w:ascii="Arial" w:hAnsi="Arial" w:cs="Arial"/>
          <w:b/>
        </w:rPr>
        <w:t xml:space="preserve"> </w:t>
      </w:r>
    </w:p>
    <w:p w14:paraId="010B6F31" w14:textId="359B19D8" w:rsidR="00D83563" w:rsidRPr="002769E7" w:rsidRDefault="00E1736E" w:rsidP="009D52D0">
      <w:pPr>
        <w:spacing w:after="120" w:line="240" w:lineRule="auto"/>
        <w:ind w:right="543"/>
        <w:rPr>
          <w:rFonts w:ascii="Arial" w:hAnsi="Arial" w:cs="Arial"/>
          <w:b/>
        </w:rPr>
      </w:pPr>
      <w:r w:rsidRPr="002769E7">
        <w:rPr>
          <w:rFonts w:ascii="Arial" w:hAnsi="Arial" w:cs="Arial"/>
          <w:b/>
        </w:rPr>
        <w:t xml:space="preserve">Module </w:t>
      </w:r>
      <w:r w:rsidR="00D83563" w:rsidRPr="002769E7">
        <w:rPr>
          <w:rFonts w:ascii="Arial" w:hAnsi="Arial" w:cs="Arial"/>
          <w:b/>
        </w:rPr>
        <w:t>record – all revisions must be recorded in the grid and full details of the change retained in the appropriate committee records.</w:t>
      </w:r>
    </w:p>
    <w:p w14:paraId="2EB548D9" w14:textId="77777777" w:rsidR="00422B69" w:rsidRPr="002769E7" w:rsidRDefault="00422B69" w:rsidP="009D52D0">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302082" w:rsidRPr="009D52D0" w14:paraId="52814657" w14:textId="77777777" w:rsidTr="002769E7">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459"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2769E7">
        <w:trPr>
          <w:trHeight w:val="305"/>
        </w:trPr>
        <w:tc>
          <w:tcPr>
            <w:tcW w:w="1592" w:type="dxa"/>
          </w:tcPr>
          <w:p w14:paraId="4474539E" w14:textId="7FD3D7B1" w:rsidR="00422B69" w:rsidRPr="009D52D0" w:rsidRDefault="002769E7" w:rsidP="00D2324C">
            <w:pPr>
              <w:pStyle w:val="Tabledivuseonly"/>
            </w:pPr>
            <w:r>
              <w:t>14.11.22</w:t>
            </w:r>
          </w:p>
        </w:tc>
        <w:tc>
          <w:tcPr>
            <w:tcW w:w="1817" w:type="dxa"/>
          </w:tcPr>
          <w:p w14:paraId="3DB8B056" w14:textId="2AB1A321" w:rsidR="00422B69" w:rsidRPr="009D52D0" w:rsidRDefault="002769E7" w:rsidP="00D2324C">
            <w:pPr>
              <w:pStyle w:val="Tabledivuseonly"/>
            </w:pPr>
            <w:r>
              <w:t>Minor</w:t>
            </w:r>
          </w:p>
        </w:tc>
        <w:tc>
          <w:tcPr>
            <w:tcW w:w="2256" w:type="dxa"/>
          </w:tcPr>
          <w:p w14:paraId="7151A835" w14:textId="5A359539" w:rsidR="00422B69" w:rsidRPr="009D52D0" w:rsidRDefault="002769E7" w:rsidP="00D2324C">
            <w:pPr>
              <w:pStyle w:val="Tabledivuseonly"/>
            </w:pPr>
            <w:r>
              <w:t>September 2023</w:t>
            </w:r>
          </w:p>
        </w:tc>
        <w:tc>
          <w:tcPr>
            <w:tcW w:w="2077" w:type="dxa"/>
          </w:tcPr>
          <w:p w14:paraId="64AEF8B4" w14:textId="751017FD" w:rsidR="00422B69" w:rsidRPr="009D52D0" w:rsidRDefault="002769E7" w:rsidP="00D2324C">
            <w:pPr>
              <w:pStyle w:val="Tabledivuseonly"/>
            </w:pPr>
            <w:r w:rsidRPr="002769E7">
              <w:t>7, 10, 11</w:t>
            </w:r>
          </w:p>
        </w:tc>
        <w:tc>
          <w:tcPr>
            <w:tcW w:w="2459" w:type="dxa"/>
          </w:tcPr>
          <w:p w14:paraId="2788108C" w14:textId="7CE3D28F" w:rsidR="00422B69" w:rsidRPr="009D52D0" w:rsidRDefault="002769E7" w:rsidP="00D2324C">
            <w:pPr>
              <w:pStyle w:val="Tabledivuseonly"/>
            </w:pPr>
            <w:r>
              <w:t>No</w:t>
            </w:r>
          </w:p>
        </w:tc>
      </w:tr>
      <w:tr w:rsidR="00302082" w:rsidRPr="009D52D0" w14:paraId="1EAC1207" w14:textId="77777777" w:rsidTr="002769E7">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459" w:type="dxa"/>
          </w:tcPr>
          <w:p w14:paraId="1F3DBDEE" w14:textId="77777777" w:rsidR="00422B69" w:rsidRPr="009D52D0" w:rsidRDefault="00422B69" w:rsidP="00D2324C">
            <w:pPr>
              <w:pStyle w:val="Tabledivuseonly"/>
            </w:pPr>
          </w:p>
        </w:tc>
      </w:tr>
      <w:bookmarkEnd w:id="11"/>
    </w:tbl>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sectPr w:rsidR="00FC217A" w:rsidRPr="00FC217A" w:rsidSect="00872464">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339FFEDD" w:rsidR="004455F2" w:rsidRDefault="004455F2" w:rsidP="00872464">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06A1BAEF" w:rsidR="008B2543" w:rsidRPr="007B7724" w:rsidRDefault="004455F2" w:rsidP="004C5B52">
    <w:pPr>
      <w:pStyle w:val="Footer"/>
      <w:tabs>
        <w:tab w:val="clear" w:pos="4513"/>
        <w:tab w:val="clear" w:pos="9026"/>
        <w:tab w:val="left" w:pos="3225"/>
      </w:tabs>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4C5B52">
      <w:rPr>
        <w:rFonts w:ascii="Arial" w:hAnsi="Arial"/>
        <w:sz w:val="18"/>
      </w:rPr>
      <w:t xml:space="preserve">POLI9990 </w:t>
    </w:r>
    <w:r w:rsidR="00872464" w:rsidRPr="00872464">
      <w:rPr>
        <w:rFonts w:ascii="Arial" w:hAnsi="Arial"/>
        <w:sz w:val="18"/>
      </w:rPr>
      <w:t>Research Methods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466233"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C4B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622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302F6B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F54188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D888F7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012C67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7B8300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1E23D5A"/>
    <w:multiLevelType w:val="hybridMultilevel"/>
    <w:tmpl w:val="CE0A0A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1"/>
  </w:num>
  <w:num w:numId="6" w16cid:durableId="1000423939">
    <w:abstractNumId w:val="18"/>
  </w:num>
  <w:num w:numId="7" w16cid:durableId="1583754193">
    <w:abstractNumId w:val="23"/>
  </w:num>
  <w:num w:numId="8" w16cid:durableId="1800294742">
    <w:abstractNumId w:val="20"/>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9"/>
  </w:num>
  <w:num w:numId="22" w16cid:durableId="1647247933">
    <w:abstractNumId w:val="22"/>
  </w:num>
  <w:num w:numId="23" w16cid:durableId="598366948">
    <w:abstractNumId w:val="17"/>
  </w:num>
  <w:num w:numId="24" w16cid:durableId="1102431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769E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66233"/>
    <w:rsid w:val="00471C6C"/>
    <w:rsid w:val="00472023"/>
    <w:rsid w:val="00476167"/>
    <w:rsid w:val="00486993"/>
    <w:rsid w:val="00492DA4"/>
    <w:rsid w:val="0049654B"/>
    <w:rsid w:val="00496AA3"/>
    <w:rsid w:val="00497C98"/>
    <w:rsid w:val="004A39D7"/>
    <w:rsid w:val="004A3C23"/>
    <w:rsid w:val="004A55FA"/>
    <w:rsid w:val="004B5D03"/>
    <w:rsid w:val="004C1EC4"/>
    <w:rsid w:val="004C4E66"/>
    <w:rsid w:val="004C5B52"/>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2464"/>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3C37"/>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52"/>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872464"/>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72464"/>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CEBEE0B-64E7-4927-BFB3-1AEB2F1ED525}"/>
</file>

<file path=customXml/itemProps3.xml><?xml version="1.0" encoding="utf-8"?>
<ds:datastoreItem xmlns:ds="http://schemas.openxmlformats.org/officeDocument/2006/customXml" ds:itemID="{0B993827-2DDF-4156-895B-E9B07E1756A3}"/>
</file>

<file path=customXml/itemProps4.xml><?xml version="1.0" encoding="utf-8"?>
<ds:datastoreItem xmlns:ds="http://schemas.openxmlformats.org/officeDocument/2006/customXml" ds:itemID="{CFF8A94C-B915-46F1-9786-1D56917942CF}"/>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2022-11-15T16:27:00Z</dcterms:created>
  <dcterms:modified xsi:type="dcterms:W3CDTF">2022-11-15T16:47:00Z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