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171A46">
      <w:pPr>
        <w:pStyle w:val="Heading2"/>
        <w:spacing w:before="0"/>
      </w:pPr>
      <w:bookmarkStart w:id="0" w:name="_Hlk110345875"/>
      <w:r>
        <w:t>KentVision Code and t</w:t>
      </w:r>
      <w:r w:rsidR="009A2D37" w:rsidRPr="00072357">
        <w:t>itle of the module</w:t>
      </w:r>
    </w:p>
    <w:p w14:paraId="53DD716D" w14:textId="7660D0FD" w:rsidR="00694B52" w:rsidRPr="009D52D0" w:rsidRDefault="0049141E" w:rsidP="00FF34D0">
      <w:pPr>
        <w:pStyle w:val="BodyText"/>
      </w:pPr>
      <w:bookmarkStart w:id="1" w:name="_Hlk119415388"/>
      <w:bookmarkEnd w:id="0"/>
      <w:r w:rsidRPr="0049141E">
        <w:t>POLI9170 Terrorism and Crimes of the State</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1868BD59" w:rsidR="000B128D" w:rsidRPr="000B128D" w:rsidRDefault="0049141E" w:rsidP="000B128D">
      <w:pPr>
        <w:pStyle w:val="BodyText"/>
      </w:pPr>
      <w:r>
        <w:t>Division of Human and Social Sciences</w:t>
      </w:r>
      <w:r w:rsidR="00021817">
        <w:t>,</w:t>
      </w:r>
      <w:r>
        <w:t xml:space="preserve"> School of </w:t>
      </w:r>
      <w:r w:rsidRPr="0049141E">
        <w:t>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9AE6C88" w:rsidR="000B128D" w:rsidRPr="000B128D" w:rsidRDefault="0049141E"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1E1568F3" w:rsidR="000B128D" w:rsidRPr="000B128D" w:rsidRDefault="0049141E" w:rsidP="000B128D">
      <w:pPr>
        <w:pStyle w:val="BodyText"/>
      </w:pPr>
      <w:r w:rsidRPr="0049141E">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1F3C2EAD" w:rsidR="000B128D" w:rsidRPr="000B128D" w:rsidRDefault="0049141E" w:rsidP="000B128D">
      <w:pPr>
        <w:pStyle w:val="BodyText"/>
      </w:pPr>
      <w:r w:rsidRPr="0049141E">
        <w:t>Autumn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61B7BCB7" w:rsidR="000B128D" w:rsidRPr="000B128D" w:rsidRDefault="0049141E" w:rsidP="000B128D">
      <w:pPr>
        <w:pStyle w:val="BodyText"/>
      </w:pPr>
      <w:r>
        <w:t>None</w:t>
      </w:r>
    </w:p>
    <w:p w14:paraId="5C4E863C" w14:textId="06E7EDFC" w:rsidR="00623807" w:rsidRDefault="009A2D37" w:rsidP="00623807">
      <w:pPr>
        <w:pStyle w:val="Heading2"/>
      </w:pPr>
      <w:r w:rsidRPr="009D52D0">
        <w:t xml:space="preserve">The </w:t>
      </w:r>
      <w:r w:rsidR="007A49C1" w:rsidRPr="009D52D0">
        <w:t>course(s)</w:t>
      </w:r>
      <w:r w:rsidRPr="009D52D0">
        <w:t xml:space="preserve"> of study to which the module contributes</w:t>
      </w:r>
    </w:p>
    <w:p w14:paraId="698252A3" w14:textId="56ADB199" w:rsidR="0049141E" w:rsidRPr="00114139" w:rsidRDefault="00021817" w:rsidP="00B41613">
      <w:pPr>
        <w:pStyle w:val="BodyText"/>
        <w:rPr>
          <w:b/>
          <w:bCs/>
          <w:i/>
          <w:iCs/>
          <w:sz w:val="22"/>
        </w:rPr>
      </w:pPr>
      <w:r w:rsidRPr="00114139">
        <w:rPr>
          <w:b/>
          <w:bCs/>
          <w:i/>
          <w:iCs/>
          <w:sz w:val="22"/>
        </w:rPr>
        <w:t>C</w:t>
      </w:r>
      <w:r w:rsidR="0049141E" w:rsidRPr="00114139">
        <w:rPr>
          <w:b/>
          <w:bCs/>
          <w:i/>
          <w:iCs/>
          <w:sz w:val="22"/>
        </w:rPr>
        <w:t>ompulsory for</w:t>
      </w:r>
      <w:r w:rsidRPr="00114139">
        <w:rPr>
          <w:b/>
          <w:bCs/>
          <w:i/>
          <w:iCs/>
          <w:sz w:val="22"/>
        </w:rPr>
        <w:t xml:space="preserve"> the following courses:</w:t>
      </w:r>
    </w:p>
    <w:p w14:paraId="47A92E6D" w14:textId="1E42742F" w:rsidR="0049141E" w:rsidRDefault="00021817" w:rsidP="00B41613">
      <w:pPr>
        <w:pStyle w:val="ListBullet"/>
      </w:pPr>
      <w:r>
        <w:t xml:space="preserve">MA </w:t>
      </w:r>
      <w:r w:rsidR="0049141E" w:rsidRPr="00E20013">
        <w:t xml:space="preserve">Terrorism and Security </w:t>
      </w:r>
    </w:p>
    <w:p w14:paraId="3C41F006" w14:textId="5F2104ED" w:rsidR="00021817" w:rsidRDefault="00021817" w:rsidP="00B41613">
      <w:pPr>
        <w:pStyle w:val="BodyText"/>
      </w:pPr>
    </w:p>
    <w:p w14:paraId="4066E510" w14:textId="406C6933" w:rsidR="0049141E" w:rsidRDefault="00021817" w:rsidP="00B41613">
      <w:pPr>
        <w:pStyle w:val="BodyText"/>
      </w:pPr>
      <w:r>
        <w:t xml:space="preserve">Optional </w:t>
      </w:r>
      <w:r w:rsidR="0049141E" w:rsidRPr="00B41613">
        <w:t xml:space="preserve">to all students on MA programmes within the School of Politics and  International Relations. </w:t>
      </w:r>
    </w:p>
    <w:p w14:paraId="342A579A" w14:textId="67EAAC0D" w:rsidR="00021817" w:rsidRPr="00B41613" w:rsidRDefault="00021817" w:rsidP="00B41613">
      <w:pPr>
        <w:pStyle w:val="BodyText"/>
        <w:spacing w:before="360"/>
      </w:pPr>
      <w:r>
        <w:t>Also available as an elective module</w:t>
      </w:r>
    </w:p>
    <w:p w14:paraId="256A8AC3" w14:textId="20683592"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03376BD" w14:textId="6F3F3122" w:rsidR="0049141E" w:rsidRDefault="00B41613" w:rsidP="00B41613">
      <w:pPr>
        <w:pStyle w:val="ListNumber2"/>
      </w:pPr>
      <w:r>
        <w:t>8.</w:t>
      </w:r>
      <w:r w:rsidR="0049141E">
        <w:t>1</w:t>
      </w:r>
      <w:r>
        <w:tab/>
      </w:r>
      <w:r w:rsidR="0049141E">
        <w:t xml:space="preserve">Analyse competing definitions of terrorism, counter-terrorism and state terrorism </w:t>
      </w:r>
    </w:p>
    <w:p w14:paraId="315F19B6" w14:textId="2A74BF5C" w:rsidR="0049141E" w:rsidRDefault="00B41613" w:rsidP="00B41613">
      <w:pPr>
        <w:pStyle w:val="ListNumber2"/>
      </w:pPr>
      <w:r>
        <w:lastRenderedPageBreak/>
        <w:t>8.</w:t>
      </w:r>
      <w:r w:rsidR="0049141E">
        <w:t>2</w:t>
      </w:r>
      <w:r>
        <w:tab/>
      </w:r>
      <w:r w:rsidR="0049141E">
        <w:t>Appreciate the impact that efforts in the name of counter-terrorism in liberal democratic states have had on human rights and civil liberties at home, and relate these to broader ethical debates</w:t>
      </w:r>
    </w:p>
    <w:p w14:paraId="286A27EC" w14:textId="07843F04" w:rsidR="0049141E" w:rsidRDefault="00B41613" w:rsidP="00B41613">
      <w:pPr>
        <w:pStyle w:val="ListNumber2"/>
      </w:pPr>
      <w:r>
        <w:t>8.</w:t>
      </w:r>
      <w:r w:rsidR="0049141E">
        <w:t>3</w:t>
      </w:r>
      <w:r>
        <w:tab/>
      </w:r>
      <w:r w:rsidR="0049141E">
        <w:t>Develop an understanding of policies that liberal democratic states have enacted in the name of countering terrorism, and evaluate the impact that they have had on the populations of targeted states</w:t>
      </w:r>
    </w:p>
    <w:p w14:paraId="58DBF7FB" w14:textId="0F311341" w:rsidR="0049141E" w:rsidRPr="0049141E" w:rsidRDefault="00B41613" w:rsidP="00B41613">
      <w:pPr>
        <w:pStyle w:val="ListNumber2"/>
      </w:pPr>
      <w:r>
        <w:t>8.</w:t>
      </w:r>
      <w:r w:rsidR="0049141E">
        <w:t>4</w:t>
      </w:r>
      <w:r>
        <w:tab/>
      </w:r>
      <w:r w:rsidR="0049141E">
        <w:t>Evaluate critically the strengths and weaknesses of competing theoretical approaches, derived from International Relations and Security Studies, to questions of terrorism, counter-terrorism and state terrorism in light of the empirical cases studied</w:t>
      </w:r>
      <w: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F20098A" w14:textId="6441E827" w:rsidR="0049141E" w:rsidRPr="00B41613" w:rsidRDefault="00B41613" w:rsidP="00B41613">
      <w:pPr>
        <w:pStyle w:val="ListNumber2"/>
      </w:pPr>
      <w:r>
        <w:t>9.</w:t>
      </w:r>
      <w:r w:rsidR="0049141E">
        <w:t>1</w:t>
      </w:r>
      <w:r>
        <w:tab/>
        <w:t>W</w:t>
      </w:r>
      <w:r w:rsidR="0049141E" w:rsidRPr="00B41613">
        <w:t>ork with theoretical knowledge at the forefront of their discipline</w:t>
      </w:r>
    </w:p>
    <w:p w14:paraId="7B1AAD80" w14:textId="5CE5CFA0" w:rsidR="0049141E" w:rsidRPr="00B41613" w:rsidRDefault="00B41613" w:rsidP="00B41613">
      <w:pPr>
        <w:pStyle w:val="ListNumber2"/>
      </w:pPr>
      <w:r>
        <w:t>9.</w:t>
      </w:r>
      <w:r w:rsidR="0049141E" w:rsidRPr="00B41613">
        <w:t>2</w:t>
      </w:r>
      <w:r>
        <w:tab/>
        <w:t>H</w:t>
      </w:r>
      <w:r w:rsidR="0049141E" w:rsidRPr="00B41613">
        <w:t>ave a comprehensive understanding of methods and methodologies in their discipline</w:t>
      </w:r>
    </w:p>
    <w:p w14:paraId="497EF472" w14:textId="5BD72C89" w:rsidR="0049141E" w:rsidRPr="00B41613" w:rsidRDefault="00B41613" w:rsidP="00B41613">
      <w:pPr>
        <w:pStyle w:val="ListNumber2"/>
      </w:pPr>
      <w:r>
        <w:t>9.</w:t>
      </w:r>
      <w:r w:rsidR="0049141E" w:rsidRPr="00B41613">
        <w:t>3</w:t>
      </w:r>
      <w:r>
        <w:tab/>
        <w:t>U</w:t>
      </w:r>
      <w:r w:rsidR="0049141E" w:rsidRPr="00B41613">
        <w:t>ndertake analysis of complex, incomplete or contradictory areas of knowledge</w:t>
      </w:r>
    </w:p>
    <w:p w14:paraId="26749773" w14:textId="501416D9" w:rsidR="0049141E" w:rsidRPr="00B41613" w:rsidRDefault="00B41613" w:rsidP="00B41613">
      <w:pPr>
        <w:pStyle w:val="ListNumber2"/>
      </w:pPr>
      <w:r>
        <w:t>9.</w:t>
      </w:r>
      <w:r w:rsidR="0049141E" w:rsidRPr="00B41613">
        <w:t>4</w:t>
      </w:r>
      <w:r>
        <w:tab/>
        <w:t>H</w:t>
      </w:r>
      <w:r w:rsidR="0049141E" w:rsidRPr="00B41613">
        <w:t>ave a level of conceptual understanding that will allow them to critically evaluate research, advanced scholarship and methodologies and argue alternative approaches</w:t>
      </w:r>
    </w:p>
    <w:p w14:paraId="61E2EF0B" w14:textId="70AA87D2" w:rsidR="0049141E" w:rsidRPr="00B41613" w:rsidRDefault="00B41613" w:rsidP="00B41613">
      <w:pPr>
        <w:pStyle w:val="ListNumber2"/>
      </w:pPr>
      <w:r>
        <w:t>9.</w:t>
      </w:r>
      <w:r w:rsidR="0049141E" w:rsidRPr="00B41613">
        <w:t>5</w:t>
      </w:r>
      <w:r>
        <w:tab/>
        <w:t>B</w:t>
      </w:r>
      <w:r w:rsidR="0049141E" w:rsidRPr="00B41613">
        <w:t>e reflective and self-critical in their research work</w:t>
      </w:r>
    </w:p>
    <w:p w14:paraId="59F951C9" w14:textId="0E627BDC" w:rsidR="0049141E" w:rsidRPr="00B41613" w:rsidRDefault="00B41613" w:rsidP="00B41613">
      <w:pPr>
        <w:pStyle w:val="ListNumber2"/>
      </w:pPr>
      <w:r>
        <w:t>9.</w:t>
      </w:r>
      <w:r w:rsidR="0049141E" w:rsidRPr="00B41613">
        <w:t>6</w:t>
      </w:r>
      <w:r>
        <w:tab/>
        <w:t>E</w:t>
      </w:r>
      <w:r w:rsidR="0049141E" w:rsidRPr="00B41613">
        <w:t xml:space="preserve">ngage in academic and professional communication </w:t>
      </w:r>
      <w:r w:rsidR="00021817" w:rsidRPr="00B41613">
        <w:t>via a variety of methods</w:t>
      </w:r>
    </w:p>
    <w:p w14:paraId="31D8601B" w14:textId="5BDDE810" w:rsidR="00273CF0" w:rsidRPr="0049141E" w:rsidRDefault="00B41613" w:rsidP="00B41613">
      <w:pPr>
        <w:pStyle w:val="ListNumber2"/>
      </w:pPr>
      <w:r>
        <w:t>9.</w:t>
      </w:r>
      <w:r w:rsidR="0049141E" w:rsidRPr="00B41613">
        <w:t>7</w:t>
      </w:r>
      <w:r>
        <w:tab/>
        <w:t>H</w:t>
      </w:r>
      <w:r w:rsidR="0049141E" w:rsidRPr="00B41613">
        <w:t>ave independent</w:t>
      </w:r>
      <w:r w:rsidR="0049141E">
        <w:t xml:space="preserve"> learning ability required for continuing professional study</w:t>
      </w:r>
      <w:r>
        <w:t>.</w:t>
      </w:r>
    </w:p>
    <w:p w14:paraId="73386C6A" w14:textId="56366AB2" w:rsidR="009A2D37" w:rsidRDefault="009A2D37" w:rsidP="00072357">
      <w:pPr>
        <w:pStyle w:val="Heading2"/>
      </w:pPr>
      <w:r w:rsidRPr="009D52D0">
        <w:t>A synopsis of the curriculum</w:t>
      </w:r>
    </w:p>
    <w:p w14:paraId="00A8018A" w14:textId="2FCA8CEA" w:rsidR="003D2999" w:rsidRPr="003D2999" w:rsidRDefault="0049141E" w:rsidP="00021817">
      <w:pPr>
        <w:pStyle w:val="BodyText"/>
        <w:jc w:val="both"/>
      </w:pPr>
      <w:r w:rsidRPr="0049141E">
        <w:t>The purpose of the module is to develop an understanding of the complex relationships between terrorism, counter-terrorism efforts, and human rights, both at home and abroad. Central to the module is the role of the state in responding to terrorism, in attempting to prevent terrorism, and in itself using and sponsoring terrorism. In this regard students are encouraged to re-evaluate assumptions about the state and its place in domestic and international politics, focusing particularly on crimes by the state. Students will be introduced to competing approaches to the study of terrorism, many of which are grounded in wider theories and approaches common to International Relations and Security Studies. One of the challenges of the module is to think critically about the implications and consequences of those various approaches. The module will begin by looking at the various methodological, theoretical, and definitional challenges associated with the study of terrorism. Building on this grounding, students will then begin analysing terrorism, counter-terrorism and the role of the state through a number of case studies drawn from the 20th and early 21st Centuries. They will be encouraged to relate each of the case studies to the broader methodological and theoretical debates explored in the first few weeks of the module.</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70BD2BFC"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49141E">
        <w:t>178</w:t>
      </w:r>
    </w:p>
    <w:p w14:paraId="3BE5E6D9" w14:textId="43EB3C8B" w:rsidR="00636058" w:rsidRPr="00636058" w:rsidRDefault="00636058" w:rsidP="003D2999">
      <w:pPr>
        <w:pStyle w:val="BodyText"/>
      </w:pPr>
      <w:r w:rsidRPr="00636058">
        <w:t>Contact Hours</w:t>
      </w:r>
      <w:r w:rsidR="003D2999">
        <w:t>:</w:t>
      </w:r>
      <w:r w:rsidR="003D2999">
        <w:tab/>
      </w:r>
      <w:r w:rsidR="003D2999">
        <w:tab/>
      </w:r>
      <w:r w:rsidR="003D2999">
        <w:tab/>
      </w:r>
      <w:r w:rsidR="00B41613">
        <w:t xml:space="preserve">  </w:t>
      </w:r>
      <w:r w:rsidR="0049141E">
        <w:t>22</w:t>
      </w:r>
    </w:p>
    <w:p w14:paraId="260000FF" w14:textId="502F8E9A"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49141E">
        <w:t>200</w:t>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27B0E977" w14:textId="377799FC" w:rsidR="0049141E" w:rsidRDefault="0049141E" w:rsidP="00B41613">
      <w:pPr>
        <w:pStyle w:val="ListBullet"/>
      </w:pPr>
      <w:r>
        <w:t xml:space="preserve">Critical </w:t>
      </w:r>
      <w:r w:rsidR="00171A46">
        <w:t>R</w:t>
      </w:r>
      <w:r>
        <w:t>eview, 30%</w:t>
      </w:r>
    </w:p>
    <w:p w14:paraId="603BE617" w14:textId="516B10FE" w:rsidR="003F3578" w:rsidRDefault="0049141E" w:rsidP="00B41613">
      <w:pPr>
        <w:pStyle w:val="ListBullet"/>
      </w:pPr>
      <w:r>
        <w:t>Essay, 4000 words, 70%</w:t>
      </w:r>
    </w:p>
    <w:p w14:paraId="4C0DF2AD" w14:textId="77777777" w:rsidR="0049141E" w:rsidRPr="003D2999" w:rsidRDefault="0049141E" w:rsidP="0049141E">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69EFAB51" w:rsidR="00256400" w:rsidRPr="009D52D0" w:rsidRDefault="0049141E" w:rsidP="00256400">
      <w:pPr>
        <w:pStyle w:val="BodyText"/>
      </w:pPr>
      <w:r w:rsidRPr="006D5A29">
        <w:rPr>
          <w:rFonts w:cs="Arial"/>
          <w:iCs/>
        </w:rPr>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171A46">
      <w:pPr>
        <w:spacing w:before="480" w:after="360" w:line="240" w:lineRule="auto"/>
        <w:ind w:left="567" w:right="544"/>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9141E" w:rsidRPr="009D52D0" w14:paraId="5413EC92" w14:textId="21A7DFFF" w:rsidTr="00171A46">
        <w:trPr>
          <w:cantSplit/>
          <w:tblHeader/>
        </w:trPr>
        <w:tc>
          <w:tcPr>
            <w:tcW w:w="2439" w:type="dxa"/>
            <w:shd w:val="clear" w:color="auto" w:fill="D9D9D9" w:themeFill="background1" w:themeFillShade="D9"/>
          </w:tcPr>
          <w:p w14:paraId="140365DD" w14:textId="77777777" w:rsidR="0049141E" w:rsidRPr="009D52D0" w:rsidRDefault="0049141E" w:rsidP="00AD1300">
            <w:pPr>
              <w:pStyle w:val="Tableoutcomesideheadings"/>
            </w:pPr>
            <w:r w:rsidRPr="009D52D0">
              <w:t>Module learning outcome</w:t>
            </w:r>
          </w:p>
        </w:tc>
        <w:tc>
          <w:tcPr>
            <w:tcW w:w="567" w:type="dxa"/>
          </w:tcPr>
          <w:p w14:paraId="6167848F" w14:textId="77777777" w:rsidR="0049141E" w:rsidRPr="009D52D0" w:rsidRDefault="0049141E" w:rsidP="00171A46">
            <w:pPr>
              <w:pStyle w:val="Tableoutcomeshead"/>
              <w:jc w:val="center"/>
            </w:pPr>
            <w:r w:rsidRPr="009D52D0">
              <w:t>8.1</w:t>
            </w:r>
          </w:p>
        </w:tc>
        <w:tc>
          <w:tcPr>
            <w:tcW w:w="567" w:type="dxa"/>
          </w:tcPr>
          <w:p w14:paraId="5B554168" w14:textId="77777777" w:rsidR="0049141E" w:rsidRPr="009D52D0" w:rsidRDefault="0049141E" w:rsidP="00171A46">
            <w:pPr>
              <w:pStyle w:val="Tableoutcomeshead"/>
              <w:jc w:val="center"/>
            </w:pPr>
            <w:r w:rsidRPr="009D52D0">
              <w:t>8.2</w:t>
            </w:r>
          </w:p>
        </w:tc>
        <w:tc>
          <w:tcPr>
            <w:tcW w:w="567" w:type="dxa"/>
          </w:tcPr>
          <w:p w14:paraId="70BB1C5A" w14:textId="77777777" w:rsidR="0049141E" w:rsidRPr="009D52D0" w:rsidRDefault="0049141E" w:rsidP="00171A46">
            <w:pPr>
              <w:pStyle w:val="Tableoutcomeshead"/>
              <w:jc w:val="center"/>
            </w:pPr>
            <w:r w:rsidRPr="009D52D0">
              <w:t>8.3</w:t>
            </w:r>
          </w:p>
        </w:tc>
        <w:tc>
          <w:tcPr>
            <w:tcW w:w="567" w:type="dxa"/>
          </w:tcPr>
          <w:p w14:paraId="553BA646" w14:textId="77777777" w:rsidR="0049141E" w:rsidRPr="009D52D0" w:rsidRDefault="0049141E" w:rsidP="00171A46">
            <w:pPr>
              <w:pStyle w:val="Tableoutcomeshead"/>
              <w:jc w:val="center"/>
            </w:pPr>
            <w:r w:rsidRPr="009D52D0">
              <w:t>8.4</w:t>
            </w:r>
          </w:p>
        </w:tc>
        <w:tc>
          <w:tcPr>
            <w:tcW w:w="567" w:type="dxa"/>
          </w:tcPr>
          <w:p w14:paraId="3B577D4A" w14:textId="77777777" w:rsidR="0049141E" w:rsidRPr="009D52D0" w:rsidRDefault="0049141E" w:rsidP="00171A46">
            <w:pPr>
              <w:pStyle w:val="Tableoutcomeshead"/>
              <w:jc w:val="center"/>
            </w:pPr>
            <w:r w:rsidRPr="009D52D0">
              <w:t>9.1</w:t>
            </w:r>
          </w:p>
        </w:tc>
        <w:tc>
          <w:tcPr>
            <w:tcW w:w="567" w:type="dxa"/>
          </w:tcPr>
          <w:p w14:paraId="266E4126" w14:textId="77777777" w:rsidR="0049141E" w:rsidRPr="009D52D0" w:rsidRDefault="0049141E" w:rsidP="00171A46">
            <w:pPr>
              <w:pStyle w:val="Tableoutcomeshead"/>
              <w:jc w:val="center"/>
            </w:pPr>
            <w:r w:rsidRPr="009D52D0">
              <w:t>9.2</w:t>
            </w:r>
          </w:p>
        </w:tc>
        <w:tc>
          <w:tcPr>
            <w:tcW w:w="567" w:type="dxa"/>
          </w:tcPr>
          <w:p w14:paraId="6EC60A4C" w14:textId="77777777" w:rsidR="0049141E" w:rsidRPr="009D52D0" w:rsidRDefault="0049141E" w:rsidP="00171A46">
            <w:pPr>
              <w:pStyle w:val="Tableoutcomeshead"/>
              <w:jc w:val="center"/>
            </w:pPr>
            <w:r w:rsidRPr="009D52D0">
              <w:t>9.3</w:t>
            </w:r>
          </w:p>
        </w:tc>
        <w:tc>
          <w:tcPr>
            <w:tcW w:w="567" w:type="dxa"/>
          </w:tcPr>
          <w:p w14:paraId="3E85E7FE" w14:textId="77777777" w:rsidR="0049141E" w:rsidRPr="009D52D0" w:rsidRDefault="0049141E" w:rsidP="00171A46">
            <w:pPr>
              <w:pStyle w:val="Tableoutcomeshead"/>
              <w:jc w:val="center"/>
            </w:pPr>
            <w:r w:rsidRPr="009D52D0">
              <w:t>9.4</w:t>
            </w:r>
          </w:p>
        </w:tc>
        <w:tc>
          <w:tcPr>
            <w:tcW w:w="567" w:type="dxa"/>
          </w:tcPr>
          <w:p w14:paraId="3221C1C8" w14:textId="77777777" w:rsidR="0049141E" w:rsidRPr="009D52D0" w:rsidRDefault="0049141E" w:rsidP="00171A46">
            <w:pPr>
              <w:pStyle w:val="Tableoutcomeshead"/>
              <w:jc w:val="center"/>
            </w:pPr>
            <w:r w:rsidRPr="009D52D0">
              <w:t>9.5</w:t>
            </w:r>
          </w:p>
        </w:tc>
        <w:tc>
          <w:tcPr>
            <w:tcW w:w="567" w:type="dxa"/>
          </w:tcPr>
          <w:p w14:paraId="4DA6F862" w14:textId="2E8D9654" w:rsidR="0049141E" w:rsidRPr="009D52D0" w:rsidRDefault="0049141E" w:rsidP="00171A46">
            <w:pPr>
              <w:pStyle w:val="Tableoutcomeshead"/>
              <w:jc w:val="center"/>
            </w:pPr>
            <w:r>
              <w:t>9.6</w:t>
            </w:r>
          </w:p>
        </w:tc>
        <w:tc>
          <w:tcPr>
            <w:tcW w:w="567" w:type="dxa"/>
          </w:tcPr>
          <w:p w14:paraId="4048FE32" w14:textId="64DEA855" w:rsidR="0049141E" w:rsidRPr="009D52D0" w:rsidRDefault="0049141E" w:rsidP="00171A46">
            <w:pPr>
              <w:pStyle w:val="Tableoutcomeshead"/>
              <w:jc w:val="center"/>
            </w:pPr>
            <w:r>
              <w:t>9.7</w:t>
            </w:r>
          </w:p>
        </w:tc>
      </w:tr>
      <w:tr w:rsidR="0049141E" w:rsidRPr="009D52D0" w14:paraId="780DC4A5" w14:textId="4B4CA5B8" w:rsidTr="00171A46">
        <w:tc>
          <w:tcPr>
            <w:tcW w:w="2439" w:type="dxa"/>
          </w:tcPr>
          <w:p w14:paraId="16F79E00" w14:textId="77777777" w:rsidR="0049141E" w:rsidRPr="009D52D0" w:rsidRDefault="0049141E" w:rsidP="00AD1300">
            <w:pPr>
              <w:pStyle w:val="Tableoutcomesideheadings"/>
            </w:pPr>
            <w:r w:rsidRPr="009D52D0">
              <w:t>Private Study</w:t>
            </w:r>
          </w:p>
        </w:tc>
        <w:tc>
          <w:tcPr>
            <w:tcW w:w="567" w:type="dxa"/>
          </w:tcPr>
          <w:p w14:paraId="34752F0E" w14:textId="4CECB33F" w:rsidR="0049141E" w:rsidRPr="009D52D0" w:rsidRDefault="0049141E" w:rsidP="00171A46">
            <w:pPr>
              <w:pStyle w:val="Tableoutcomecrosses"/>
              <w:rPr>
                <w:b/>
              </w:rPr>
            </w:pPr>
            <w:r>
              <w:rPr>
                <w:b/>
              </w:rPr>
              <w:t>x</w:t>
            </w:r>
          </w:p>
        </w:tc>
        <w:tc>
          <w:tcPr>
            <w:tcW w:w="567" w:type="dxa"/>
          </w:tcPr>
          <w:p w14:paraId="0E9B09C0" w14:textId="2FA56715" w:rsidR="0049141E" w:rsidRPr="009D52D0" w:rsidRDefault="0049141E" w:rsidP="00171A46">
            <w:pPr>
              <w:pStyle w:val="Tableoutcomecrosses"/>
              <w:rPr>
                <w:b/>
              </w:rPr>
            </w:pPr>
            <w:r>
              <w:rPr>
                <w:b/>
              </w:rPr>
              <w:t>x</w:t>
            </w:r>
          </w:p>
        </w:tc>
        <w:tc>
          <w:tcPr>
            <w:tcW w:w="567" w:type="dxa"/>
          </w:tcPr>
          <w:p w14:paraId="6CD1C02C" w14:textId="77705962" w:rsidR="0049141E" w:rsidRPr="009D52D0" w:rsidRDefault="0049141E" w:rsidP="00171A46">
            <w:pPr>
              <w:pStyle w:val="Tableoutcomecrosses"/>
              <w:rPr>
                <w:b/>
              </w:rPr>
            </w:pPr>
            <w:r>
              <w:rPr>
                <w:b/>
              </w:rPr>
              <w:t>x</w:t>
            </w:r>
          </w:p>
        </w:tc>
        <w:tc>
          <w:tcPr>
            <w:tcW w:w="567" w:type="dxa"/>
          </w:tcPr>
          <w:p w14:paraId="45C64561" w14:textId="77777777" w:rsidR="0049141E" w:rsidRPr="009D52D0" w:rsidRDefault="0049141E" w:rsidP="00171A46">
            <w:pPr>
              <w:pStyle w:val="Tableoutcomecrosses"/>
              <w:rPr>
                <w:b/>
              </w:rPr>
            </w:pPr>
          </w:p>
        </w:tc>
        <w:tc>
          <w:tcPr>
            <w:tcW w:w="567" w:type="dxa"/>
          </w:tcPr>
          <w:p w14:paraId="2A716802" w14:textId="77777777" w:rsidR="0049141E" w:rsidRPr="009D52D0" w:rsidRDefault="0049141E" w:rsidP="00171A46">
            <w:pPr>
              <w:pStyle w:val="Tableoutcomecrosses"/>
              <w:rPr>
                <w:b/>
              </w:rPr>
            </w:pPr>
          </w:p>
        </w:tc>
        <w:tc>
          <w:tcPr>
            <w:tcW w:w="567" w:type="dxa"/>
          </w:tcPr>
          <w:p w14:paraId="5BAFD1A4" w14:textId="2C21ECC1" w:rsidR="0049141E" w:rsidRPr="009D52D0" w:rsidRDefault="0049141E" w:rsidP="00171A46">
            <w:pPr>
              <w:pStyle w:val="Tableoutcomecrosses"/>
              <w:rPr>
                <w:b/>
              </w:rPr>
            </w:pPr>
            <w:r>
              <w:rPr>
                <w:b/>
              </w:rPr>
              <w:t>x</w:t>
            </w:r>
          </w:p>
        </w:tc>
        <w:tc>
          <w:tcPr>
            <w:tcW w:w="567" w:type="dxa"/>
          </w:tcPr>
          <w:p w14:paraId="030A7445" w14:textId="2C846E2C" w:rsidR="0049141E" w:rsidRPr="009D52D0" w:rsidRDefault="0049141E" w:rsidP="00171A46">
            <w:pPr>
              <w:pStyle w:val="Tableoutcomecrosses"/>
              <w:rPr>
                <w:b/>
              </w:rPr>
            </w:pPr>
            <w:r>
              <w:rPr>
                <w:b/>
              </w:rPr>
              <w:t>x</w:t>
            </w:r>
          </w:p>
        </w:tc>
        <w:tc>
          <w:tcPr>
            <w:tcW w:w="567" w:type="dxa"/>
          </w:tcPr>
          <w:p w14:paraId="431B3FED" w14:textId="6F836174" w:rsidR="0049141E" w:rsidRPr="009D52D0" w:rsidRDefault="0049141E" w:rsidP="00171A46">
            <w:pPr>
              <w:pStyle w:val="Tableoutcomecrosses"/>
              <w:rPr>
                <w:b/>
              </w:rPr>
            </w:pPr>
            <w:r>
              <w:rPr>
                <w:b/>
              </w:rPr>
              <w:t>x</w:t>
            </w:r>
          </w:p>
        </w:tc>
        <w:tc>
          <w:tcPr>
            <w:tcW w:w="567" w:type="dxa"/>
          </w:tcPr>
          <w:p w14:paraId="07703E2C" w14:textId="1E3E8652" w:rsidR="0049141E" w:rsidRPr="009D52D0" w:rsidRDefault="0049141E" w:rsidP="00171A46">
            <w:pPr>
              <w:pStyle w:val="Tableoutcomecrosses"/>
              <w:rPr>
                <w:b/>
              </w:rPr>
            </w:pPr>
            <w:r>
              <w:rPr>
                <w:b/>
              </w:rPr>
              <w:t>x</w:t>
            </w:r>
          </w:p>
        </w:tc>
        <w:tc>
          <w:tcPr>
            <w:tcW w:w="567" w:type="dxa"/>
          </w:tcPr>
          <w:p w14:paraId="4F23E38B" w14:textId="5FB3AFE9" w:rsidR="0049141E" w:rsidRPr="009D52D0" w:rsidRDefault="0049141E" w:rsidP="00171A46">
            <w:pPr>
              <w:pStyle w:val="Tableoutcomecrosses"/>
              <w:rPr>
                <w:b/>
              </w:rPr>
            </w:pPr>
            <w:r>
              <w:rPr>
                <w:b/>
              </w:rPr>
              <w:t>x</w:t>
            </w:r>
          </w:p>
        </w:tc>
        <w:tc>
          <w:tcPr>
            <w:tcW w:w="567" w:type="dxa"/>
          </w:tcPr>
          <w:p w14:paraId="567E70B7" w14:textId="0B70595C" w:rsidR="0049141E" w:rsidRPr="009D52D0" w:rsidRDefault="0049141E" w:rsidP="00171A46">
            <w:pPr>
              <w:pStyle w:val="Tableoutcomecrosses"/>
              <w:rPr>
                <w:b/>
              </w:rPr>
            </w:pPr>
            <w:r>
              <w:rPr>
                <w:b/>
              </w:rPr>
              <w:t>x</w:t>
            </w:r>
          </w:p>
        </w:tc>
      </w:tr>
      <w:tr w:rsidR="0049141E" w:rsidRPr="009D52D0" w14:paraId="5C50A519" w14:textId="4BB6F366" w:rsidTr="00171A46">
        <w:tc>
          <w:tcPr>
            <w:tcW w:w="2439" w:type="dxa"/>
          </w:tcPr>
          <w:p w14:paraId="433DE3A7" w14:textId="21FAC4D0" w:rsidR="0049141E" w:rsidRPr="00AD1300" w:rsidRDefault="0049141E" w:rsidP="00AD1300">
            <w:pPr>
              <w:pStyle w:val="Tableoutcomesideheadings"/>
              <w:rPr>
                <w:iCs/>
              </w:rPr>
            </w:pPr>
            <w:r>
              <w:rPr>
                <w:iCs/>
              </w:rPr>
              <w:t>2 hour Lecture-Seminar</w:t>
            </w:r>
          </w:p>
        </w:tc>
        <w:tc>
          <w:tcPr>
            <w:tcW w:w="567" w:type="dxa"/>
          </w:tcPr>
          <w:p w14:paraId="3853654B" w14:textId="7020DE7C" w:rsidR="0049141E" w:rsidRPr="009D52D0" w:rsidRDefault="0049141E" w:rsidP="00171A46">
            <w:pPr>
              <w:pStyle w:val="Tableoutcomecrosses"/>
              <w:rPr>
                <w:b/>
              </w:rPr>
            </w:pPr>
            <w:r>
              <w:rPr>
                <w:b/>
              </w:rPr>
              <w:t>x</w:t>
            </w:r>
          </w:p>
        </w:tc>
        <w:tc>
          <w:tcPr>
            <w:tcW w:w="567" w:type="dxa"/>
          </w:tcPr>
          <w:p w14:paraId="7261D01A" w14:textId="38042080" w:rsidR="0049141E" w:rsidRPr="009D52D0" w:rsidRDefault="0049141E" w:rsidP="00171A46">
            <w:pPr>
              <w:pStyle w:val="Tableoutcomecrosses"/>
              <w:rPr>
                <w:b/>
              </w:rPr>
            </w:pPr>
            <w:r>
              <w:rPr>
                <w:b/>
              </w:rPr>
              <w:t>x</w:t>
            </w:r>
          </w:p>
        </w:tc>
        <w:tc>
          <w:tcPr>
            <w:tcW w:w="567" w:type="dxa"/>
          </w:tcPr>
          <w:p w14:paraId="2D7957D4" w14:textId="115FA63F" w:rsidR="0049141E" w:rsidRPr="009D52D0" w:rsidRDefault="0049141E" w:rsidP="00171A46">
            <w:pPr>
              <w:pStyle w:val="Tableoutcomecrosses"/>
              <w:rPr>
                <w:b/>
              </w:rPr>
            </w:pPr>
            <w:r>
              <w:rPr>
                <w:b/>
              </w:rPr>
              <w:t>x</w:t>
            </w:r>
          </w:p>
        </w:tc>
        <w:tc>
          <w:tcPr>
            <w:tcW w:w="567" w:type="dxa"/>
          </w:tcPr>
          <w:p w14:paraId="232B2686" w14:textId="1D7966E7" w:rsidR="0049141E" w:rsidRPr="009D52D0" w:rsidRDefault="0049141E" w:rsidP="00171A46">
            <w:pPr>
              <w:pStyle w:val="Tableoutcomecrosses"/>
              <w:rPr>
                <w:b/>
              </w:rPr>
            </w:pPr>
            <w:r>
              <w:rPr>
                <w:b/>
              </w:rPr>
              <w:t>x</w:t>
            </w:r>
          </w:p>
        </w:tc>
        <w:tc>
          <w:tcPr>
            <w:tcW w:w="567" w:type="dxa"/>
          </w:tcPr>
          <w:p w14:paraId="2AE9F109" w14:textId="556D5F3E" w:rsidR="0049141E" w:rsidRPr="009D52D0" w:rsidRDefault="0049141E" w:rsidP="00171A46">
            <w:pPr>
              <w:pStyle w:val="Tableoutcomecrosses"/>
              <w:rPr>
                <w:b/>
              </w:rPr>
            </w:pPr>
            <w:r>
              <w:rPr>
                <w:b/>
              </w:rPr>
              <w:t>x</w:t>
            </w:r>
          </w:p>
        </w:tc>
        <w:tc>
          <w:tcPr>
            <w:tcW w:w="567" w:type="dxa"/>
          </w:tcPr>
          <w:p w14:paraId="6BD0A090" w14:textId="5FEBB79F" w:rsidR="0049141E" w:rsidRPr="009D52D0" w:rsidRDefault="0049141E" w:rsidP="00171A46">
            <w:pPr>
              <w:pStyle w:val="Tableoutcomecrosses"/>
              <w:rPr>
                <w:b/>
              </w:rPr>
            </w:pPr>
            <w:r>
              <w:rPr>
                <w:b/>
              </w:rPr>
              <w:t>x</w:t>
            </w:r>
          </w:p>
        </w:tc>
        <w:tc>
          <w:tcPr>
            <w:tcW w:w="567" w:type="dxa"/>
          </w:tcPr>
          <w:p w14:paraId="3DAC9A4A" w14:textId="70F03064" w:rsidR="0049141E" w:rsidRPr="009D52D0" w:rsidRDefault="0049141E" w:rsidP="00171A46">
            <w:pPr>
              <w:pStyle w:val="Tableoutcomecrosses"/>
              <w:rPr>
                <w:b/>
              </w:rPr>
            </w:pPr>
            <w:r>
              <w:rPr>
                <w:b/>
              </w:rPr>
              <w:t>x</w:t>
            </w:r>
          </w:p>
        </w:tc>
        <w:tc>
          <w:tcPr>
            <w:tcW w:w="567" w:type="dxa"/>
          </w:tcPr>
          <w:p w14:paraId="21A7EAF7" w14:textId="497D602B" w:rsidR="0049141E" w:rsidRPr="009D52D0" w:rsidRDefault="0049141E" w:rsidP="00171A46">
            <w:pPr>
              <w:pStyle w:val="Tableoutcomecrosses"/>
              <w:rPr>
                <w:b/>
              </w:rPr>
            </w:pPr>
            <w:r>
              <w:rPr>
                <w:b/>
              </w:rPr>
              <w:t>x</w:t>
            </w:r>
          </w:p>
        </w:tc>
        <w:tc>
          <w:tcPr>
            <w:tcW w:w="567" w:type="dxa"/>
          </w:tcPr>
          <w:p w14:paraId="41EDD6A7" w14:textId="69DF2491" w:rsidR="0049141E" w:rsidRPr="009D52D0" w:rsidRDefault="0049141E" w:rsidP="00171A46">
            <w:pPr>
              <w:pStyle w:val="Tableoutcomecrosses"/>
              <w:rPr>
                <w:b/>
              </w:rPr>
            </w:pPr>
            <w:r>
              <w:rPr>
                <w:b/>
              </w:rPr>
              <w:t>x</w:t>
            </w:r>
          </w:p>
        </w:tc>
        <w:tc>
          <w:tcPr>
            <w:tcW w:w="567" w:type="dxa"/>
          </w:tcPr>
          <w:p w14:paraId="73E891AE" w14:textId="308AAB70" w:rsidR="0049141E" w:rsidRPr="009D52D0" w:rsidRDefault="0049141E" w:rsidP="00171A46">
            <w:pPr>
              <w:pStyle w:val="Tableoutcomecrosses"/>
              <w:rPr>
                <w:b/>
              </w:rPr>
            </w:pPr>
            <w:r>
              <w:rPr>
                <w:b/>
              </w:rPr>
              <w:t>x</w:t>
            </w:r>
          </w:p>
        </w:tc>
        <w:tc>
          <w:tcPr>
            <w:tcW w:w="567" w:type="dxa"/>
          </w:tcPr>
          <w:p w14:paraId="44A45E81" w14:textId="52DFBC95" w:rsidR="0049141E" w:rsidRPr="009D52D0" w:rsidRDefault="0049141E" w:rsidP="00171A46">
            <w:pPr>
              <w:pStyle w:val="Tableoutcomecrosses"/>
              <w:rPr>
                <w:b/>
              </w:rPr>
            </w:pPr>
            <w:r>
              <w:rPr>
                <w:b/>
              </w:rPr>
              <w:t>x</w:t>
            </w:r>
          </w:p>
        </w:tc>
      </w:tr>
    </w:tbl>
    <w:p w14:paraId="1DF2B576" w14:textId="6861D79A" w:rsidR="007A6245" w:rsidRDefault="00636058" w:rsidP="00171A46">
      <w:pPr>
        <w:spacing w:before="480" w:after="360" w:line="240" w:lineRule="auto"/>
        <w:ind w:left="567"/>
        <w:rPr>
          <w:rFonts w:ascii="Arial" w:hAnsi="Arial" w:cs="Arial"/>
          <w:b/>
          <w:iCs/>
          <w:sz w:val="24"/>
          <w:szCs w:val="24"/>
        </w:rPr>
      </w:pPr>
      <w:bookmarkStart w:id="12" w:name="_Hlk94692647"/>
      <w:bookmarkEnd w:id="9"/>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79"/>
        <w:gridCol w:w="580"/>
        <w:gridCol w:w="580"/>
        <w:gridCol w:w="580"/>
        <w:gridCol w:w="580"/>
        <w:gridCol w:w="580"/>
        <w:gridCol w:w="580"/>
        <w:gridCol w:w="580"/>
        <w:gridCol w:w="580"/>
        <w:gridCol w:w="580"/>
        <w:gridCol w:w="580"/>
      </w:tblGrid>
      <w:tr w:rsidR="0049141E" w:rsidRPr="009D52D0" w14:paraId="7367825C" w14:textId="2658679C" w:rsidTr="00171A46">
        <w:trPr>
          <w:tblHeader/>
        </w:trPr>
        <w:tc>
          <w:tcPr>
            <w:tcW w:w="2405" w:type="dxa"/>
            <w:shd w:val="clear" w:color="auto" w:fill="D9D9D9" w:themeFill="background1" w:themeFillShade="D9"/>
          </w:tcPr>
          <w:bookmarkEnd w:id="12"/>
          <w:p w14:paraId="4E99BFB5" w14:textId="77777777" w:rsidR="0049141E" w:rsidRPr="009D52D0" w:rsidRDefault="0049141E" w:rsidP="00AD1300">
            <w:pPr>
              <w:pStyle w:val="Tableoutcomesideheadings"/>
            </w:pPr>
            <w:r w:rsidRPr="009D52D0">
              <w:lastRenderedPageBreak/>
              <w:t>Module learning outcome</w:t>
            </w:r>
          </w:p>
        </w:tc>
        <w:tc>
          <w:tcPr>
            <w:tcW w:w="579" w:type="dxa"/>
          </w:tcPr>
          <w:p w14:paraId="7B5C6163" w14:textId="77777777" w:rsidR="0049141E" w:rsidRPr="009D52D0" w:rsidRDefault="0049141E" w:rsidP="00171A46">
            <w:pPr>
              <w:pStyle w:val="Tableoutcomeshead"/>
              <w:jc w:val="center"/>
            </w:pPr>
            <w:r w:rsidRPr="009D52D0">
              <w:t>8.1</w:t>
            </w:r>
          </w:p>
        </w:tc>
        <w:tc>
          <w:tcPr>
            <w:tcW w:w="580" w:type="dxa"/>
          </w:tcPr>
          <w:p w14:paraId="2210FC9E" w14:textId="77777777" w:rsidR="0049141E" w:rsidRPr="009D52D0" w:rsidRDefault="0049141E" w:rsidP="00171A46">
            <w:pPr>
              <w:pStyle w:val="Tableoutcomeshead"/>
              <w:jc w:val="center"/>
            </w:pPr>
            <w:r w:rsidRPr="009D52D0">
              <w:t>8.2</w:t>
            </w:r>
          </w:p>
        </w:tc>
        <w:tc>
          <w:tcPr>
            <w:tcW w:w="580" w:type="dxa"/>
          </w:tcPr>
          <w:p w14:paraId="00B7F160" w14:textId="77777777" w:rsidR="0049141E" w:rsidRPr="009D52D0" w:rsidRDefault="0049141E" w:rsidP="00171A46">
            <w:pPr>
              <w:pStyle w:val="Tableoutcomeshead"/>
              <w:jc w:val="center"/>
            </w:pPr>
            <w:r w:rsidRPr="009D52D0">
              <w:t>8.3</w:t>
            </w:r>
          </w:p>
        </w:tc>
        <w:tc>
          <w:tcPr>
            <w:tcW w:w="580" w:type="dxa"/>
          </w:tcPr>
          <w:p w14:paraId="2BB3974A" w14:textId="77777777" w:rsidR="0049141E" w:rsidRPr="009D52D0" w:rsidRDefault="0049141E" w:rsidP="00171A46">
            <w:pPr>
              <w:pStyle w:val="Tableoutcomeshead"/>
              <w:jc w:val="center"/>
            </w:pPr>
            <w:r w:rsidRPr="009D52D0">
              <w:t>8.4</w:t>
            </w:r>
          </w:p>
        </w:tc>
        <w:tc>
          <w:tcPr>
            <w:tcW w:w="580" w:type="dxa"/>
          </w:tcPr>
          <w:p w14:paraId="0D56B3A5" w14:textId="77777777" w:rsidR="0049141E" w:rsidRPr="009D52D0" w:rsidRDefault="0049141E" w:rsidP="00171A46">
            <w:pPr>
              <w:pStyle w:val="Tableoutcomeshead"/>
              <w:jc w:val="center"/>
            </w:pPr>
            <w:r w:rsidRPr="009D52D0">
              <w:t>9.1</w:t>
            </w:r>
          </w:p>
        </w:tc>
        <w:tc>
          <w:tcPr>
            <w:tcW w:w="580" w:type="dxa"/>
          </w:tcPr>
          <w:p w14:paraId="523687DC" w14:textId="77777777" w:rsidR="0049141E" w:rsidRPr="009D52D0" w:rsidRDefault="0049141E" w:rsidP="00171A46">
            <w:pPr>
              <w:pStyle w:val="Tableoutcomeshead"/>
              <w:jc w:val="center"/>
            </w:pPr>
            <w:r w:rsidRPr="009D52D0">
              <w:t>9.2</w:t>
            </w:r>
          </w:p>
        </w:tc>
        <w:tc>
          <w:tcPr>
            <w:tcW w:w="580" w:type="dxa"/>
          </w:tcPr>
          <w:p w14:paraId="1106ECFC" w14:textId="77777777" w:rsidR="0049141E" w:rsidRPr="009D52D0" w:rsidRDefault="0049141E" w:rsidP="00171A46">
            <w:pPr>
              <w:pStyle w:val="Tableoutcomeshead"/>
              <w:jc w:val="center"/>
            </w:pPr>
            <w:r w:rsidRPr="009D52D0">
              <w:t>9.3</w:t>
            </w:r>
          </w:p>
        </w:tc>
        <w:tc>
          <w:tcPr>
            <w:tcW w:w="580" w:type="dxa"/>
          </w:tcPr>
          <w:p w14:paraId="51BE4A79" w14:textId="77777777" w:rsidR="0049141E" w:rsidRPr="009D52D0" w:rsidRDefault="0049141E" w:rsidP="00171A46">
            <w:pPr>
              <w:pStyle w:val="Tableoutcomeshead"/>
              <w:jc w:val="center"/>
            </w:pPr>
            <w:r w:rsidRPr="009D52D0">
              <w:t>9.4</w:t>
            </w:r>
          </w:p>
        </w:tc>
        <w:tc>
          <w:tcPr>
            <w:tcW w:w="580" w:type="dxa"/>
          </w:tcPr>
          <w:p w14:paraId="0C3BF660" w14:textId="77777777" w:rsidR="0049141E" w:rsidRPr="009D52D0" w:rsidRDefault="0049141E" w:rsidP="00171A46">
            <w:pPr>
              <w:pStyle w:val="Tableoutcomeshead"/>
              <w:jc w:val="center"/>
            </w:pPr>
            <w:r w:rsidRPr="009D52D0">
              <w:t>9.5</w:t>
            </w:r>
          </w:p>
        </w:tc>
        <w:tc>
          <w:tcPr>
            <w:tcW w:w="580" w:type="dxa"/>
          </w:tcPr>
          <w:p w14:paraId="7AF33988" w14:textId="1753D11A" w:rsidR="0049141E" w:rsidRPr="009D52D0" w:rsidRDefault="0049141E" w:rsidP="00171A46">
            <w:pPr>
              <w:pStyle w:val="Tableoutcomeshead"/>
              <w:jc w:val="center"/>
            </w:pPr>
            <w:r>
              <w:t>9.6</w:t>
            </w:r>
          </w:p>
        </w:tc>
        <w:tc>
          <w:tcPr>
            <w:tcW w:w="580" w:type="dxa"/>
          </w:tcPr>
          <w:p w14:paraId="288BA37D" w14:textId="3790CE8D" w:rsidR="0049141E" w:rsidRPr="009D52D0" w:rsidRDefault="0049141E" w:rsidP="00171A46">
            <w:pPr>
              <w:pStyle w:val="Tableoutcomeshead"/>
              <w:jc w:val="center"/>
            </w:pPr>
            <w:r>
              <w:t>9.7</w:t>
            </w:r>
          </w:p>
        </w:tc>
      </w:tr>
      <w:tr w:rsidR="0049141E" w:rsidRPr="009D52D0" w14:paraId="6D8FD37D" w14:textId="100BC7C2" w:rsidTr="00171A46">
        <w:trPr>
          <w:tblHeader/>
        </w:trPr>
        <w:tc>
          <w:tcPr>
            <w:tcW w:w="2405" w:type="dxa"/>
          </w:tcPr>
          <w:p w14:paraId="6500FA2E" w14:textId="5405173A" w:rsidR="0049141E" w:rsidRPr="00AD1300" w:rsidRDefault="0049141E" w:rsidP="00AD1300">
            <w:pPr>
              <w:pStyle w:val="Tableoutcomesideheadings"/>
              <w:rPr>
                <w:iCs/>
              </w:rPr>
            </w:pPr>
            <w:r>
              <w:rPr>
                <w:iCs/>
              </w:rPr>
              <w:t xml:space="preserve">Critical Review </w:t>
            </w:r>
          </w:p>
        </w:tc>
        <w:tc>
          <w:tcPr>
            <w:tcW w:w="579" w:type="dxa"/>
          </w:tcPr>
          <w:p w14:paraId="718AB32A" w14:textId="113D2234" w:rsidR="0049141E" w:rsidRPr="009D52D0" w:rsidRDefault="00171A46" w:rsidP="00171A46">
            <w:pPr>
              <w:pStyle w:val="Tableoutcomecrosses"/>
              <w:rPr>
                <w:b/>
              </w:rPr>
            </w:pPr>
            <w:r>
              <w:rPr>
                <w:b/>
              </w:rPr>
              <w:t>x</w:t>
            </w:r>
          </w:p>
        </w:tc>
        <w:tc>
          <w:tcPr>
            <w:tcW w:w="580" w:type="dxa"/>
          </w:tcPr>
          <w:p w14:paraId="71084725" w14:textId="205FF4D6" w:rsidR="0049141E" w:rsidRPr="009D52D0" w:rsidRDefault="0049141E" w:rsidP="00171A46">
            <w:pPr>
              <w:pStyle w:val="Tableoutcomecrosses"/>
              <w:rPr>
                <w:b/>
              </w:rPr>
            </w:pPr>
            <w:r>
              <w:rPr>
                <w:b/>
              </w:rPr>
              <w:t>x</w:t>
            </w:r>
          </w:p>
        </w:tc>
        <w:tc>
          <w:tcPr>
            <w:tcW w:w="580" w:type="dxa"/>
          </w:tcPr>
          <w:p w14:paraId="659E3E11" w14:textId="6785C55B" w:rsidR="0049141E" w:rsidRPr="009D52D0" w:rsidRDefault="0016224F" w:rsidP="00171A46">
            <w:pPr>
              <w:pStyle w:val="Tableoutcomecrosses"/>
              <w:rPr>
                <w:b/>
              </w:rPr>
            </w:pPr>
            <w:r>
              <w:rPr>
                <w:b/>
              </w:rPr>
              <w:t>x</w:t>
            </w:r>
          </w:p>
        </w:tc>
        <w:tc>
          <w:tcPr>
            <w:tcW w:w="580" w:type="dxa"/>
          </w:tcPr>
          <w:p w14:paraId="02BFF41C" w14:textId="1C40676C" w:rsidR="0049141E" w:rsidRPr="009D52D0" w:rsidRDefault="0049141E" w:rsidP="00171A46">
            <w:pPr>
              <w:pStyle w:val="Tableoutcomecrosses"/>
              <w:rPr>
                <w:b/>
              </w:rPr>
            </w:pPr>
            <w:r>
              <w:rPr>
                <w:b/>
              </w:rPr>
              <w:t>x</w:t>
            </w:r>
          </w:p>
        </w:tc>
        <w:tc>
          <w:tcPr>
            <w:tcW w:w="580" w:type="dxa"/>
          </w:tcPr>
          <w:p w14:paraId="60747C35" w14:textId="4950D808" w:rsidR="0049141E" w:rsidRPr="009D52D0" w:rsidRDefault="0049141E" w:rsidP="00171A46">
            <w:pPr>
              <w:pStyle w:val="Tableoutcomecrosses"/>
              <w:rPr>
                <w:b/>
              </w:rPr>
            </w:pPr>
            <w:r>
              <w:rPr>
                <w:b/>
              </w:rPr>
              <w:t>x</w:t>
            </w:r>
          </w:p>
        </w:tc>
        <w:tc>
          <w:tcPr>
            <w:tcW w:w="580" w:type="dxa"/>
          </w:tcPr>
          <w:p w14:paraId="6FCDE494" w14:textId="3D7C7875" w:rsidR="0049141E" w:rsidRPr="009D52D0" w:rsidRDefault="0049141E" w:rsidP="00171A46">
            <w:pPr>
              <w:pStyle w:val="Tableoutcomecrosses"/>
              <w:rPr>
                <w:b/>
              </w:rPr>
            </w:pPr>
            <w:r>
              <w:rPr>
                <w:b/>
              </w:rPr>
              <w:t>x</w:t>
            </w:r>
          </w:p>
        </w:tc>
        <w:tc>
          <w:tcPr>
            <w:tcW w:w="580" w:type="dxa"/>
          </w:tcPr>
          <w:p w14:paraId="48C6EE1D" w14:textId="6B25FA44" w:rsidR="0049141E" w:rsidRPr="009D52D0" w:rsidRDefault="0049141E" w:rsidP="00171A46">
            <w:pPr>
              <w:pStyle w:val="Tableoutcomecrosses"/>
              <w:rPr>
                <w:b/>
              </w:rPr>
            </w:pPr>
            <w:r>
              <w:rPr>
                <w:b/>
              </w:rPr>
              <w:t>x</w:t>
            </w:r>
          </w:p>
        </w:tc>
        <w:tc>
          <w:tcPr>
            <w:tcW w:w="580" w:type="dxa"/>
          </w:tcPr>
          <w:p w14:paraId="12A99B31" w14:textId="2AFEF3C6" w:rsidR="0049141E" w:rsidRPr="009D52D0" w:rsidRDefault="0049141E" w:rsidP="00171A46">
            <w:pPr>
              <w:pStyle w:val="Tableoutcomecrosses"/>
              <w:rPr>
                <w:b/>
              </w:rPr>
            </w:pPr>
            <w:r>
              <w:rPr>
                <w:b/>
              </w:rPr>
              <w:t>x</w:t>
            </w:r>
          </w:p>
        </w:tc>
        <w:tc>
          <w:tcPr>
            <w:tcW w:w="580" w:type="dxa"/>
          </w:tcPr>
          <w:p w14:paraId="0FB35350" w14:textId="11DAAA28" w:rsidR="0049141E" w:rsidRPr="009D52D0" w:rsidRDefault="0049141E" w:rsidP="00171A46">
            <w:pPr>
              <w:pStyle w:val="Tableoutcomecrosses"/>
              <w:rPr>
                <w:b/>
              </w:rPr>
            </w:pPr>
            <w:r>
              <w:rPr>
                <w:b/>
              </w:rPr>
              <w:t>x</w:t>
            </w:r>
          </w:p>
        </w:tc>
        <w:tc>
          <w:tcPr>
            <w:tcW w:w="580" w:type="dxa"/>
          </w:tcPr>
          <w:p w14:paraId="0A63FFAF" w14:textId="0CBE6EFE" w:rsidR="0049141E" w:rsidRPr="009D52D0" w:rsidRDefault="0049141E" w:rsidP="00171A46">
            <w:pPr>
              <w:pStyle w:val="Tableoutcomecrosses"/>
              <w:rPr>
                <w:b/>
              </w:rPr>
            </w:pPr>
            <w:r>
              <w:rPr>
                <w:b/>
              </w:rPr>
              <w:t>x</w:t>
            </w:r>
          </w:p>
        </w:tc>
        <w:tc>
          <w:tcPr>
            <w:tcW w:w="580" w:type="dxa"/>
          </w:tcPr>
          <w:p w14:paraId="2EFB0CAF" w14:textId="00B4AB11" w:rsidR="0049141E" w:rsidRPr="009D52D0" w:rsidRDefault="0049141E" w:rsidP="00171A46">
            <w:pPr>
              <w:pStyle w:val="Tableoutcomecrosses"/>
              <w:rPr>
                <w:b/>
              </w:rPr>
            </w:pPr>
            <w:r>
              <w:rPr>
                <w:b/>
              </w:rPr>
              <w:t>x</w:t>
            </w:r>
          </w:p>
        </w:tc>
      </w:tr>
      <w:tr w:rsidR="0049141E" w:rsidRPr="009D52D0" w14:paraId="33EAAC8E" w14:textId="702259AE" w:rsidTr="00171A46">
        <w:trPr>
          <w:tblHeader/>
        </w:trPr>
        <w:tc>
          <w:tcPr>
            <w:tcW w:w="2405" w:type="dxa"/>
          </w:tcPr>
          <w:p w14:paraId="41B161CA" w14:textId="2429D4D8" w:rsidR="0049141E" w:rsidRPr="00AD1300" w:rsidRDefault="0049141E" w:rsidP="00AD1300">
            <w:pPr>
              <w:pStyle w:val="Tableoutcomesideheadings"/>
              <w:rPr>
                <w:iCs/>
              </w:rPr>
            </w:pPr>
            <w:r>
              <w:rPr>
                <w:iCs/>
              </w:rPr>
              <w:t>Essay</w:t>
            </w:r>
          </w:p>
        </w:tc>
        <w:tc>
          <w:tcPr>
            <w:tcW w:w="579" w:type="dxa"/>
          </w:tcPr>
          <w:p w14:paraId="4D015421" w14:textId="08963A94" w:rsidR="0049141E" w:rsidRPr="009D52D0" w:rsidRDefault="00171A46" w:rsidP="00171A46">
            <w:pPr>
              <w:pStyle w:val="Tableoutcomecrosses"/>
              <w:rPr>
                <w:b/>
              </w:rPr>
            </w:pPr>
            <w:r>
              <w:rPr>
                <w:b/>
              </w:rPr>
              <w:t>x</w:t>
            </w:r>
          </w:p>
        </w:tc>
        <w:tc>
          <w:tcPr>
            <w:tcW w:w="580" w:type="dxa"/>
          </w:tcPr>
          <w:p w14:paraId="47055659" w14:textId="3934120E" w:rsidR="0049141E" w:rsidRPr="009D52D0" w:rsidRDefault="0049141E" w:rsidP="00171A46">
            <w:pPr>
              <w:pStyle w:val="Tableoutcomecrosses"/>
              <w:rPr>
                <w:b/>
              </w:rPr>
            </w:pPr>
            <w:r>
              <w:rPr>
                <w:b/>
              </w:rPr>
              <w:t>x</w:t>
            </w:r>
          </w:p>
        </w:tc>
        <w:tc>
          <w:tcPr>
            <w:tcW w:w="580" w:type="dxa"/>
          </w:tcPr>
          <w:p w14:paraId="32CE5E70" w14:textId="1DA5801D" w:rsidR="0049141E" w:rsidRPr="009D52D0" w:rsidRDefault="0049141E" w:rsidP="00171A46">
            <w:pPr>
              <w:pStyle w:val="Tableoutcomecrosses"/>
              <w:rPr>
                <w:b/>
              </w:rPr>
            </w:pPr>
            <w:r>
              <w:rPr>
                <w:b/>
              </w:rPr>
              <w:t>x</w:t>
            </w:r>
          </w:p>
        </w:tc>
        <w:tc>
          <w:tcPr>
            <w:tcW w:w="580" w:type="dxa"/>
          </w:tcPr>
          <w:p w14:paraId="3209BAD1" w14:textId="71308C3C" w:rsidR="0049141E" w:rsidRPr="009D52D0" w:rsidRDefault="0049141E" w:rsidP="00171A46">
            <w:pPr>
              <w:pStyle w:val="Tableoutcomecrosses"/>
              <w:rPr>
                <w:b/>
              </w:rPr>
            </w:pPr>
            <w:r>
              <w:rPr>
                <w:b/>
              </w:rPr>
              <w:t>x</w:t>
            </w:r>
          </w:p>
        </w:tc>
        <w:tc>
          <w:tcPr>
            <w:tcW w:w="580" w:type="dxa"/>
          </w:tcPr>
          <w:p w14:paraId="43F1F7E1" w14:textId="6E80C05F" w:rsidR="0049141E" w:rsidRPr="009D52D0" w:rsidRDefault="0049141E" w:rsidP="00171A46">
            <w:pPr>
              <w:pStyle w:val="Tableoutcomecrosses"/>
              <w:rPr>
                <w:b/>
              </w:rPr>
            </w:pPr>
            <w:r>
              <w:rPr>
                <w:b/>
              </w:rPr>
              <w:t>x</w:t>
            </w:r>
          </w:p>
        </w:tc>
        <w:tc>
          <w:tcPr>
            <w:tcW w:w="580" w:type="dxa"/>
          </w:tcPr>
          <w:p w14:paraId="34BF4922" w14:textId="5C60EFFA" w:rsidR="0049141E" w:rsidRPr="009D52D0" w:rsidRDefault="0049141E" w:rsidP="00171A46">
            <w:pPr>
              <w:pStyle w:val="Tableoutcomecrosses"/>
              <w:rPr>
                <w:b/>
              </w:rPr>
            </w:pPr>
            <w:r>
              <w:rPr>
                <w:b/>
              </w:rPr>
              <w:t>x</w:t>
            </w:r>
          </w:p>
        </w:tc>
        <w:tc>
          <w:tcPr>
            <w:tcW w:w="580" w:type="dxa"/>
          </w:tcPr>
          <w:p w14:paraId="29656163" w14:textId="0DE32037" w:rsidR="0049141E" w:rsidRPr="009D52D0" w:rsidRDefault="0049141E" w:rsidP="00171A46">
            <w:pPr>
              <w:pStyle w:val="Tableoutcomecrosses"/>
              <w:rPr>
                <w:b/>
              </w:rPr>
            </w:pPr>
            <w:r>
              <w:rPr>
                <w:b/>
              </w:rPr>
              <w:t>x</w:t>
            </w:r>
          </w:p>
        </w:tc>
        <w:tc>
          <w:tcPr>
            <w:tcW w:w="580" w:type="dxa"/>
          </w:tcPr>
          <w:p w14:paraId="3155EA1C" w14:textId="5D57A204" w:rsidR="0049141E" w:rsidRPr="009D52D0" w:rsidRDefault="0049141E" w:rsidP="00171A46">
            <w:pPr>
              <w:pStyle w:val="Tableoutcomecrosses"/>
              <w:rPr>
                <w:b/>
              </w:rPr>
            </w:pPr>
            <w:r>
              <w:rPr>
                <w:b/>
              </w:rPr>
              <w:t>x</w:t>
            </w:r>
          </w:p>
        </w:tc>
        <w:tc>
          <w:tcPr>
            <w:tcW w:w="580" w:type="dxa"/>
          </w:tcPr>
          <w:p w14:paraId="4802F12A" w14:textId="05EF4A99" w:rsidR="0049141E" w:rsidRPr="009D52D0" w:rsidRDefault="0049141E" w:rsidP="00171A46">
            <w:pPr>
              <w:pStyle w:val="Tableoutcomecrosses"/>
              <w:rPr>
                <w:b/>
              </w:rPr>
            </w:pPr>
            <w:r>
              <w:rPr>
                <w:b/>
              </w:rPr>
              <w:t>x</w:t>
            </w:r>
          </w:p>
        </w:tc>
        <w:tc>
          <w:tcPr>
            <w:tcW w:w="580" w:type="dxa"/>
          </w:tcPr>
          <w:p w14:paraId="7B43FE9C" w14:textId="480D8C93" w:rsidR="0049141E" w:rsidRPr="009D52D0" w:rsidRDefault="0049141E" w:rsidP="00171A46">
            <w:pPr>
              <w:pStyle w:val="Tableoutcomecrosses"/>
              <w:rPr>
                <w:b/>
              </w:rPr>
            </w:pPr>
            <w:r>
              <w:rPr>
                <w:b/>
              </w:rPr>
              <w:t>x</w:t>
            </w:r>
          </w:p>
        </w:tc>
        <w:tc>
          <w:tcPr>
            <w:tcW w:w="580" w:type="dxa"/>
          </w:tcPr>
          <w:p w14:paraId="70D76CAE" w14:textId="5099D882" w:rsidR="0049141E" w:rsidRPr="009D52D0" w:rsidRDefault="0049141E" w:rsidP="00171A46">
            <w:pPr>
              <w:pStyle w:val="Tableoutcomecrosses"/>
              <w:rPr>
                <w:b/>
              </w:rPr>
            </w:pPr>
            <w:r w:rsidRPr="0049141E">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bookmarkEnd w:id="10"/>
    <w:bookmarkEnd w:id="11"/>
    <w:p w14:paraId="03283DDF" w14:textId="77777777" w:rsidR="00883204" w:rsidRPr="009D52D0" w:rsidRDefault="00883204" w:rsidP="00171A46">
      <w:pPr>
        <w:pStyle w:val="Heading2"/>
        <w:spacing w:before="840"/>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17D105FD" w:rsidR="00AD1300" w:rsidRPr="00AD1300" w:rsidRDefault="0049141E" w:rsidP="00AD1300">
      <w:pPr>
        <w:pStyle w:val="BodyText"/>
      </w:pPr>
      <w:r>
        <w:t>Canterbury</w:t>
      </w:r>
    </w:p>
    <w:p w14:paraId="654C7CE7" w14:textId="7F0B425B" w:rsidR="00883204" w:rsidRDefault="00883204" w:rsidP="00072357">
      <w:pPr>
        <w:pStyle w:val="Heading2"/>
      </w:pPr>
      <w:r w:rsidRPr="009D52D0">
        <w:t>Internationalisation</w:t>
      </w:r>
    </w:p>
    <w:p w14:paraId="3C7C3561" w14:textId="3F7D7C06" w:rsidR="00883204" w:rsidRDefault="0049141E" w:rsidP="0049141E">
      <w:pPr>
        <w:spacing w:after="120" w:line="240" w:lineRule="auto"/>
        <w:ind w:left="565" w:right="543"/>
        <w:rPr>
          <w:rFonts w:ascii="Arial" w:hAnsi="Arial" w:cs="Arial"/>
          <w:sz w:val="24"/>
          <w:szCs w:val="24"/>
        </w:rPr>
      </w:pPr>
      <w:r w:rsidRPr="0049141E">
        <w:rPr>
          <w:rFonts w:ascii="Arial" w:hAnsi="Arial" w:cs="Arial"/>
          <w:sz w:val="24"/>
          <w:szCs w:val="24"/>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F5B9073" w14:textId="70A9BEC0" w:rsidR="009D52D0" w:rsidRDefault="009D52D0">
      <w:pPr>
        <w:rPr>
          <w:rFonts w:ascii="Arial" w:hAnsi="Arial" w:cs="Arial"/>
          <w:sz w:val="24"/>
          <w:szCs w:val="24"/>
        </w:rPr>
      </w:pPr>
      <w:bookmarkStart w:id="13" w:name="_Hlk110347234"/>
    </w:p>
    <w:p w14:paraId="3B07B04E" w14:textId="3103712F" w:rsidR="00171A46" w:rsidRDefault="00171A46">
      <w:pPr>
        <w:rPr>
          <w:rFonts w:ascii="Arial" w:hAnsi="Arial" w:cs="Arial"/>
          <w:sz w:val="24"/>
          <w:szCs w:val="24"/>
        </w:rPr>
      </w:pPr>
    </w:p>
    <w:p w14:paraId="6C19F189" w14:textId="77777777" w:rsidR="00171A46" w:rsidRDefault="00171A46">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776" w:type="dxa"/>
        <w:tblLook w:val="04A0" w:firstRow="1" w:lastRow="0" w:firstColumn="1" w:lastColumn="0" w:noHBand="0" w:noVBand="1"/>
      </w:tblPr>
      <w:tblGrid>
        <w:gridCol w:w="1592"/>
        <w:gridCol w:w="1817"/>
        <w:gridCol w:w="2256"/>
        <w:gridCol w:w="2077"/>
        <w:gridCol w:w="2034"/>
      </w:tblGrid>
      <w:tr w:rsidR="00302082" w:rsidRPr="009D52D0" w14:paraId="52814657" w14:textId="77777777" w:rsidTr="00171A46">
        <w:trPr>
          <w:trHeight w:val="317"/>
          <w:tblHeader/>
        </w:trPr>
        <w:tc>
          <w:tcPr>
            <w:tcW w:w="1592" w:type="dxa"/>
          </w:tcPr>
          <w:p w14:paraId="7BB88073" w14:textId="77777777" w:rsidR="00422B69" w:rsidRPr="009D52D0" w:rsidRDefault="00422B69" w:rsidP="00AD1300">
            <w:pPr>
              <w:pStyle w:val="Tableoutcomeshead"/>
            </w:pPr>
            <w:r w:rsidRPr="009D52D0">
              <w:lastRenderedPageBreak/>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034"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49141E" w:rsidRPr="009D52D0" w14:paraId="29EF87B4" w14:textId="77777777" w:rsidTr="00171A46">
        <w:trPr>
          <w:trHeight w:val="305"/>
        </w:trPr>
        <w:tc>
          <w:tcPr>
            <w:tcW w:w="1592" w:type="dxa"/>
          </w:tcPr>
          <w:p w14:paraId="4474539E" w14:textId="5DD97690" w:rsidR="0049141E" w:rsidRPr="009D52D0" w:rsidRDefault="0049141E" w:rsidP="0049141E">
            <w:pPr>
              <w:pStyle w:val="Tabledivuseonly"/>
            </w:pPr>
            <w:r w:rsidRPr="006D5A29">
              <w:t>23/09/2016</w:t>
            </w:r>
          </w:p>
        </w:tc>
        <w:tc>
          <w:tcPr>
            <w:tcW w:w="1817" w:type="dxa"/>
          </w:tcPr>
          <w:p w14:paraId="3DB8B056" w14:textId="7AA6578A" w:rsidR="0049141E" w:rsidRPr="009D52D0" w:rsidRDefault="0049141E" w:rsidP="0049141E">
            <w:pPr>
              <w:pStyle w:val="Tabledivuseonly"/>
            </w:pPr>
            <w:r w:rsidRPr="006D5A29">
              <w:t>Minor</w:t>
            </w:r>
          </w:p>
        </w:tc>
        <w:tc>
          <w:tcPr>
            <w:tcW w:w="2256" w:type="dxa"/>
          </w:tcPr>
          <w:p w14:paraId="7151A835" w14:textId="5A79322E" w:rsidR="0049141E" w:rsidRPr="009D52D0" w:rsidRDefault="0049141E" w:rsidP="0049141E">
            <w:pPr>
              <w:pStyle w:val="Tabledivuseonly"/>
            </w:pPr>
            <w:r w:rsidRPr="006D5A29">
              <w:t>September 2016</w:t>
            </w:r>
          </w:p>
        </w:tc>
        <w:tc>
          <w:tcPr>
            <w:tcW w:w="2077" w:type="dxa"/>
          </w:tcPr>
          <w:p w14:paraId="64AEF8B4" w14:textId="76870206" w:rsidR="0049141E" w:rsidRPr="009D52D0" w:rsidRDefault="0049141E" w:rsidP="0049141E">
            <w:pPr>
              <w:pStyle w:val="Tabledivuseonly"/>
            </w:pPr>
            <w:r w:rsidRPr="006D5A29">
              <w:t>13, 14</w:t>
            </w:r>
          </w:p>
        </w:tc>
        <w:tc>
          <w:tcPr>
            <w:tcW w:w="2034" w:type="dxa"/>
          </w:tcPr>
          <w:p w14:paraId="2788108C" w14:textId="34658EED" w:rsidR="0049141E" w:rsidRPr="009D52D0" w:rsidRDefault="0049141E" w:rsidP="0049141E">
            <w:pPr>
              <w:pStyle w:val="Tabledivuseonly"/>
            </w:pPr>
            <w:r w:rsidRPr="006D5A29">
              <w:t>No</w:t>
            </w:r>
          </w:p>
        </w:tc>
      </w:tr>
      <w:tr w:rsidR="0049141E" w:rsidRPr="009D52D0" w14:paraId="1EAC1207" w14:textId="77777777" w:rsidTr="00171A46">
        <w:trPr>
          <w:trHeight w:val="305"/>
        </w:trPr>
        <w:tc>
          <w:tcPr>
            <w:tcW w:w="1592" w:type="dxa"/>
          </w:tcPr>
          <w:p w14:paraId="6535CABF" w14:textId="6B702D56" w:rsidR="0049141E" w:rsidRPr="009D52D0" w:rsidRDefault="00171A46" w:rsidP="0049141E">
            <w:pPr>
              <w:pStyle w:val="Tabledivuseonly"/>
            </w:pPr>
            <w:r>
              <w:t>13.11.22</w:t>
            </w:r>
          </w:p>
        </w:tc>
        <w:tc>
          <w:tcPr>
            <w:tcW w:w="1817" w:type="dxa"/>
          </w:tcPr>
          <w:p w14:paraId="5BAFF0BB" w14:textId="69689868" w:rsidR="0049141E" w:rsidRPr="009D52D0" w:rsidRDefault="00171A46" w:rsidP="0049141E">
            <w:pPr>
              <w:pStyle w:val="Tabledivuseonly"/>
            </w:pPr>
            <w:r>
              <w:t>Minor</w:t>
            </w:r>
          </w:p>
        </w:tc>
        <w:tc>
          <w:tcPr>
            <w:tcW w:w="2256" w:type="dxa"/>
          </w:tcPr>
          <w:p w14:paraId="07B30CA1" w14:textId="1914F7E9" w:rsidR="0049141E" w:rsidRPr="009D52D0" w:rsidRDefault="00171A46" w:rsidP="0049141E">
            <w:pPr>
              <w:pStyle w:val="Tabledivuseonly"/>
            </w:pPr>
            <w:r>
              <w:t>September 2023</w:t>
            </w:r>
          </w:p>
        </w:tc>
        <w:tc>
          <w:tcPr>
            <w:tcW w:w="2077" w:type="dxa"/>
          </w:tcPr>
          <w:p w14:paraId="7AF83608" w14:textId="7E0A7230" w:rsidR="0049141E" w:rsidRPr="009D52D0" w:rsidRDefault="00171A46" w:rsidP="0049141E">
            <w:pPr>
              <w:pStyle w:val="Tabledivuseonly"/>
            </w:pPr>
            <w:r w:rsidRPr="00171A46">
              <w:t>7, 9, 14</w:t>
            </w:r>
          </w:p>
        </w:tc>
        <w:tc>
          <w:tcPr>
            <w:tcW w:w="2034" w:type="dxa"/>
          </w:tcPr>
          <w:p w14:paraId="1F3DBDEE" w14:textId="5B7A596E" w:rsidR="0049141E" w:rsidRPr="009D52D0" w:rsidRDefault="00171A46" w:rsidP="0049141E">
            <w:pPr>
              <w:pStyle w:val="Tabledivuseonly"/>
            </w:pPr>
            <w:r>
              <w:t>No</w:t>
            </w: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441610ED" w14:textId="77777777" w:rsidR="00FC217A" w:rsidRPr="00FC217A" w:rsidRDefault="00FC217A" w:rsidP="009E77C3">
      <w:pPr>
        <w:rPr>
          <w:rFonts w:ascii="Arial" w:hAnsi="Arial" w:cs="Arial"/>
          <w:sz w:val="24"/>
          <w:szCs w:val="24"/>
        </w:rPr>
      </w:pPr>
    </w:p>
    <w:sectPr w:rsidR="00FC217A" w:rsidRPr="00FC217A" w:rsidSect="00B41613">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A28C" w14:textId="77777777" w:rsidR="00F909A3" w:rsidRDefault="00F909A3" w:rsidP="009A2D37">
      <w:pPr>
        <w:spacing w:after="0" w:line="240" w:lineRule="auto"/>
      </w:pPr>
      <w:r>
        <w:separator/>
      </w:r>
    </w:p>
  </w:endnote>
  <w:endnote w:type="continuationSeparator" w:id="0">
    <w:p w14:paraId="25C84687" w14:textId="77777777" w:rsidR="00F909A3" w:rsidRDefault="00F909A3" w:rsidP="009A2D37">
      <w:pPr>
        <w:spacing w:after="0" w:line="240" w:lineRule="auto"/>
      </w:pPr>
      <w:r>
        <w:continuationSeparator/>
      </w:r>
    </w:p>
  </w:endnote>
  <w:endnote w:type="continuationNotice" w:id="1">
    <w:p w14:paraId="1AAB73BC" w14:textId="77777777" w:rsidR="00F909A3" w:rsidRDefault="00F90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0C66DFB3" w:rsidR="004455F2" w:rsidRDefault="004455F2" w:rsidP="00171A46">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3BCAE9B0"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171A46" w:rsidRPr="00171A46">
      <w:rPr>
        <w:rFonts w:ascii="Arial" w:hAnsi="Arial"/>
        <w:sz w:val="18"/>
      </w:rPr>
      <w:t>POLI9170 Terrorism and Crimes of the State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1510E"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5902" w14:textId="77777777" w:rsidR="00F909A3" w:rsidRDefault="00F909A3" w:rsidP="009A2D37">
      <w:pPr>
        <w:spacing w:after="0" w:line="240" w:lineRule="auto"/>
      </w:pPr>
      <w:r>
        <w:separator/>
      </w:r>
    </w:p>
  </w:footnote>
  <w:footnote w:type="continuationSeparator" w:id="0">
    <w:p w14:paraId="11086B1D" w14:textId="77777777" w:rsidR="00F909A3" w:rsidRDefault="00F909A3" w:rsidP="009A2D37">
      <w:pPr>
        <w:spacing w:after="0" w:line="240" w:lineRule="auto"/>
      </w:pPr>
      <w:r>
        <w:continuationSeparator/>
      </w:r>
    </w:p>
  </w:footnote>
  <w:footnote w:type="continuationNotice" w:id="1">
    <w:p w14:paraId="632EA8EF" w14:textId="77777777" w:rsidR="00F909A3" w:rsidRDefault="00F90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66D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68F9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2B6C53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3A08A6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678E95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40E81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838B3F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817"/>
    <w:rsid w:val="00021EA0"/>
    <w:rsid w:val="00025992"/>
    <w:rsid w:val="00027937"/>
    <w:rsid w:val="00030C9E"/>
    <w:rsid w:val="00031E67"/>
    <w:rsid w:val="000408CC"/>
    <w:rsid w:val="00045373"/>
    <w:rsid w:val="00063A2F"/>
    <w:rsid w:val="000674E0"/>
    <w:rsid w:val="000678D3"/>
    <w:rsid w:val="00072357"/>
    <w:rsid w:val="0009189A"/>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4139"/>
    <w:rsid w:val="00117577"/>
    <w:rsid w:val="00117793"/>
    <w:rsid w:val="001206E4"/>
    <w:rsid w:val="001214D3"/>
    <w:rsid w:val="00121BFC"/>
    <w:rsid w:val="001402AD"/>
    <w:rsid w:val="001540CE"/>
    <w:rsid w:val="0015717B"/>
    <w:rsid w:val="00157ACA"/>
    <w:rsid w:val="00160427"/>
    <w:rsid w:val="0016224F"/>
    <w:rsid w:val="00162D46"/>
    <w:rsid w:val="00171A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141E"/>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3807"/>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7C3"/>
    <w:rsid w:val="009F058B"/>
    <w:rsid w:val="009F3A2A"/>
    <w:rsid w:val="009F5EA4"/>
    <w:rsid w:val="009F731F"/>
    <w:rsid w:val="009F7D33"/>
    <w:rsid w:val="00A021FE"/>
    <w:rsid w:val="00A1270E"/>
    <w:rsid w:val="00A13526"/>
    <w:rsid w:val="00A1510E"/>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1613"/>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9A3"/>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41613"/>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41613"/>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62380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CD45075-754E-4DA6-9013-FE09800346E4}"/>
</file>

<file path=customXml/itemProps3.xml><?xml version="1.0" encoding="utf-8"?>
<ds:datastoreItem xmlns:ds="http://schemas.openxmlformats.org/officeDocument/2006/customXml" ds:itemID="{4773D68E-6394-4DB8-AB48-33B970AE2D47}"/>
</file>

<file path=customXml/itemProps4.xml><?xml version="1.0" encoding="utf-8"?>
<ds:datastoreItem xmlns:ds="http://schemas.openxmlformats.org/officeDocument/2006/customXml" ds:itemID="{15F9FEAB-54E0-4CAB-B0C7-BB44AA36882C}"/>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2022-11-15T14:16:00Z</dcterms:created>
  <dcterms:modified xsi:type="dcterms:W3CDTF">2022-11-15T14:37:00Z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