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BD33AE">
      <w:pPr>
        <w:pStyle w:val="Heading2"/>
        <w:spacing w:before="0"/>
      </w:pPr>
      <w:bookmarkStart w:id="0" w:name="_Hlk110345875"/>
      <w:r>
        <w:t>KentVision Code and t</w:t>
      </w:r>
      <w:r w:rsidR="009A2D37" w:rsidRPr="00072357">
        <w:t>itle of the module</w:t>
      </w:r>
    </w:p>
    <w:p w14:paraId="53DD716D" w14:textId="3F8B8DD1" w:rsidR="00694B52" w:rsidRPr="009D52D0" w:rsidRDefault="00A91122" w:rsidP="00FF34D0">
      <w:pPr>
        <w:pStyle w:val="BodyText"/>
      </w:pPr>
      <w:bookmarkStart w:id="1" w:name="_Hlk119400071"/>
      <w:bookmarkEnd w:id="0"/>
      <w:r w:rsidRPr="00A91122">
        <w:t xml:space="preserve">POLI8320 </w:t>
      </w:r>
      <w:bookmarkEnd w:id="1"/>
      <w:r>
        <w:t xml:space="preserve"> </w:t>
      </w:r>
      <w:r w:rsidR="001C10EF" w:rsidRPr="007D09EC">
        <w:t>Pathways to Peace: Approaches to Conflict Resolution</w:t>
      </w:r>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3E0D7F3A" w:rsidR="000B128D" w:rsidRPr="000B128D" w:rsidRDefault="00A91122" w:rsidP="000B128D">
      <w:pPr>
        <w:pStyle w:val="BodyText"/>
      </w:pPr>
      <w:r>
        <w:t>Division of Human and Social Sciences,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3A34AB1" w:rsidR="000B128D" w:rsidRPr="000B128D" w:rsidRDefault="00A91122"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60A98803" w:rsidR="000B128D" w:rsidRPr="000B128D" w:rsidRDefault="00A91122" w:rsidP="000B128D">
      <w:pPr>
        <w:pStyle w:val="BodyText"/>
      </w:pPr>
      <w:r w:rsidRPr="00A91122">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1648B000" w:rsidR="000B128D" w:rsidRPr="000B128D" w:rsidRDefault="00A91122" w:rsidP="000B128D">
      <w:pPr>
        <w:pStyle w:val="BodyText"/>
      </w:pPr>
      <w:r w:rsidRPr="00A91122">
        <w:t>Autumn or 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41ADCB07" w:rsidR="000B128D" w:rsidRPr="000B128D" w:rsidRDefault="00A91122" w:rsidP="000B128D">
      <w:pPr>
        <w:pStyle w:val="BodyText"/>
      </w:pPr>
      <w:r>
        <w:t>None</w:t>
      </w:r>
    </w:p>
    <w:p w14:paraId="65457720" w14:textId="4352B2DF"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023F5AF3" w14:textId="3D980834" w:rsidR="00A91122" w:rsidRDefault="00BD33AE" w:rsidP="00BD33AE">
      <w:pPr>
        <w:pStyle w:val="BodyText"/>
      </w:pPr>
      <w:r w:rsidRPr="00BD33AE">
        <w:rPr>
          <w:b/>
          <w:bCs/>
          <w:i/>
          <w:iCs/>
          <w:sz w:val="22"/>
        </w:rPr>
        <w:t>Compulsory to the following courses</w:t>
      </w:r>
      <w:r w:rsidRPr="00BD33AE">
        <w:t>:</w:t>
      </w:r>
    </w:p>
    <w:p w14:paraId="737F47CE" w14:textId="77777777" w:rsidR="00A91122" w:rsidRDefault="00A91122" w:rsidP="00BD33AE">
      <w:pPr>
        <w:pStyle w:val="ListBullet"/>
      </w:pPr>
      <w:r w:rsidRPr="00D941C0">
        <w:t>Peace and Conflict Studies (International Joint Award) MA.</w:t>
      </w:r>
    </w:p>
    <w:p w14:paraId="74F29EDF" w14:textId="72E87EBF" w:rsidR="00A91122" w:rsidRDefault="00A91122" w:rsidP="00BD33AE">
      <w:pPr>
        <w:pStyle w:val="BodyText"/>
        <w:spacing w:before="480"/>
      </w:pPr>
      <w:r w:rsidRPr="00BD33AE">
        <w:t xml:space="preserve">This module is </w:t>
      </w:r>
      <w:r>
        <w:t xml:space="preserve">available to all </w:t>
      </w:r>
      <w:r w:rsidRPr="00BD33AE">
        <w:t xml:space="preserve">students on MA </w:t>
      </w:r>
      <w:r w:rsidR="009D65EF">
        <w:t>courses</w:t>
      </w:r>
      <w:r w:rsidRPr="00BD33AE">
        <w:t xml:space="preserve"> within the School of Politics and  International Relations. </w:t>
      </w:r>
    </w:p>
    <w:p w14:paraId="624FAEAA" w14:textId="32557088" w:rsidR="009D65EF" w:rsidRPr="00BD33AE" w:rsidRDefault="009D65EF" w:rsidP="00BD33AE">
      <w:pPr>
        <w:pStyle w:val="BodyText"/>
      </w:pPr>
      <w:r>
        <w:t>Also available as an elective module.</w:t>
      </w:r>
    </w:p>
    <w:p w14:paraId="788EEA1E" w14:textId="2AB4F512" w:rsidR="00E86C6B" w:rsidRDefault="009A2D37" w:rsidP="007D09EC">
      <w:pPr>
        <w:pStyle w:val="Heading2"/>
      </w:pPr>
      <w:r w:rsidRPr="009D52D0">
        <w:t>The intended subject specific learning outcomes</w:t>
      </w:r>
      <w:r w:rsidR="00C729D7" w:rsidRPr="009D52D0">
        <w:t>.</w:t>
      </w:r>
      <w:r w:rsidR="00C729D7" w:rsidRPr="009D52D0">
        <w:br/>
        <w:t>On successfully completing the module students will be able to:</w:t>
      </w:r>
    </w:p>
    <w:p w14:paraId="79E673DB" w14:textId="374CCD80" w:rsidR="00E86C6B" w:rsidRDefault="00E86C6B" w:rsidP="007D09EC">
      <w:pPr>
        <w:pStyle w:val="ListNumber2"/>
        <w:spacing w:before="240"/>
      </w:pPr>
      <w:r>
        <w:t>8.1</w:t>
      </w:r>
      <w:r>
        <w:tab/>
      </w:r>
      <w:r w:rsidRPr="006243D2">
        <w:t xml:space="preserve">Show a </w:t>
      </w:r>
      <w:r w:rsidR="00055776">
        <w:t xml:space="preserve">sophisticated  and </w:t>
      </w:r>
      <w:r w:rsidRPr="006243D2">
        <w:t>systematic understanding of the dynamic nature of conflict resolution and management</w:t>
      </w:r>
    </w:p>
    <w:p w14:paraId="54EFC354" w14:textId="7B2A6E48" w:rsidR="00A91122" w:rsidRDefault="009D65EF" w:rsidP="00540012">
      <w:pPr>
        <w:pStyle w:val="ListNumber2"/>
      </w:pPr>
      <w:r>
        <w:t>8.</w:t>
      </w:r>
      <w:r w:rsidR="00E86C6B">
        <w:t>2</w:t>
      </w:r>
      <w:r w:rsidR="00A91122">
        <w:tab/>
      </w:r>
      <w:r w:rsidR="00540012">
        <w:t>H</w:t>
      </w:r>
      <w:r w:rsidR="00A91122">
        <w:t>ave a critical awareness of the main theories and currents of thinking in the field of conflict resolution and conflict analysis</w:t>
      </w:r>
    </w:p>
    <w:p w14:paraId="3006D88A" w14:textId="143938C9" w:rsidR="00E86C6B" w:rsidRDefault="00E86C6B" w:rsidP="00E86C6B">
      <w:pPr>
        <w:pStyle w:val="ListNumber2"/>
      </w:pPr>
      <w:r>
        <w:lastRenderedPageBreak/>
        <w:t>8.3</w:t>
      </w:r>
      <w:r>
        <w:tab/>
      </w:r>
      <w:r w:rsidRPr="006243D2">
        <w:t>Recognise and apply concept</w:t>
      </w:r>
      <w:r>
        <w:t>s</w:t>
      </w:r>
      <w:r w:rsidRPr="006243D2">
        <w:t xml:space="preserve"> associated with conflict management</w:t>
      </w:r>
      <w:r w:rsidR="00055776">
        <w:t xml:space="preserve"> to their own research and analysis</w:t>
      </w:r>
      <w:r w:rsidRPr="006243D2">
        <w:t>, including</w:t>
      </w:r>
      <w:r w:rsidR="00055776">
        <w:t xml:space="preserve"> on issues of</w:t>
      </w:r>
      <w:r w:rsidRPr="006243D2">
        <w:t xml:space="preserve"> intervention, peace-building and reconstruction</w:t>
      </w:r>
    </w:p>
    <w:p w14:paraId="35DAF91C" w14:textId="053BFDFE" w:rsidR="00E86C6B" w:rsidRDefault="009D65EF" w:rsidP="00E86C6B">
      <w:pPr>
        <w:pStyle w:val="ListNumber2"/>
      </w:pPr>
      <w:r>
        <w:t>8.</w:t>
      </w:r>
      <w:r w:rsidR="00E86C6B">
        <w:t>4</w:t>
      </w:r>
      <w:r>
        <w:t xml:space="preserve"> </w:t>
      </w:r>
      <w:r w:rsidR="00A91122">
        <w:tab/>
      </w:r>
      <w:r w:rsidR="00540012">
        <w:t>D</w:t>
      </w:r>
      <w:r w:rsidR="00A91122">
        <w:t xml:space="preserve">emonstrate an advanced understanding of the complex nature of contemporary conflicts and of the range of domestic and international actors involved in them </w:t>
      </w:r>
    </w:p>
    <w:p w14:paraId="6AE73774" w14:textId="77F344F3" w:rsidR="00A91122" w:rsidRDefault="00E86C6B" w:rsidP="00E86C6B">
      <w:pPr>
        <w:pStyle w:val="ListNumber2"/>
      </w:pPr>
      <w:r>
        <w:t>8.5</w:t>
      </w:r>
      <w:r>
        <w:tab/>
        <w:t xml:space="preserve">Describe </w:t>
      </w:r>
      <w:r w:rsidR="00055776">
        <w:t xml:space="preserve">with depth and clarity </w:t>
      </w:r>
      <w:r>
        <w:t xml:space="preserve">the </w:t>
      </w:r>
      <w:r w:rsidRPr="005060BA">
        <w:t>territorial management of divisions, whether by means of power-sharing, ‘re-scaling’, or partition</w:t>
      </w:r>
    </w:p>
    <w:p w14:paraId="7357916D" w14:textId="62675F06" w:rsidR="00A91122" w:rsidRPr="00A91122" w:rsidRDefault="009D65EF" w:rsidP="00540012">
      <w:pPr>
        <w:pStyle w:val="ListNumber2"/>
      </w:pPr>
      <w:r>
        <w:t>8.</w:t>
      </w:r>
      <w:r w:rsidR="00A91122">
        <w:t>6</w:t>
      </w:r>
      <w:r>
        <w:t xml:space="preserve"> </w:t>
      </w:r>
      <w:r w:rsidR="00A91122">
        <w:tab/>
      </w:r>
      <w:r w:rsidR="00540012">
        <w:t>A</w:t>
      </w:r>
      <w:r w:rsidR="00A91122">
        <w:t>ppreciate the wider context of conflicts and be able to relate concepts of conflict analysis and conflict resolution to a</w:t>
      </w:r>
      <w:r w:rsidR="00055776">
        <w:t xml:space="preserve"> broader</w:t>
      </w:r>
      <w:r w:rsidR="00A91122">
        <w:t xml:space="preserve"> understanding of world politics</w:t>
      </w:r>
      <w:r w:rsidR="00540012">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937BDF5" w14:textId="43941AC1" w:rsidR="00A91122" w:rsidRPr="00540012" w:rsidRDefault="009D65EF" w:rsidP="00540012">
      <w:pPr>
        <w:pStyle w:val="ListNumber2"/>
      </w:pPr>
      <w:r>
        <w:t>9.</w:t>
      </w:r>
      <w:r w:rsidR="00A91122">
        <w:t>1</w:t>
      </w:r>
      <w:r w:rsidR="00A91122">
        <w:tab/>
      </w:r>
      <w:r w:rsidR="00540012">
        <w:t>W</w:t>
      </w:r>
      <w:r w:rsidR="00A91122">
        <w:t>ork</w:t>
      </w:r>
      <w:r w:rsidR="00055776">
        <w:t xml:space="preserve"> at an advanced level</w:t>
      </w:r>
      <w:r w:rsidR="00A91122">
        <w:t xml:space="preserve"> </w:t>
      </w:r>
      <w:r w:rsidR="00A91122" w:rsidRPr="00540012">
        <w:t>with theoretical knowledge at the forefront of this field</w:t>
      </w:r>
    </w:p>
    <w:p w14:paraId="0A7F1A4D" w14:textId="3B64981B" w:rsidR="00A91122" w:rsidRPr="00540012" w:rsidRDefault="009D65EF" w:rsidP="00540012">
      <w:pPr>
        <w:pStyle w:val="ListNumber2"/>
      </w:pPr>
      <w:r w:rsidRPr="00540012">
        <w:t>9.</w:t>
      </w:r>
      <w:r w:rsidR="00A91122" w:rsidRPr="00540012">
        <w:t>2</w:t>
      </w:r>
      <w:r w:rsidR="00A91122" w:rsidRPr="00540012">
        <w:tab/>
      </w:r>
      <w:r w:rsidR="00540012">
        <w:t>B</w:t>
      </w:r>
      <w:r w:rsidR="00A91122" w:rsidRPr="00540012">
        <w:t xml:space="preserve">e </w:t>
      </w:r>
      <w:r w:rsidR="00055776">
        <w:t>deeply engaged</w:t>
      </w:r>
      <w:r w:rsidR="00A91122" w:rsidRPr="00540012">
        <w:t xml:space="preserve"> </w:t>
      </w:r>
      <w:r w:rsidR="00055776">
        <w:t>with</w:t>
      </w:r>
      <w:r w:rsidR="00A91122" w:rsidRPr="00540012">
        <w:t xml:space="preserve"> the ethical dimensions of the discourses and practices in conflict resolution as well as of their own </w:t>
      </w:r>
      <w:r w:rsidR="00055776" w:rsidRPr="00540012">
        <w:t>work</w:t>
      </w:r>
      <w:r w:rsidR="00055776">
        <w:t>.</w:t>
      </w:r>
    </w:p>
    <w:p w14:paraId="4920BB96" w14:textId="52157D7A" w:rsidR="00A91122" w:rsidRPr="00540012" w:rsidRDefault="009D65EF" w:rsidP="00540012">
      <w:pPr>
        <w:pStyle w:val="ListNumber2"/>
      </w:pPr>
      <w:r w:rsidRPr="00540012">
        <w:t>9.</w:t>
      </w:r>
      <w:r w:rsidR="00A91122" w:rsidRPr="00540012">
        <w:t>3</w:t>
      </w:r>
      <w:r w:rsidR="00A91122" w:rsidRPr="00540012">
        <w:tab/>
      </w:r>
      <w:r w:rsidR="00540012">
        <w:t>H</w:t>
      </w:r>
      <w:r w:rsidR="00A91122" w:rsidRPr="00540012">
        <w:t>ave a comprehensive</w:t>
      </w:r>
      <w:r w:rsidR="00055776">
        <w:t xml:space="preserve"> and nuanced</w:t>
      </w:r>
      <w:r w:rsidR="00A91122" w:rsidRPr="00540012">
        <w:t xml:space="preserve"> understanding of methods and methodologies in their discipline</w:t>
      </w:r>
      <w:r w:rsidR="00055776">
        <w:t>.</w:t>
      </w:r>
    </w:p>
    <w:p w14:paraId="07C94B81" w14:textId="13F35FB1" w:rsidR="00A91122" w:rsidRPr="00540012" w:rsidRDefault="009D65EF" w:rsidP="00540012">
      <w:pPr>
        <w:pStyle w:val="ListNumber2"/>
      </w:pPr>
      <w:r w:rsidRPr="00540012">
        <w:t>9.4</w:t>
      </w:r>
      <w:r w:rsidR="00A91122" w:rsidRPr="00540012">
        <w:tab/>
      </w:r>
      <w:r w:rsidR="00540012">
        <w:t>U</w:t>
      </w:r>
      <w:r w:rsidR="00A91122" w:rsidRPr="00540012">
        <w:t>ndertake analysis of complex, incomplete or contradictory area of knowledge</w:t>
      </w:r>
      <w:r w:rsidR="00055776">
        <w:t>.</w:t>
      </w:r>
    </w:p>
    <w:p w14:paraId="50623774" w14:textId="76597817" w:rsidR="00A91122" w:rsidRPr="00540012" w:rsidRDefault="009D65EF" w:rsidP="00540012">
      <w:pPr>
        <w:pStyle w:val="ListNumber2"/>
      </w:pPr>
      <w:r w:rsidRPr="00540012">
        <w:t>9.</w:t>
      </w:r>
      <w:r w:rsidR="00A91122" w:rsidRPr="00540012">
        <w:t>5</w:t>
      </w:r>
      <w:r w:rsidR="00A91122" w:rsidRPr="00540012">
        <w:tab/>
      </w:r>
      <w:r w:rsidR="00540012">
        <w:t>H</w:t>
      </w:r>
      <w:r w:rsidR="00A91122" w:rsidRPr="00540012">
        <w:t>ave a level of conceptual understanding that will allow them to critically evaluate research, advanced scholarship and methodologies and argue alternative approaches</w:t>
      </w:r>
      <w:r w:rsidR="00055776">
        <w:t>.</w:t>
      </w:r>
    </w:p>
    <w:p w14:paraId="62F641B1" w14:textId="2DFD03AA" w:rsidR="00A91122" w:rsidRPr="00540012" w:rsidRDefault="009D65EF" w:rsidP="00540012">
      <w:pPr>
        <w:pStyle w:val="ListNumber2"/>
      </w:pPr>
      <w:r w:rsidRPr="00540012">
        <w:t>9.</w:t>
      </w:r>
      <w:r w:rsidR="00A91122" w:rsidRPr="00540012">
        <w:t>6</w:t>
      </w:r>
      <w:r w:rsidR="00A91122" w:rsidRPr="00540012">
        <w:tab/>
      </w:r>
      <w:r w:rsidR="00540012">
        <w:t>B</w:t>
      </w:r>
      <w:r w:rsidR="00A91122" w:rsidRPr="00540012">
        <w:t>e reflective and self-critical in their research work</w:t>
      </w:r>
      <w:r w:rsidR="00055776">
        <w:t>.</w:t>
      </w:r>
    </w:p>
    <w:p w14:paraId="1C431A5D" w14:textId="65BBC66C" w:rsidR="00A91122" w:rsidRPr="00540012" w:rsidRDefault="009D65EF" w:rsidP="00540012">
      <w:pPr>
        <w:pStyle w:val="ListNumber2"/>
      </w:pPr>
      <w:r w:rsidRPr="00540012">
        <w:t>9.</w:t>
      </w:r>
      <w:r w:rsidR="00A91122" w:rsidRPr="00540012">
        <w:t>7</w:t>
      </w:r>
      <w:r w:rsidR="00A91122" w:rsidRPr="00540012">
        <w:tab/>
      </w:r>
      <w:r w:rsidR="00540012">
        <w:t>E</w:t>
      </w:r>
      <w:r w:rsidR="00A91122" w:rsidRPr="00540012">
        <w:t xml:space="preserve">ngage in </w:t>
      </w:r>
      <w:r w:rsidR="00055776">
        <w:t xml:space="preserve">advanced </w:t>
      </w:r>
      <w:r w:rsidR="00A91122" w:rsidRPr="00540012">
        <w:t>academic and professional communication with others</w:t>
      </w:r>
      <w:r w:rsidR="00055776">
        <w:t>.</w:t>
      </w:r>
    </w:p>
    <w:p w14:paraId="31D8601B" w14:textId="3044990C" w:rsidR="00273CF0" w:rsidRPr="00540012" w:rsidRDefault="009D65EF" w:rsidP="00540012">
      <w:pPr>
        <w:pStyle w:val="ListNumber2"/>
      </w:pPr>
      <w:r w:rsidRPr="00540012">
        <w:t>9.</w:t>
      </w:r>
      <w:r w:rsidR="00A91122" w:rsidRPr="00540012">
        <w:t>8</w:t>
      </w:r>
      <w:r w:rsidR="00A91122" w:rsidRPr="00540012">
        <w:tab/>
      </w:r>
      <w:r w:rsidR="00540012">
        <w:t>H</w:t>
      </w:r>
      <w:r w:rsidR="00A91122" w:rsidRPr="00540012">
        <w:t>ave independent</w:t>
      </w:r>
      <w:r w:rsidR="00A91122">
        <w:t xml:space="preserve"> learning ability required for continuing professional study</w:t>
      </w:r>
      <w:r w:rsidR="00540012">
        <w:t>.</w:t>
      </w:r>
    </w:p>
    <w:p w14:paraId="73386C6A" w14:textId="56366AB2" w:rsidR="009A2D37" w:rsidRDefault="009A2D37" w:rsidP="00072357">
      <w:pPr>
        <w:pStyle w:val="Heading2"/>
      </w:pPr>
      <w:r w:rsidRPr="009D52D0">
        <w:t>A synopsis of the curriculum</w:t>
      </w:r>
    </w:p>
    <w:p w14:paraId="00A8018A" w14:textId="1B175DA3" w:rsidR="003D2999" w:rsidRPr="003D2999" w:rsidRDefault="00A91122" w:rsidP="009D65EF">
      <w:pPr>
        <w:pStyle w:val="BodyText"/>
        <w:jc w:val="both"/>
      </w:pPr>
      <w:r w:rsidRPr="00A91122">
        <w:t xml:space="preserve">The module aims to introduce current thinking in the field on conflict resolution, conflict management and conflict transformation, including conflict prevention and peace-building. Can protracted violent conflicts be prevented, and how are they brought to an end? Is it possible to deal with the root causes of conflict? How do the wider conflicts in the international system impact on local and regional conflicts, and under what circumstances are conflicts transformed? We will explore these questions with reference to theories of conflict resolution, comparative studies and case studies. The module will focus mainly on international and intra-state conflict. There will be opportunities to discuss conflicts at other levels, such as the role of diasporas and the media in conflict and its transformation. </w:t>
      </w:r>
      <w:r w:rsidR="00055776">
        <w:t xml:space="preserve">Students will take away from this module a grounded understanding of the key challenges and most effective approaches to conflict resolution.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lastRenderedPageBreak/>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5867BF91"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A91122">
        <w:t>176</w:t>
      </w:r>
    </w:p>
    <w:p w14:paraId="3BE5E6D9" w14:textId="75A9D680" w:rsidR="00636058" w:rsidRPr="00636058" w:rsidRDefault="00636058" w:rsidP="003D2999">
      <w:pPr>
        <w:pStyle w:val="BodyText"/>
      </w:pPr>
      <w:r w:rsidRPr="00636058">
        <w:t>Contact Hours</w:t>
      </w:r>
      <w:r w:rsidR="003D2999">
        <w:t>:</w:t>
      </w:r>
      <w:r w:rsidR="003D2999">
        <w:tab/>
      </w:r>
      <w:r w:rsidR="003D2999">
        <w:tab/>
      </w:r>
      <w:r w:rsidR="003D2999">
        <w:tab/>
      </w:r>
      <w:r w:rsidR="00A91122">
        <w:t>24</w:t>
      </w:r>
    </w:p>
    <w:p w14:paraId="260000FF" w14:textId="2693B61F"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A91122">
        <w:t>200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7D8B507B" w14:textId="77777777" w:rsidR="00A91122" w:rsidRDefault="00A91122" w:rsidP="00A91122">
      <w:pPr>
        <w:pStyle w:val="BodyText"/>
      </w:pPr>
      <w:r>
        <w:t>Essay 1, 2000 words (30%)</w:t>
      </w:r>
    </w:p>
    <w:p w14:paraId="603BE617" w14:textId="58F55E37" w:rsidR="003F3578" w:rsidRDefault="00A91122" w:rsidP="00A91122">
      <w:pPr>
        <w:pStyle w:val="BodyText"/>
      </w:pPr>
      <w:r>
        <w:t>Essay 2, 4000 words (70%)</w:t>
      </w:r>
    </w:p>
    <w:p w14:paraId="582C4742" w14:textId="77777777" w:rsidR="00A91122" w:rsidRPr="003D2999" w:rsidRDefault="00A91122" w:rsidP="00A91122">
      <w:pPr>
        <w:pStyle w:val="BodyText"/>
      </w:pPr>
    </w:p>
    <w:p w14:paraId="3DA1BBE3" w14:textId="1CB7B16A" w:rsidR="00696FF5" w:rsidRDefault="00696FF5" w:rsidP="00256400">
      <w:pPr>
        <w:pStyle w:val="ListNumber3"/>
        <w:numPr>
          <w:ilvl w:val="1"/>
          <w:numId w:val="23"/>
        </w:numPr>
      </w:pPr>
      <w:r w:rsidRPr="009D52D0">
        <w:t>Reassessment methods</w:t>
      </w:r>
    </w:p>
    <w:p w14:paraId="0C3E3A61" w14:textId="153D5367" w:rsidR="00055776" w:rsidRPr="00055776" w:rsidRDefault="00055776" w:rsidP="00055776">
      <w:pPr>
        <w:pStyle w:val="BodyText"/>
      </w:pPr>
      <w:r>
        <w:t>Like for 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6B87EF01" w:rsidR="00636058" w:rsidRDefault="00636058" w:rsidP="00F51CEB">
      <w:pPr>
        <w:spacing w:after="360" w:line="240" w:lineRule="auto"/>
        <w:ind w:left="567" w:right="544"/>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9776" w:type="dxa"/>
        <w:jc w:val="center"/>
        <w:tblLayout w:type="fixed"/>
        <w:tblLook w:val="04A0" w:firstRow="1" w:lastRow="0" w:firstColumn="1" w:lastColumn="0" w:noHBand="0" w:noVBand="1"/>
      </w:tblPr>
      <w:tblGrid>
        <w:gridCol w:w="1980"/>
        <w:gridCol w:w="556"/>
        <w:gridCol w:w="557"/>
        <w:gridCol w:w="557"/>
        <w:gridCol w:w="557"/>
        <w:gridCol w:w="557"/>
        <w:gridCol w:w="557"/>
        <w:gridCol w:w="557"/>
        <w:gridCol w:w="556"/>
        <w:gridCol w:w="557"/>
        <w:gridCol w:w="557"/>
        <w:gridCol w:w="557"/>
        <w:gridCol w:w="557"/>
        <w:gridCol w:w="557"/>
        <w:gridCol w:w="557"/>
      </w:tblGrid>
      <w:tr w:rsidR="00A91122" w:rsidRPr="00D941C0" w14:paraId="0D4FDA22" w14:textId="77777777" w:rsidTr="00F51CEB">
        <w:trPr>
          <w:jc w:val="center"/>
        </w:trPr>
        <w:tc>
          <w:tcPr>
            <w:tcW w:w="1980" w:type="dxa"/>
            <w:shd w:val="clear" w:color="auto" w:fill="D9D9D9" w:themeFill="background1" w:themeFillShade="D9"/>
          </w:tcPr>
          <w:p w14:paraId="6ACC6C72" w14:textId="77777777" w:rsidR="00A91122" w:rsidRPr="00F51CEB" w:rsidRDefault="00A91122" w:rsidP="00F51CEB">
            <w:pPr>
              <w:spacing w:before="60" w:after="60"/>
              <w:rPr>
                <w:rFonts w:ascii="Arial" w:hAnsi="Arial" w:cs="Arial"/>
                <w:b/>
                <w:sz w:val="20"/>
                <w:szCs w:val="20"/>
              </w:rPr>
            </w:pPr>
            <w:r w:rsidRPr="00F51CEB">
              <w:rPr>
                <w:rFonts w:ascii="Arial" w:hAnsi="Arial" w:cs="Arial"/>
                <w:b/>
                <w:sz w:val="20"/>
                <w:szCs w:val="20"/>
              </w:rPr>
              <w:t>Module learning outcome</w:t>
            </w:r>
          </w:p>
        </w:tc>
        <w:tc>
          <w:tcPr>
            <w:tcW w:w="556" w:type="dxa"/>
          </w:tcPr>
          <w:p w14:paraId="3F69367E"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8.1</w:t>
            </w:r>
          </w:p>
        </w:tc>
        <w:tc>
          <w:tcPr>
            <w:tcW w:w="557" w:type="dxa"/>
          </w:tcPr>
          <w:p w14:paraId="425C5AF6"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8.2</w:t>
            </w:r>
          </w:p>
        </w:tc>
        <w:tc>
          <w:tcPr>
            <w:tcW w:w="557" w:type="dxa"/>
          </w:tcPr>
          <w:p w14:paraId="6C1A6B60"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8.3</w:t>
            </w:r>
          </w:p>
        </w:tc>
        <w:tc>
          <w:tcPr>
            <w:tcW w:w="557" w:type="dxa"/>
          </w:tcPr>
          <w:p w14:paraId="4C96442D"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8.4</w:t>
            </w:r>
          </w:p>
        </w:tc>
        <w:tc>
          <w:tcPr>
            <w:tcW w:w="557" w:type="dxa"/>
          </w:tcPr>
          <w:p w14:paraId="3BC24764"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8.5</w:t>
            </w:r>
          </w:p>
        </w:tc>
        <w:tc>
          <w:tcPr>
            <w:tcW w:w="557" w:type="dxa"/>
          </w:tcPr>
          <w:p w14:paraId="2739A763"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8.6</w:t>
            </w:r>
          </w:p>
        </w:tc>
        <w:tc>
          <w:tcPr>
            <w:tcW w:w="557" w:type="dxa"/>
          </w:tcPr>
          <w:p w14:paraId="69D7558F"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9.1</w:t>
            </w:r>
          </w:p>
        </w:tc>
        <w:tc>
          <w:tcPr>
            <w:tcW w:w="556" w:type="dxa"/>
          </w:tcPr>
          <w:p w14:paraId="04FA2B91"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9.2</w:t>
            </w:r>
          </w:p>
        </w:tc>
        <w:tc>
          <w:tcPr>
            <w:tcW w:w="557" w:type="dxa"/>
          </w:tcPr>
          <w:p w14:paraId="0C65FA46"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9.3</w:t>
            </w:r>
          </w:p>
        </w:tc>
        <w:tc>
          <w:tcPr>
            <w:tcW w:w="557" w:type="dxa"/>
          </w:tcPr>
          <w:p w14:paraId="3F3F036E"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9.4</w:t>
            </w:r>
          </w:p>
        </w:tc>
        <w:tc>
          <w:tcPr>
            <w:tcW w:w="557" w:type="dxa"/>
          </w:tcPr>
          <w:p w14:paraId="6F736F0C"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9.5</w:t>
            </w:r>
          </w:p>
        </w:tc>
        <w:tc>
          <w:tcPr>
            <w:tcW w:w="557" w:type="dxa"/>
          </w:tcPr>
          <w:p w14:paraId="3A780244"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9.6</w:t>
            </w:r>
          </w:p>
        </w:tc>
        <w:tc>
          <w:tcPr>
            <w:tcW w:w="557" w:type="dxa"/>
          </w:tcPr>
          <w:p w14:paraId="28FBBB8D"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9.7</w:t>
            </w:r>
          </w:p>
        </w:tc>
        <w:tc>
          <w:tcPr>
            <w:tcW w:w="557" w:type="dxa"/>
          </w:tcPr>
          <w:p w14:paraId="5C56E9B0"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9.8</w:t>
            </w:r>
          </w:p>
        </w:tc>
      </w:tr>
      <w:tr w:rsidR="00A91122" w:rsidRPr="00D941C0" w14:paraId="1D707291" w14:textId="77777777" w:rsidTr="00F51CEB">
        <w:trPr>
          <w:jc w:val="center"/>
        </w:trPr>
        <w:tc>
          <w:tcPr>
            <w:tcW w:w="1980" w:type="dxa"/>
          </w:tcPr>
          <w:p w14:paraId="4DA72685" w14:textId="6EB9B6C6" w:rsidR="00A91122" w:rsidRPr="00F51CEB" w:rsidRDefault="00A91122" w:rsidP="00540012">
            <w:pPr>
              <w:spacing w:before="60" w:after="60"/>
              <w:rPr>
                <w:rFonts w:ascii="Arial" w:hAnsi="Arial" w:cs="Arial"/>
                <w:sz w:val="20"/>
                <w:szCs w:val="20"/>
              </w:rPr>
            </w:pPr>
            <w:r w:rsidRPr="00F51CEB">
              <w:rPr>
                <w:rFonts w:ascii="Arial" w:hAnsi="Arial" w:cs="Arial"/>
                <w:sz w:val="20"/>
                <w:szCs w:val="20"/>
              </w:rPr>
              <w:t>Lecture/Seminar</w:t>
            </w:r>
          </w:p>
        </w:tc>
        <w:tc>
          <w:tcPr>
            <w:tcW w:w="556" w:type="dxa"/>
          </w:tcPr>
          <w:p w14:paraId="207D9E66"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E327FFB"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42647A41"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23B2E0B0"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206287F2"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7F0617BE"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27C9C325"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6" w:type="dxa"/>
          </w:tcPr>
          <w:p w14:paraId="0250244F"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578D9136"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D08AC65" w14:textId="713EAB06" w:rsidR="00A91122" w:rsidRPr="00F51CEB" w:rsidRDefault="00E86C6B"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0CA7F21"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737BBFC5"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D78DDE7"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50E5DD87"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r>
      <w:tr w:rsidR="00A91122" w:rsidRPr="00D941C0" w14:paraId="4DC6FDC8" w14:textId="77777777" w:rsidTr="00F51CEB">
        <w:trPr>
          <w:jc w:val="center"/>
        </w:trPr>
        <w:tc>
          <w:tcPr>
            <w:tcW w:w="1980" w:type="dxa"/>
          </w:tcPr>
          <w:p w14:paraId="7DE7D513" w14:textId="77777777" w:rsidR="00A91122" w:rsidRPr="00F51CEB" w:rsidRDefault="00A91122" w:rsidP="00540012">
            <w:pPr>
              <w:spacing w:before="60" w:after="60"/>
              <w:rPr>
                <w:rFonts w:ascii="Arial" w:hAnsi="Arial" w:cs="Arial"/>
                <w:sz w:val="20"/>
                <w:szCs w:val="20"/>
              </w:rPr>
            </w:pPr>
            <w:r w:rsidRPr="00F51CEB">
              <w:rPr>
                <w:rFonts w:ascii="Arial" w:hAnsi="Arial" w:cs="Arial"/>
                <w:sz w:val="20"/>
                <w:szCs w:val="20"/>
              </w:rPr>
              <w:t>Private study</w:t>
            </w:r>
          </w:p>
        </w:tc>
        <w:tc>
          <w:tcPr>
            <w:tcW w:w="556" w:type="dxa"/>
          </w:tcPr>
          <w:p w14:paraId="41E64724"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3A44190E"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181F3EB"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5177634C"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C294E25"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7A7E518"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4F0C82BD"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6" w:type="dxa"/>
          </w:tcPr>
          <w:p w14:paraId="2E006F44"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1B95F0A"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1F7FEC95" w14:textId="3E2A871D" w:rsidR="00A91122" w:rsidRPr="00F51CEB" w:rsidRDefault="00E86C6B"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9A3E3D4"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F67EB5E"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0BD6D90"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7E20DCE3"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r>
      <w:bookmarkEnd w:id="9"/>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F51CEB">
      <w:pPr>
        <w:spacing w:before="240" w:after="360" w:line="240" w:lineRule="auto"/>
        <w:ind w:left="567"/>
        <w:rPr>
          <w:rFonts w:ascii="Arial" w:hAnsi="Arial" w:cs="Arial"/>
          <w:b/>
          <w:iCs/>
          <w:sz w:val="24"/>
          <w:szCs w:val="24"/>
        </w:rPr>
      </w:pPr>
      <w:bookmarkStart w:id="12" w:name="_Hlk94692647"/>
      <w:r>
        <w:rPr>
          <w:rFonts w:ascii="Arial" w:hAnsi="Arial" w:cs="Arial"/>
          <w:b/>
          <w:iCs/>
          <w:sz w:val="24"/>
          <w:szCs w:val="24"/>
        </w:rPr>
        <w:t>Module learning outcomes against assessment methods:</w:t>
      </w:r>
    </w:p>
    <w:tbl>
      <w:tblPr>
        <w:tblStyle w:val="TableGrid"/>
        <w:tblW w:w="9776" w:type="dxa"/>
        <w:jc w:val="center"/>
        <w:tblLayout w:type="fixed"/>
        <w:tblLook w:val="04A0" w:firstRow="1" w:lastRow="0" w:firstColumn="1" w:lastColumn="0" w:noHBand="0" w:noVBand="1"/>
      </w:tblPr>
      <w:tblGrid>
        <w:gridCol w:w="1980"/>
        <w:gridCol w:w="556"/>
        <w:gridCol w:w="557"/>
        <w:gridCol w:w="557"/>
        <w:gridCol w:w="557"/>
        <w:gridCol w:w="557"/>
        <w:gridCol w:w="557"/>
        <w:gridCol w:w="557"/>
        <w:gridCol w:w="556"/>
        <w:gridCol w:w="557"/>
        <w:gridCol w:w="557"/>
        <w:gridCol w:w="557"/>
        <w:gridCol w:w="557"/>
        <w:gridCol w:w="557"/>
        <w:gridCol w:w="557"/>
      </w:tblGrid>
      <w:tr w:rsidR="00A91122" w:rsidRPr="00D941C0" w14:paraId="3976E101" w14:textId="77777777" w:rsidTr="00F51CEB">
        <w:trPr>
          <w:jc w:val="center"/>
        </w:trPr>
        <w:tc>
          <w:tcPr>
            <w:tcW w:w="1980" w:type="dxa"/>
            <w:shd w:val="clear" w:color="auto" w:fill="D9D9D9" w:themeFill="background1" w:themeFillShade="D9"/>
          </w:tcPr>
          <w:p w14:paraId="56003255" w14:textId="77777777" w:rsidR="00A91122" w:rsidRPr="00F51CEB" w:rsidRDefault="00A91122" w:rsidP="00F51CEB">
            <w:pPr>
              <w:spacing w:before="60" w:after="60"/>
              <w:rPr>
                <w:rFonts w:ascii="Arial" w:hAnsi="Arial" w:cs="Arial"/>
                <w:b/>
                <w:sz w:val="20"/>
                <w:szCs w:val="20"/>
              </w:rPr>
            </w:pPr>
            <w:bookmarkStart w:id="13" w:name="_Hlk118380275"/>
            <w:bookmarkEnd w:id="12"/>
            <w:r w:rsidRPr="00F51CEB">
              <w:rPr>
                <w:rFonts w:ascii="Arial" w:hAnsi="Arial" w:cs="Arial"/>
                <w:b/>
                <w:sz w:val="20"/>
                <w:szCs w:val="20"/>
              </w:rPr>
              <w:t>Module learning outcome</w:t>
            </w:r>
          </w:p>
        </w:tc>
        <w:tc>
          <w:tcPr>
            <w:tcW w:w="556" w:type="dxa"/>
          </w:tcPr>
          <w:p w14:paraId="6097D399"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8.1</w:t>
            </w:r>
          </w:p>
        </w:tc>
        <w:tc>
          <w:tcPr>
            <w:tcW w:w="557" w:type="dxa"/>
          </w:tcPr>
          <w:p w14:paraId="3B9D83ED"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8.2</w:t>
            </w:r>
          </w:p>
        </w:tc>
        <w:tc>
          <w:tcPr>
            <w:tcW w:w="557" w:type="dxa"/>
          </w:tcPr>
          <w:p w14:paraId="24DAF1CB"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8.3</w:t>
            </w:r>
          </w:p>
        </w:tc>
        <w:tc>
          <w:tcPr>
            <w:tcW w:w="557" w:type="dxa"/>
          </w:tcPr>
          <w:p w14:paraId="7E7AB24A"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8.4</w:t>
            </w:r>
          </w:p>
        </w:tc>
        <w:tc>
          <w:tcPr>
            <w:tcW w:w="557" w:type="dxa"/>
          </w:tcPr>
          <w:p w14:paraId="4416ADE7"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8.5</w:t>
            </w:r>
          </w:p>
        </w:tc>
        <w:tc>
          <w:tcPr>
            <w:tcW w:w="557" w:type="dxa"/>
          </w:tcPr>
          <w:p w14:paraId="351A5BD9"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8.6</w:t>
            </w:r>
          </w:p>
        </w:tc>
        <w:tc>
          <w:tcPr>
            <w:tcW w:w="557" w:type="dxa"/>
          </w:tcPr>
          <w:p w14:paraId="4F426102"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9.1</w:t>
            </w:r>
          </w:p>
        </w:tc>
        <w:tc>
          <w:tcPr>
            <w:tcW w:w="556" w:type="dxa"/>
          </w:tcPr>
          <w:p w14:paraId="40906703"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9.2</w:t>
            </w:r>
          </w:p>
        </w:tc>
        <w:tc>
          <w:tcPr>
            <w:tcW w:w="557" w:type="dxa"/>
          </w:tcPr>
          <w:p w14:paraId="7ECCBD65"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9.3</w:t>
            </w:r>
          </w:p>
        </w:tc>
        <w:tc>
          <w:tcPr>
            <w:tcW w:w="557" w:type="dxa"/>
          </w:tcPr>
          <w:p w14:paraId="0F8ACDB2"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9.4</w:t>
            </w:r>
          </w:p>
        </w:tc>
        <w:tc>
          <w:tcPr>
            <w:tcW w:w="557" w:type="dxa"/>
          </w:tcPr>
          <w:p w14:paraId="5B01DED5"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9.5</w:t>
            </w:r>
          </w:p>
        </w:tc>
        <w:tc>
          <w:tcPr>
            <w:tcW w:w="557" w:type="dxa"/>
          </w:tcPr>
          <w:p w14:paraId="71CE81EB"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9.6</w:t>
            </w:r>
          </w:p>
        </w:tc>
        <w:tc>
          <w:tcPr>
            <w:tcW w:w="557" w:type="dxa"/>
          </w:tcPr>
          <w:p w14:paraId="1A5B0DD5"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9.7</w:t>
            </w:r>
          </w:p>
        </w:tc>
        <w:tc>
          <w:tcPr>
            <w:tcW w:w="557" w:type="dxa"/>
          </w:tcPr>
          <w:p w14:paraId="322E68CA" w14:textId="77777777" w:rsidR="00A91122" w:rsidRPr="00F51CEB" w:rsidRDefault="00A91122" w:rsidP="00F51CEB">
            <w:pPr>
              <w:spacing w:before="60" w:after="60"/>
              <w:jc w:val="center"/>
              <w:rPr>
                <w:rFonts w:ascii="Arial" w:hAnsi="Arial" w:cs="Arial"/>
                <w:b/>
                <w:bCs/>
                <w:sz w:val="20"/>
                <w:szCs w:val="20"/>
              </w:rPr>
            </w:pPr>
            <w:r w:rsidRPr="00F51CEB">
              <w:rPr>
                <w:rFonts w:ascii="Arial" w:hAnsi="Arial" w:cs="Arial"/>
                <w:b/>
                <w:bCs/>
                <w:sz w:val="20"/>
                <w:szCs w:val="20"/>
              </w:rPr>
              <w:t>9.8</w:t>
            </w:r>
          </w:p>
        </w:tc>
      </w:tr>
      <w:tr w:rsidR="00A91122" w:rsidRPr="00D941C0" w14:paraId="227FBC84" w14:textId="77777777" w:rsidTr="00F51CEB">
        <w:trPr>
          <w:jc w:val="center"/>
        </w:trPr>
        <w:tc>
          <w:tcPr>
            <w:tcW w:w="1980" w:type="dxa"/>
          </w:tcPr>
          <w:p w14:paraId="5888402A" w14:textId="77777777" w:rsidR="00A91122" w:rsidRPr="00F51CEB" w:rsidRDefault="00A91122" w:rsidP="00F51CEB">
            <w:pPr>
              <w:spacing w:before="60" w:after="60"/>
              <w:rPr>
                <w:rFonts w:ascii="Arial" w:hAnsi="Arial" w:cs="Arial"/>
                <w:sz w:val="20"/>
                <w:szCs w:val="20"/>
              </w:rPr>
            </w:pPr>
            <w:r w:rsidRPr="00F51CEB">
              <w:rPr>
                <w:rFonts w:ascii="Arial" w:hAnsi="Arial" w:cs="Arial"/>
                <w:sz w:val="20"/>
                <w:szCs w:val="20"/>
              </w:rPr>
              <w:t>Essay 1</w:t>
            </w:r>
          </w:p>
        </w:tc>
        <w:tc>
          <w:tcPr>
            <w:tcW w:w="556" w:type="dxa"/>
          </w:tcPr>
          <w:p w14:paraId="7E1278CD"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25B13FBE"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1BE72BD3" w14:textId="49265B2A" w:rsidR="00A91122" w:rsidRPr="00F51CEB" w:rsidRDefault="0054001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E89024A" w14:textId="5F8424E3" w:rsidR="00A91122" w:rsidRPr="00F51CEB" w:rsidRDefault="0054001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3929930C"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AFAF5C0"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58B277AD"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6" w:type="dxa"/>
          </w:tcPr>
          <w:p w14:paraId="51A61923"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C1F4621"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6D247D8"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4C1AD3A7"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3C36919F"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147D6671"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29CFC32F"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r>
      <w:tr w:rsidR="00A91122" w:rsidRPr="00D941C0" w14:paraId="17C2F592" w14:textId="77777777" w:rsidTr="00F51CEB">
        <w:trPr>
          <w:jc w:val="center"/>
        </w:trPr>
        <w:tc>
          <w:tcPr>
            <w:tcW w:w="1980" w:type="dxa"/>
          </w:tcPr>
          <w:p w14:paraId="196FD0A6" w14:textId="77777777" w:rsidR="00A91122" w:rsidRPr="00F51CEB" w:rsidRDefault="00A91122" w:rsidP="00F51CEB">
            <w:pPr>
              <w:spacing w:before="60" w:after="60"/>
              <w:rPr>
                <w:rFonts w:ascii="Arial" w:hAnsi="Arial" w:cs="Arial"/>
                <w:sz w:val="20"/>
                <w:szCs w:val="20"/>
              </w:rPr>
            </w:pPr>
            <w:r w:rsidRPr="00F51CEB">
              <w:rPr>
                <w:rFonts w:ascii="Arial" w:hAnsi="Arial" w:cs="Arial"/>
                <w:sz w:val="20"/>
                <w:szCs w:val="20"/>
              </w:rPr>
              <w:t>Essay 2</w:t>
            </w:r>
          </w:p>
        </w:tc>
        <w:tc>
          <w:tcPr>
            <w:tcW w:w="556" w:type="dxa"/>
          </w:tcPr>
          <w:p w14:paraId="71A428B9"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41BB38CB"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467E99B0"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1DADBE5"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44328355"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0E534FD"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542EA7F9"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6" w:type="dxa"/>
          </w:tcPr>
          <w:p w14:paraId="1CEEE209"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1362404D"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3B4972F6"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0BCC088F"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2D710A7A"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64ABAA75"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c>
          <w:tcPr>
            <w:tcW w:w="557" w:type="dxa"/>
          </w:tcPr>
          <w:p w14:paraId="28B736ED" w14:textId="77777777" w:rsidR="00A91122" w:rsidRPr="00F51CEB" w:rsidRDefault="00A91122" w:rsidP="00F51CEB">
            <w:pPr>
              <w:spacing w:before="60" w:after="60"/>
              <w:jc w:val="center"/>
              <w:rPr>
                <w:rFonts w:ascii="Arial" w:hAnsi="Arial" w:cs="Arial"/>
                <w:b/>
                <w:sz w:val="20"/>
                <w:szCs w:val="20"/>
              </w:rPr>
            </w:pPr>
            <w:r w:rsidRPr="00F51CEB">
              <w:rPr>
                <w:rFonts w:ascii="Arial" w:hAnsi="Arial" w:cs="Arial"/>
                <w:b/>
                <w:sz w:val="20"/>
                <w:szCs w:val="20"/>
              </w:rPr>
              <w:t>x</w:t>
            </w:r>
          </w:p>
        </w:tc>
      </w:tr>
      <w:bookmarkEnd w:id="13"/>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bookmarkEnd w:id="10"/>
    <w:p w14:paraId="48F94D11" w14:textId="1F0E70A0" w:rsidR="00636058" w:rsidRDefault="00636058" w:rsidP="00A91122">
      <w:pPr>
        <w:spacing w:after="120" w:line="240" w:lineRule="auto"/>
        <w:ind w:right="543"/>
        <w:rPr>
          <w:rFonts w:ascii="Arial" w:hAnsi="Arial" w:cs="Arial"/>
          <w:b/>
          <w:iCs/>
          <w:sz w:val="24"/>
          <w:szCs w:val="24"/>
        </w:rPr>
      </w:pPr>
    </w:p>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7FFD2FAD" w:rsidR="00AD1300" w:rsidRPr="00AD1300" w:rsidRDefault="00A91122" w:rsidP="00AD1300">
      <w:pPr>
        <w:pStyle w:val="BodyText"/>
      </w:pPr>
      <w:r>
        <w:t>Canterbury</w:t>
      </w:r>
    </w:p>
    <w:p w14:paraId="654C7CE7" w14:textId="1537A4DB" w:rsidR="00883204" w:rsidRDefault="00883204" w:rsidP="00072357">
      <w:pPr>
        <w:pStyle w:val="Heading2"/>
      </w:pPr>
      <w:r w:rsidRPr="009D52D0">
        <w:t>Internationalisation</w:t>
      </w:r>
    </w:p>
    <w:p w14:paraId="12BC3031" w14:textId="2644B4F9" w:rsidR="00A91122" w:rsidRPr="00A91122" w:rsidRDefault="00A91122" w:rsidP="00A91122">
      <w:pPr>
        <w:pStyle w:val="BodyText"/>
      </w:pPr>
      <w:r w:rsidRPr="00A91122">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F5B9073" w14:textId="6B341C2A" w:rsidR="009D52D0" w:rsidRDefault="009D52D0">
      <w:pPr>
        <w:rPr>
          <w:rFonts w:ascii="Arial" w:hAnsi="Arial" w:cs="Arial"/>
          <w:sz w:val="24"/>
          <w:szCs w:val="24"/>
        </w:rPr>
      </w:pPr>
      <w:bookmarkStart w:id="14" w:name="_Hlk110347234"/>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776" w:type="dxa"/>
        <w:tblLook w:val="04A0" w:firstRow="1" w:lastRow="0" w:firstColumn="1" w:lastColumn="0" w:noHBand="0" w:noVBand="1"/>
      </w:tblPr>
      <w:tblGrid>
        <w:gridCol w:w="1592"/>
        <w:gridCol w:w="1817"/>
        <w:gridCol w:w="2256"/>
        <w:gridCol w:w="2077"/>
        <w:gridCol w:w="2034"/>
      </w:tblGrid>
      <w:tr w:rsidR="00302082" w:rsidRPr="009D52D0" w14:paraId="52814657" w14:textId="77777777" w:rsidTr="00F51CEB">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034"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A91122" w:rsidRPr="009D52D0" w14:paraId="29EF87B4" w14:textId="77777777" w:rsidTr="00F51CEB">
        <w:trPr>
          <w:trHeight w:val="305"/>
        </w:trPr>
        <w:tc>
          <w:tcPr>
            <w:tcW w:w="1592" w:type="dxa"/>
          </w:tcPr>
          <w:p w14:paraId="4474539E" w14:textId="5B6E05EB" w:rsidR="00A91122" w:rsidRPr="009D52D0" w:rsidRDefault="001C10EF" w:rsidP="00F51CEB">
            <w:pPr>
              <w:pStyle w:val="Tabledivuseonly"/>
              <w:spacing w:before="60" w:after="60"/>
            </w:pPr>
            <w:r>
              <w:t>01.06.23</w:t>
            </w:r>
          </w:p>
        </w:tc>
        <w:tc>
          <w:tcPr>
            <w:tcW w:w="1817" w:type="dxa"/>
          </w:tcPr>
          <w:p w14:paraId="3DB8B056" w14:textId="0CA4BADA" w:rsidR="00A91122" w:rsidRPr="009D52D0" w:rsidRDefault="001C10EF" w:rsidP="00F51CEB">
            <w:pPr>
              <w:pStyle w:val="Tabledivuseonly"/>
              <w:spacing w:before="60" w:after="60"/>
            </w:pPr>
            <w:r>
              <w:t>Major</w:t>
            </w:r>
          </w:p>
        </w:tc>
        <w:tc>
          <w:tcPr>
            <w:tcW w:w="2256" w:type="dxa"/>
          </w:tcPr>
          <w:p w14:paraId="7151A835" w14:textId="6E35F6F8" w:rsidR="00A91122" w:rsidRPr="009D52D0" w:rsidRDefault="00A91122" w:rsidP="00F51CEB">
            <w:pPr>
              <w:pStyle w:val="Tabledivuseonly"/>
              <w:spacing w:before="60" w:after="60"/>
            </w:pPr>
            <w:r w:rsidRPr="00D941C0">
              <w:t>Sept 2014</w:t>
            </w:r>
          </w:p>
        </w:tc>
        <w:tc>
          <w:tcPr>
            <w:tcW w:w="2077" w:type="dxa"/>
          </w:tcPr>
          <w:p w14:paraId="64AEF8B4" w14:textId="20F3741B" w:rsidR="00A91122" w:rsidRPr="009D52D0" w:rsidRDefault="001C10EF" w:rsidP="00F51CEB">
            <w:pPr>
              <w:pStyle w:val="Tabledivuseonly"/>
              <w:spacing w:before="60" w:after="60"/>
            </w:pPr>
            <w:r>
              <w:t>1,7,8,9,10,14</w:t>
            </w:r>
          </w:p>
        </w:tc>
        <w:tc>
          <w:tcPr>
            <w:tcW w:w="2034" w:type="dxa"/>
          </w:tcPr>
          <w:p w14:paraId="2788108C" w14:textId="42936896" w:rsidR="00A91122" w:rsidRPr="009D52D0" w:rsidRDefault="001C10EF" w:rsidP="00F51CEB">
            <w:pPr>
              <w:pStyle w:val="Tabledivuseonly"/>
              <w:spacing w:before="60" w:after="60"/>
            </w:pPr>
            <w:r>
              <w:t>Yes (sent to CASC June 23)</w:t>
            </w:r>
          </w:p>
        </w:tc>
      </w:tr>
      <w:tr w:rsidR="00A91122" w:rsidRPr="009D52D0" w14:paraId="1EAC1207" w14:textId="77777777" w:rsidTr="00F51CEB">
        <w:trPr>
          <w:trHeight w:val="305"/>
        </w:trPr>
        <w:tc>
          <w:tcPr>
            <w:tcW w:w="1592" w:type="dxa"/>
          </w:tcPr>
          <w:p w14:paraId="6535CABF" w14:textId="7ABF3590" w:rsidR="00A91122" w:rsidRPr="009D52D0" w:rsidRDefault="00F51CEB" w:rsidP="00F51CEB">
            <w:pPr>
              <w:pStyle w:val="Tabledivuseonly"/>
              <w:spacing w:before="60" w:after="60"/>
            </w:pPr>
            <w:r>
              <w:t>13.11.22</w:t>
            </w:r>
          </w:p>
        </w:tc>
        <w:tc>
          <w:tcPr>
            <w:tcW w:w="1817" w:type="dxa"/>
          </w:tcPr>
          <w:p w14:paraId="5BAFF0BB" w14:textId="4F98C2E0" w:rsidR="00A91122" w:rsidRPr="009D52D0" w:rsidRDefault="00F51CEB" w:rsidP="00F51CEB">
            <w:pPr>
              <w:pStyle w:val="Tabledivuseonly"/>
              <w:spacing w:before="60" w:after="60"/>
            </w:pPr>
            <w:r>
              <w:t>Minor</w:t>
            </w:r>
          </w:p>
        </w:tc>
        <w:tc>
          <w:tcPr>
            <w:tcW w:w="2256" w:type="dxa"/>
          </w:tcPr>
          <w:p w14:paraId="07B30CA1" w14:textId="2A512953" w:rsidR="00A91122" w:rsidRPr="009D52D0" w:rsidRDefault="00F51CEB" w:rsidP="00F51CEB">
            <w:pPr>
              <w:pStyle w:val="Tabledivuseonly"/>
              <w:spacing w:before="60" w:after="60"/>
            </w:pPr>
            <w:r>
              <w:t>Sept 2023</w:t>
            </w:r>
          </w:p>
        </w:tc>
        <w:tc>
          <w:tcPr>
            <w:tcW w:w="2077" w:type="dxa"/>
          </w:tcPr>
          <w:p w14:paraId="7AF83608" w14:textId="6F9C1140" w:rsidR="00A91122" w:rsidRPr="009D52D0" w:rsidRDefault="00F51CEB" w:rsidP="00F51CEB">
            <w:pPr>
              <w:pStyle w:val="Tabledivuseonly"/>
              <w:spacing w:before="60" w:after="60"/>
            </w:pPr>
            <w:r>
              <w:t>7, 14</w:t>
            </w:r>
          </w:p>
        </w:tc>
        <w:tc>
          <w:tcPr>
            <w:tcW w:w="2034" w:type="dxa"/>
          </w:tcPr>
          <w:p w14:paraId="1F3DBDEE" w14:textId="5227721A" w:rsidR="00A91122" w:rsidRPr="009D52D0" w:rsidRDefault="00F51CEB" w:rsidP="00F51CEB">
            <w:pPr>
              <w:pStyle w:val="Tabledivuseonly"/>
              <w:spacing w:before="60" w:after="60"/>
            </w:pPr>
            <w:r>
              <w:t>No</w:t>
            </w:r>
          </w:p>
        </w:tc>
      </w:tr>
      <w:bookmarkEnd w:id="14"/>
    </w:tbl>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BD33AE">
      <w:headerReference w:type="default" r:id="rId11"/>
      <w:footerReference w:type="default" r:id="rId12"/>
      <w:headerReference w:type="first" r:id="rId13"/>
      <w:footerReference w:type="first" r:id="rId14"/>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21D3" w14:textId="77777777" w:rsidR="00157467" w:rsidRDefault="00157467" w:rsidP="009A2D37">
      <w:pPr>
        <w:spacing w:after="0" w:line="240" w:lineRule="auto"/>
      </w:pPr>
      <w:r>
        <w:separator/>
      </w:r>
    </w:p>
  </w:endnote>
  <w:endnote w:type="continuationSeparator" w:id="0">
    <w:p w14:paraId="3E4006CF" w14:textId="77777777" w:rsidR="00157467" w:rsidRDefault="00157467" w:rsidP="009A2D37">
      <w:pPr>
        <w:spacing w:after="0" w:line="240" w:lineRule="auto"/>
      </w:pPr>
      <w:r>
        <w:continuationSeparator/>
      </w:r>
    </w:p>
  </w:endnote>
  <w:endnote w:type="continuationNotice" w:id="1">
    <w:p w14:paraId="1D2F7A45" w14:textId="77777777" w:rsidR="00157467" w:rsidRDefault="00157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622912B9" w:rsidR="004455F2" w:rsidRDefault="004455F2" w:rsidP="00BD33AE">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3E5B2543"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BD33AE" w:rsidRPr="00BD33AE">
      <w:rPr>
        <w:rFonts w:ascii="Arial" w:hAnsi="Arial"/>
        <w:sz w:val="18"/>
      </w:rPr>
      <w:t>POLI8320 Conflict Resolution in World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7D09EC"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9744" w14:textId="77777777" w:rsidR="00157467" w:rsidRDefault="00157467" w:rsidP="009A2D37">
      <w:pPr>
        <w:spacing w:after="0" w:line="240" w:lineRule="auto"/>
      </w:pPr>
      <w:r>
        <w:separator/>
      </w:r>
    </w:p>
  </w:footnote>
  <w:footnote w:type="continuationSeparator" w:id="0">
    <w:p w14:paraId="18805072" w14:textId="77777777" w:rsidR="00157467" w:rsidRDefault="00157467" w:rsidP="009A2D37">
      <w:pPr>
        <w:spacing w:after="0" w:line="240" w:lineRule="auto"/>
      </w:pPr>
      <w:r>
        <w:continuationSeparator/>
      </w:r>
    </w:p>
  </w:footnote>
  <w:footnote w:type="continuationNotice" w:id="1">
    <w:p w14:paraId="0ACF99DD" w14:textId="77777777" w:rsidR="00157467" w:rsidRDefault="00157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18D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BEE1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8772999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50CFCC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B6E8DA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5C2119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DDC157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5776"/>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467"/>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0EF"/>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A9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0012"/>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913"/>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9EC"/>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5EF"/>
    <w:rsid w:val="009F058B"/>
    <w:rsid w:val="009F12D8"/>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39CA"/>
    <w:rsid w:val="00A53B58"/>
    <w:rsid w:val="00A618E1"/>
    <w:rsid w:val="00A629B9"/>
    <w:rsid w:val="00A70C20"/>
    <w:rsid w:val="00A74292"/>
    <w:rsid w:val="00A776DE"/>
    <w:rsid w:val="00A80640"/>
    <w:rsid w:val="00A87FFD"/>
    <w:rsid w:val="00A91122"/>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3AE"/>
    <w:rsid w:val="00BD7016"/>
    <w:rsid w:val="00BD7A8C"/>
    <w:rsid w:val="00BE1AA2"/>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43783"/>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6C6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1CE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D33AE"/>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D33AE"/>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9D65E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134C11-4669-4797-A415-9D5CDFAFE340}"/>
</file>

<file path=customXml/itemProps2.xml><?xml version="1.0" encoding="utf-8"?>
<ds:datastoreItem xmlns:ds="http://schemas.openxmlformats.org/officeDocument/2006/customXml" ds:itemID="{ADB3B000-F61F-403F-98D8-4E3B198F26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48489C37-AC88-4349-B2D4-B29F27204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2023-06-02T14:01:00Z</dcterms:created>
  <dcterms:modified xsi:type="dcterms:W3CDTF">2023-06-02T14:01:00Z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