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122053">
      <w:pPr>
        <w:pStyle w:val="Heading2"/>
        <w:spacing w:before="0"/>
      </w:pPr>
      <w:r>
        <w:t>KentVision Code and t</w:t>
      </w:r>
      <w:r w:rsidR="009A2D37" w:rsidRPr="00072357">
        <w:t>itle of the module</w:t>
      </w:r>
    </w:p>
    <w:p w14:paraId="4AE52586" w14:textId="0BA24E88" w:rsidR="009A2D37" w:rsidRPr="00694B52" w:rsidRDefault="00642C7C" w:rsidP="00122053">
      <w:pPr>
        <w:pStyle w:val="BodyText"/>
      </w:pPr>
      <w:r>
        <w:t>POLI6870 Political Research and Analysis</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537B97B5" w:rsidR="009A2D37" w:rsidRDefault="00986BE6" w:rsidP="00122053">
      <w:pPr>
        <w:pStyle w:val="BodyText"/>
      </w:pPr>
      <w:r>
        <w:t xml:space="preserve">Division of </w:t>
      </w:r>
      <w:r w:rsidR="00642C7C">
        <w:t>H</w:t>
      </w:r>
      <w:r>
        <w:t xml:space="preserve">uman and </w:t>
      </w:r>
      <w:r w:rsidR="00642C7C">
        <w:t>S</w:t>
      </w:r>
      <w:r>
        <w:t xml:space="preserve">ocial </w:t>
      </w:r>
      <w:r w:rsidR="00642C7C">
        <w:t>S</w:t>
      </w:r>
      <w:r>
        <w:t>ciences, School of</w:t>
      </w:r>
      <w:r w:rsidR="00642C7C">
        <w:t xml:space="preserve">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6981AE53" w:rsidR="009A2D37" w:rsidRDefault="00986BE6" w:rsidP="00122053">
      <w:pPr>
        <w:pStyle w:val="BodyText"/>
      </w:pPr>
      <w:r>
        <w:t xml:space="preserve">Level </w:t>
      </w:r>
      <w:r w:rsidR="009C2B89" w:rsidRPr="417EC1B6">
        <w:t>5</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7FF22DA0" w:rsidR="009A2D37" w:rsidRDefault="009C2B89" w:rsidP="00122053">
      <w:pPr>
        <w:pStyle w:val="BodyText"/>
      </w:pPr>
      <w:r>
        <w:t xml:space="preserve">30 credits </w:t>
      </w:r>
      <w:r w:rsidR="00986BE6">
        <w:t>(</w:t>
      </w:r>
      <w:r>
        <w:t>15 ECTS</w:t>
      </w:r>
      <w:r w:rsidR="00986BE6">
        <w:t>)</w:t>
      </w:r>
    </w:p>
    <w:p w14:paraId="0A7DD2EB" w14:textId="77777777" w:rsidR="009A2D37" w:rsidRPr="009D52D0" w:rsidRDefault="009A2D37" w:rsidP="00072357">
      <w:pPr>
        <w:pStyle w:val="Heading2"/>
      </w:pPr>
      <w:r w:rsidRPr="009D52D0">
        <w:t>Which term(s) the module is to be taught in (or other teaching pattern)</w:t>
      </w:r>
    </w:p>
    <w:p w14:paraId="1811487B" w14:textId="0681D592" w:rsidR="009A2D37" w:rsidRDefault="00986BE6" w:rsidP="00122053">
      <w:pPr>
        <w:pStyle w:val="BodyText"/>
      </w:pPr>
      <w:r>
        <w:t xml:space="preserve">Combined </w:t>
      </w:r>
      <w:r w:rsidR="00EA629D">
        <w:t xml:space="preserve">Autumn and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C1E0F6" w14:textId="08CD42FF" w:rsidR="009A2D37" w:rsidRDefault="00EA629D" w:rsidP="00122053">
      <w:pPr>
        <w:pStyle w:val="BodyText"/>
        <w:rPr>
          <w:rFonts w:cs="Arial"/>
          <w:iCs/>
          <w:szCs w:val="24"/>
        </w:rPr>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58AF2E69" w14:textId="655A5BA3" w:rsidR="00694B52" w:rsidRPr="00122053" w:rsidRDefault="00E1736E" w:rsidP="00122053">
      <w:pPr>
        <w:pStyle w:val="BodyText"/>
        <w:rPr>
          <w:rFonts w:eastAsia="Arial"/>
          <w:b/>
          <w:bCs/>
          <w:i/>
          <w:iCs/>
          <w:color w:val="000000" w:themeColor="text1"/>
          <w:sz w:val="22"/>
        </w:rPr>
      </w:pPr>
      <w:r w:rsidRPr="00122053">
        <w:rPr>
          <w:b/>
          <w:bCs/>
          <w:i/>
          <w:iCs/>
          <w:sz w:val="22"/>
        </w:rPr>
        <w:t>Compulsory to the following courses:</w:t>
      </w:r>
      <w:r w:rsidR="00EB5F96" w:rsidRPr="00122053">
        <w:rPr>
          <w:b/>
          <w:bCs/>
          <w:i/>
          <w:iCs/>
          <w:sz w:val="22"/>
        </w:rPr>
        <w:t xml:space="preserve"> </w:t>
      </w:r>
    </w:p>
    <w:p w14:paraId="4C799706" w14:textId="77777777" w:rsidR="00EA629D" w:rsidRPr="00694B52" w:rsidRDefault="00EA629D" w:rsidP="00122053">
      <w:pPr>
        <w:pStyle w:val="ListBullet"/>
      </w:pPr>
      <w:r w:rsidRPr="65D2449D">
        <w:t>BA (Hons) Politics and International Relations</w:t>
      </w:r>
    </w:p>
    <w:p w14:paraId="6FA39B3E" w14:textId="77777777" w:rsidR="00EA629D" w:rsidRPr="00694B52" w:rsidRDefault="00EA629D" w:rsidP="00122053">
      <w:pPr>
        <w:pStyle w:val="ListBullet"/>
      </w:pPr>
      <w:r w:rsidRPr="65D2449D">
        <w:t>BA (Hons) Politics and International Relations (Bidiplôme)</w:t>
      </w:r>
    </w:p>
    <w:p w14:paraId="72878019" w14:textId="77777777" w:rsidR="00EA629D" w:rsidRPr="00694B52" w:rsidRDefault="00EA629D" w:rsidP="00122053">
      <w:pPr>
        <w:pStyle w:val="ListBullet"/>
      </w:pPr>
      <w:r w:rsidRPr="65D2449D">
        <w:t>BA (Hons) Politics and International Relations with a Placement Year</w:t>
      </w:r>
    </w:p>
    <w:p w14:paraId="534A328C" w14:textId="77777777" w:rsidR="00EA629D" w:rsidRPr="00694B52" w:rsidRDefault="00EA629D" w:rsidP="00122053">
      <w:pPr>
        <w:pStyle w:val="ListBullet"/>
      </w:pPr>
      <w:r w:rsidRPr="65D2449D">
        <w:t>BA (Hons) Politics and International Relations with a Foundation Year</w:t>
      </w:r>
    </w:p>
    <w:p w14:paraId="6081FB40" w14:textId="77777777" w:rsidR="00EA629D" w:rsidRPr="00694B52" w:rsidRDefault="00EA629D" w:rsidP="00122053">
      <w:pPr>
        <w:pStyle w:val="ListBullet"/>
      </w:pPr>
      <w:r w:rsidRPr="65D2449D">
        <w:t>BA (Hons) Politics and International Relations with a Year in Continental Europe or North America</w:t>
      </w:r>
    </w:p>
    <w:p w14:paraId="7590B0A5" w14:textId="77777777" w:rsidR="00EA629D" w:rsidRPr="00694B52" w:rsidRDefault="00EA629D" w:rsidP="00122053">
      <w:pPr>
        <w:pStyle w:val="ListBullet"/>
      </w:pPr>
      <w:r w:rsidRPr="65D2449D">
        <w:t>BA (Hons) Politics and International Relations with a Language</w:t>
      </w:r>
    </w:p>
    <w:p w14:paraId="4AD5A772" w14:textId="77777777" w:rsidR="00EA629D" w:rsidRPr="00694B52" w:rsidRDefault="00EA629D" w:rsidP="00122053">
      <w:pPr>
        <w:pStyle w:val="ListBullet"/>
      </w:pPr>
      <w:r w:rsidRPr="65D2449D">
        <w:t>BA (Hons) Politics and International Relations with a Year in Asia-Pacific</w:t>
      </w:r>
    </w:p>
    <w:p w14:paraId="0185A3D9" w14:textId="77777777" w:rsidR="00EA629D" w:rsidRPr="00694B52" w:rsidRDefault="00EA629D" w:rsidP="00122053">
      <w:pPr>
        <w:pStyle w:val="ListBullet"/>
      </w:pPr>
      <w:r w:rsidRPr="65D2449D">
        <w:t>BA (Hons) Politics and International Relations with Quantitative Research</w:t>
      </w:r>
    </w:p>
    <w:p w14:paraId="7EEB70BA" w14:textId="77777777" w:rsidR="00EA629D" w:rsidRPr="00694B52" w:rsidRDefault="00EA629D" w:rsidP="00122053">
      <w:pPr>
        <w:pStyle w:val="ListBullet"/>
      </w:pPr>
      <w:r w:rsidRPr="65D2449D">
        <w:t>BA (Hons) Economics and Politics</w:t>
      </w:r>
    </w:p>
    <w:p w14:paraId="295098EB" w14:textId="77777777" w:rsidR="00EA629D" w:rsidRPr="00694B52" w:rsidRDefault="00EA629D" w:rsidP="00122053">
      <w:pPr>
        <w:pStyle w:val="ListBullet"/>
      </w:pPr>
      <w:r w:rsidRPr="65D2449D">
        <w:t>BA (Hons) History and Politics</w:t>
      </w:r>
    </w:p>
    <w:p w14:paraId="14072C71" w14:textId="05FB5FA8" w:rsidR="00EA629D" w:rsidRPr="00694B52" w:rsidRDefault="00EA629D" w:rsidP="00122053">
      <w:pPr>
        <w:pStyle w:val="ListBullet"/>
      </w:pPr>
      <w:r w:rsidRPr="65D2449D">
        <w:t>BA (Hons) Philosophy and Politics</w:t>
      </w:r>
      <w:r w:rsidR="00FC1760">
        <w:tab/>
      </w:r>
      <w:r w:rsidR="00FC1760">
        <w:tab/>
      </w:r>
    </w:p>
    <w:p w14:paraId="72409FF3" w14:textId="77777777" w:rsidR="00EA629D" w:rsidRPr="00694B52" w:rsidRDefault="00EA629D" w:rsidP="00122053">
      <w:pPr>
        <w:pStyle w:val="ListBullet"/>
      </w:pPr>
      <w:r w:rsidRPr="65D2449D">
        <w:t>BA (Hons) Sociology and Politics</w:t>
      </w:r>
    </w:p>
    <w:p w14:paraId="588D8BDE" w14:textId="77777777" w:rsidR="00EA629D" w:rsidRPr="00694B52" w:rsidRDefault="00EA629D" w:rsidP="00122053">
      <w:pPr>
        <w:pStyle w:val="ListBullet"/>
      </w:pPr>
      <w:r w:rsidRPr="65D2449D">
        <w:t>LLB (Hons) Law and Politics</w:t>
      </w:r>
    </w:p>
    <w:p w14:paraId="493B9FF6" w14:textId="77777777" w:rsidR="00EA629D" w:rsidRPr="00694B52" w:rsidRDefault="00EA629D" w:rsidP="00122053">
      <w:pPr>
        <w:pStyle w:val="BodyText"/>
        <w:spacing w:before="360"/>
        <w:rPr>
          <w:rFonts w:eastAsia="Arial"/>
          <w:color w:val="000000" w:themeColor="text1"/>
        </w:rPr>
      </w:pPr>
      <w:r w:rsidRPr="65D2449D">
        <w:rPr>
          <w:rFonts w:eastAsia="Arial"/>
          <w:color w:val="000000" w:themeColor="text1"/>
        </w:rPr>
        <w:lastRenderedPageBreak/>
        <w:t>Also available as an elective module</w:t>
      </w:r>
    </w:p>
    <w:p w14:paraId="3839F6AB" w14:textId="54EDCA8E" w:rsidR="009A2D37"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426EC603" w14:textId="3B65FDCA" w:rsidR="00EA629D" w:rsidRPr="00082D62" w:rsidRDefault="00122053" w:rsidP="00122053">
      <w:pPr>
        <w:pStyle w:val="ListNumber2"/>
        <w:ind w:left="1134" w:hanging="567"/>
        <w:rPr>
          <w:b/>
          <w:lang w:eastAsia="en-US"/>
        </w:rPr>
      </w:pPr>
      <w:r>
        <w:rPr>
          <w:lang w:eastAsia="en-US"/>
        </w:rPr>
        <w:t>8.1</w:t>
      </w:r>
      <w:r>
        <w:rPr>
          <w:lang w:eastAsia="en-US"/>
        </w:rPr>
        <w:tab/>
        <w:t>U</w:t>
      </w:r>
      <w:r w:rsidR="00EA629D" w:rsidRPr="00082D62">
        <w:rPr>
          <w:lang w:eastAsia="en-US"/>
        </w:rPr>
        <w:t>nderstand the importance of quantitative and qualitative research methods for the cumulative growth of knowledge in the political and social sciences</w:t>
      </w:r>
    </w:p>
    <w:p w14:paraId="2EAF28A6" w14:textId="52C5F5A4" w:rsidR="00EA629D" w:rsidRPr="00082D62" w:rsidRDefault="006E7F74" w:rsidP="00122053">
      <w:pPr>
        <w:pStyle w:val="ListNumber2"/>
        <w:ind w:left="1134" w:hanging="567"/>
        <w:rPr>
          <w:b/>
        </w:rPr>
      </w:pPr>
      <w:r>
        <w:t xml:space="preserve"> </w:t>
      </w:r>
      <w:r w:rsidR="00122053">
        <w:t>8.2</w:t>
      </w:r>
      <w:r w:rsidR="00122053">
        <w:tab/>
        <w:t>U</w:t>
      </w:r>
      <w:r w:rsidR="00EA629D" w:rsidRPr="00082D62">
        <w:t>nderstand the basic logic of the empirical research process</w:t>
      </w:r>
    </w:p>
    <w:p w14:paraId="10B72DB1" w14:textId="0F6D6474" w:rsidR="00EA629D" w:rsidRPr="00082D62" w:rsidRDefault="006E7F74" w:rsidP="00122053">
      <w:pPr>
        <w:pStyle w:val="ListNumber2"/>
        <w:ind w:left="1134" w:hanging="567"/>
        <w:rPr>
          <w:b/>
        </w:rPr>
      </w:pPr>
      <w:r>
        <w:t xml:space="preserve"> </w:t>
      </w:r>
      <w:r w:rsidR="00122053">
        <w:t>8.3</w:t>
      </w:r>
      <w:r w:rsidR="00122053">
        <w:tab/>
        <w:t>B</w:t>
      </w:r>
      <w:r w:rsidR="00EA629D" w:rsidRPr="00082D62">
        <w:t>e familiar with key methodological and statistical concepts relevant to quantitative and qualitative data analysis</w:t>
      </w:r>
    </w:p>
    <w:p w14:paraId="5E609A6B" w14:textId="6B853A6D" w:rsidR="00EA629D" w:rsidRPr="00082D62" w:rsidRDefault="00122053" w:rsidP="00122053">
      <w:pPr>
        <w:pStyle w:val="ListNumber2"/>
        <w:ind w:left="1134" w:hanging="567"/>
        <w:rPr>
          <w:b/>
        </w:rPr>
      </w:pPr>
      <w:r>
        <w:t>8.4</w:t>
      </w:r>
      <w:r>
        <w:tab/>
        <w:t>H</w:t>
      </w:r>
      <w:r w:rsidR="00EA629D" w:rsidRPr="00082D62">
        <w:t>ave improved their ability to critically evaluate arguments supported by quantitative and qualitative work</w:t>
      </w:r>
    </w:p>
    <w:p w14:paraId="3B10E0C6" w14:textId="711F50B8" w:rsidR="00EA629D" w:rsidRPr="00082D62" w:rsidRDefault="00122053" w:rsidP="00122053">
      <w:pPr>
        <w:pStyle w:val="ListNumber2"/>
        <w:ind w:left="1134" w:hanging="567"/>
        <w:rPr>
          <w:b/>
        </w:rPr>
      </w:pPr>
      <w:r>
        <w:t>8.5</w:t>
      </w:r>
      <w:r>
        <w:tab/>
        <w:t>S</w:t>
      </w:r>
      <w:r w:rsidR="00EA629D" w:rsidRPr="00082D62">
        <w:t>elect and evaluate methodological approaches appropriate to explore substantive research questions in the fields of politics and international relations</w:t>
      </w:r>
    </w:p>
    <w:p w14:paraId="118BE6F9" w14:textId="59689D0D" w:rsidR="00EA629D" w:rsidRPr="00082D62" w:rsidRDefault="00122053" w:rsidP="00122053">
      <w:pPr>
        <w:pStyle w:val="ListNumber2"/>
        <w:ind w:left="1134" w:hanging="567"/>
        <w:rPr>
          <w:b/>
        </w:rPr>
      </w:pPr>
      <w:r>
        <w:t>8.6</w:t>
      </w:r>
      <w:r>
        <w:tab/>
        <w:t>H</w:t>
      </w:r>
      <w:r w:rsidR="00EA629D" w:rsidRPr="00082D62">
        <w:t>ave developed a basic ability to enter, code, manipulate, and examine data sets with R</w:t>
      </w:r>
    </w:p>
    <w:p w14:paraId="3F28862B" w14:textId="355235EA" w:rsidR="00EA629D" w:rsidRPr="00082D62" w:rsidRDefault="00122053" w:rsidP="00122053">
      <w:pPr>
        <w:pStyle w:val="ListNumber2"/>
        <w:ind w:left="1134" w:hanging="567"/>
        <w:rPr>
          <w:b/>
        </w:rPr>
      </w:pPr>
      <w:r>
        <w:t>8.7</w:t>
      </w:r>
      <w:r>
        <w:tab/>
        <w:t>F</w:t>
      </w:r>
      <w:r w:rsidR="00EA629D" w:rsidRPr="00082D62">
        <w:t xml:space="preserve">ormulate and test simple hypotheses using both a quantitative (bivariate and multivariate designs), </w:t>
      </w:r>
      <w:r w:rsidR="00EA629D">
        <w:t>and understand interpretive and normative approaches in qualitative research</w:t>
      </w:r>
      <w:r>
        <w:t>.</w:t>
      </w:r>
    </w:p>
    <w:p w14:paraId="035A14B0" w14:textId="6F5DD131" w:rsidR="00C729D7"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6A457213" w14:textId="5175D859" w:rsidR="0031643E" w:rsidRPr="0031643E" w:rsidRDefault="0031643E" w:rsidP="00122053">
      <w:pPr>
        <w:pStyle w:val="ListNumber2"/>
        <w:ind w:left="1134" w:hanging="567"/>
      </w:pPr>
      <w:r w:rsidRPr="0031643E">
        <w:t>9.1</w:t>
      </w:r>
      <w:r w:rsidR="00122053">
        <w:tab/>
        <w:t>G</w:t>
      </w:r>
      <w:r w:rsidR="00375FDF" w:rsidRPr="00375FDF">
        <w:t>ather, organize and deploy evidence, data and information from a variety of secondary and some primary sources</w:t>
      </w:r>
    </w:p>
    <w:p w14:paraId="71D55599" w14:textId="30F9B80F" w:rsidR="0031643E" w:rsidRPr="0031643E" w:rsidRDefault="0031643E" w:rsidP="00122053">
      <w:pPr>
        <w:pStyle w:val="ListNumber2"/>
        <w:ind w:left="1134" w:hanging="567"/>
      </w:pPr>
      <w:r w:rsidRPr="0031643E">
        <w:t>9.2</w:t>
      </w:r>
      <w:r w:rsidR="00122053">
        <w:tab/>
        <w:t>P</w:t>
      </w:r>
      <w:r w:rsidR="00375FDF" w:rsidRPr="00375FDF">
        <w:t>lan reasoned arguments, and understand what relevant information is needed to exercise critical judgement</w:t>
      </w:r>
    </w:p>
    <w:p w14:paraId="4335A9CF" w14:textId="41C7B310" w:rsidR="0031643E" w:rsidRPr="0031643E" w:rsidRDefault="0031643E" w:rsidP="00122053">
      <w:pPr>
        <w:pStyle w:val="ListNumber2"/>
        <w:ind w:left="1134" w:hanging="567"/>
      </w:pPr>
      <w:r w:rsidRPr="0031643E">
        <w:t>9.3</w:t>
      </w:r>
      <w:r w:rsidR="00122053">
        <w:tab/>
        <w:t>D</w:t>
      </w:r>
      <w:r w:rsidRPr="0031643E">
        <w:t>escribe, evaluate and apply different approaches involved in collecting, analysing and presenting information</w:t>
      </w:r>
    </w:p>
    <w:p w14:paraId="1B2E4719" w14:textId="7E72159D" w:rsidR="0031643E" w:rsidRPr="0031643E" w:rsidRDefault="0031643E" w:rsidP="00122053">
      <w:pPr>
        <w:pStyle w:val="ListNumber2"/>
        <w:ind w:left="1134" w:hanging="567"/>
      </w:pPr>
      <w:r w:rsidRPr="0031643E">
        <w:t>9.4</w:t>
      </w:r>
      <w:r w:rsidR="00122053">
        <w:tab/>
        <w:t>D</w:t>
      </w:r>
      <w:r w:rsidRPr="0031643E">
        <w:t>evelop reasoned arguments, synthesise relevant information and exercise critical judgement</w:t>
      </w:r>
    </w:p>
    <w:p w14:paraId="708092AD" w14:textId="7716D63C" w:rsidR="0031643E" w:rsidRPr="0031643E" w:rsidRDefault="0031643E" w:rsidP="00122053">
      <w:pPr>
        <w:pStyle w:val="ListNumber2"/>
        <w:ind w:left="1134" w:hanging="567"/>
      </w:pPr>
      <w:r w:rsidRPr="0031643E">
        <w:t>9.5</w:t>
      </w:r>
      <w:r w:rsidR="00122053">
        <w:tab/>
        <w:t>U</w:t>
      </w:r>
      <w:r w:rsidRPr="0031643E">
        <w:t>se information and communication technology for bibliographical searches, data acquisition, data analysis and presentation</w:t>
      </w:r>
      <w:r w:rsidR="00D1240A">
        <w:t>.</w:t>
      </w:r>
    </w:p>
    <w:p w14:paraId="73386C6A" w14:textId="77777777" w:rsidR="009A2D37" w:rsidRPr="009D52D0" w:rsidRDefault="009A2D37" w:rsidP="00072357">
      <w:pPr>
        <w:pStyle w:val="Heading2"/>
      </w:pPr>
      <w:r w:rsidRPr="009D52D0">
        <w:t>A synopsis of the curriculum</w:t>
      </w:r>
    </w:p>
    <w:p w14:paraId="2445EA4D" w14:textId="0CB9C0F8" w:rsidR="00EA629D" w:rsidRDefault="00EA629D" w:rsidP="00122053">
      <w:pPr>
        <w:pStyle w:val="BodyText"/>
      </w:pPr>
      <w:r>
        <w:t xml:space="preserve">Research methods are – together with theoretical frameworks and empirical material – one of the three main pillars of the study of politics and international relations. Politics and international relations are methodologically very diverse and apply a number of different approaches that can be summarised under the quantitative and qualitative research methodologies. The module provides a basic introduction to the use of these methods for students from a variety of educational backgrounds </w:t>
      </w:r>
      <w:r w:rsidRPr="00614EDB">
        <w:t>(</w:t>
      </w:r>
      <w:r>
        <w:t xml:space="preserve">no statistical knowledge is necessary). The module aims to enable students to read, interpret and critically assess arguments and data drawing on quantitative and qualitative methods in political science and international relations. Students will be introduced to the logic of empirical research in the social sciences, to basic concepts and techniques of descriptive and inferential </w:t>
      </w:r>
      <w:proofErr w:type="spellStart"/>
      <w:r>
        <w:t>uni</w:t>
      </w:r>
      <w:proofErr w:type="spellEnd"/>
      <w:r>
        <w:t>-</w:t>
      </w:r>
      <w:r w:rsidR="00122053">
        <w:t>,</w:t>
      </w:r>
      <w:r>
        <w:t xml:space="preserve"> bi- and multivariate statistics, as well as qualitative comparative studies and interpretive approaches. Students will be able to apply their methods skills to empirical evidence commonly found in policy and academic work.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122053">
      <w:pPr>
        <w:pStyle w:val="BodyText"/>
        <w:rPr>
          <w:b/>
        </w:rPr>
      </w:pPr>
      <w:r w:rsidRPr="00636058">
        <w:t xml:space="preserve">The University is committed to ensuring that core reading materials are in accessible electronic format in line with the Kent Inclusive Practices. </w:t>
      </w:r>
    </w:p>
    <w:p w14:paraId="6A052CDF" w14:textId="6ED09C37" w:rsidR="00636058" w:rsidRDefault="00636058" w:rsidP="00122053">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w:t>
      </w:r>
      <w:r w:rsidR="00383499">
        <w:t xml:space="preserve"> </w:t>
      </w:r>
      <w:r w:rsidRPr="00636058">
        <w:t xml:space="preserve"> </w:t>
      </w:r>
    </w:p>
    <w:p w14:paraId="715A2291" w14:textId="15D7BD54" w:rsidR="00883204" w:rsidRDefault="00636058" w:rsidP="00072357">
      <w:pPr>
        <w:pStyle w:val="Heading2"/>
      </w:pPr>
      <w:r>
        <w:t>Contact Hours</w:t>
      </w:r>
    </w:p>
    <w:p w14:paraId="1086FCCF" w14:textId="429D479C" w:rsidR="00636058" w:rsidRPr="00636058" w:rsidRDefault="00636058" w:rsidP="00122053">
      <w:pPr>
        <w:pStyle w:val="BodyText"/>
      </w:pPr>
      <w:r w:rsidRPr="00636058">
        <w:t>Private Study</w:t>
      </w:r>
      <w:r w:rsidR="007A3F31">
        <w:t>:</w:t>
      </w:r>
      <w:r w:rsidR="00122053">
        <w:tab/>
      </w:r>
      <w:r w:rsidR="00091529">
        <w:t>2</w:t>
      </w:r>
      <w:r w:rsidR="007505FB">
        <w:t>56</w:t>
      </w:r>
    </w:p>
    <w:p w14:paraId="3BE5E6D9" w14:textId="26D10091" w:rsidR="00636058" w:rsidRPr="00636058" w:rsidRDefault="00636058" w:rsidP="00122053">
      <w:pPr>
        <w:pStyle w:val="BodyText"/>
      </w:pPr>
      <w:r w:rsidRPr="00636058">
        <w:t>Contact Hours</w:t>
      </w:r>
      <w:r w:rsidR="007A3F31">
        <w:t>:</w:t>
      </w:r>
      <w:r w:rsidR="00122053">
        <w:t xml:space="preserve"> </w:t>
      </w:r>
      <w:r w:rsidR="002565B4">
        <w:t xml:space="preserve"> </w:t>
      </w:r>
      <w:r w:rsidR="007505FB">
        <w:t>44</w:t>
      </w:r>
    </w:p>
    <w:p w14:paraId="260000FF" w14:textId="5E994AF2" w:rsidR="00636058" w:rsidRPr="00636058" w:rsidRDefault="00636058" w:rsidP="00122053">
      <w:pPr>
        <w:pStyle w:val="BodyText"/>
      </w:pPr>
      <w:r w:rsidRPr="00636058">
        <w:t>Total</w:t>
      </w:r>
      <w:r w:rsidR="007A3F31">
        <w:t>:</w:t>
      </w:r>
      <w:r w:rsidR="007505FB">
        <w:t xml:space="preserve"> </w:t>
      </w:r>
      <w:r w:rsidR="00122053">
        <w:tab/>
      </w:r>
      <w:r w:rsidR="00122053">
        <w:tab/>
      </w:r>
      <w:r w:rsidR="00091529">
        <w:t>3</w:t>
      </w:r>
      <w:r w:rsidR="00E32667">
        <w:t>00</w:t>
      </w:r>
    </w:p>
    <w:p w14:paraId="1C49B47B" w14:textId="77777777" w:rsidR="00B2615D" w:rsidRPr="00B2615D" w:rsidRDefault="00EF4933" w:rsidP="00072357">
      <w:pPr>
        <w:pStyle w:val="Heading2"/>
        <w:rPr>
          <w:i/>
          <w:iCs/>
        </w:rPr>
      </w:pPr>
      <w:r w:rsidRPr="009D52D0">
        <w:t>Assessment methods</w:t>
      </w:r>
    </w:p>
    <w:p w14:paraId="57AC6926" w14:textId="6E21DB34" w:rsidR="00EA629D" w:rsidRPr="00EA629D" w:rsidRDefault="00696FF5" w:rsidP="00122053">
      <w:pPr>
        <w:pStyle w:val="header2"/>
        <w:numPr>
          <w:ilvl w:val="1"/>
          <w:numId w:val="11"/>
        </w:numPr>
        <w:spacing w:before="0"/>
        <w:ind w:left="567" w:hanging="567"/>
        <w:rPr>
          <w:b w:val="0"/>
          <w:bCs/>
          <w:i/>
          <w:iCs/>
        </w:rPr>
      </w:pPr>
      <w:r w:rsidRPr="00B2615D">
        <w:rPr>
          <w:b w:val="0"/>
          <w:bCs/>
          <w:iCs/>
        </w:rPr>
        <w:t>Main assessment methods</w:t>
      </w:r>
    </w:p>
    <w:p w14:paraId="2A51AF5B" w14:textId="51E2F563" w:rsidR="00EA629D" w:rsidRPr="00122053" w:rsidRDefault="00EA629D" w:rsidP="00122053">
      <w:pPr>
        <w:pStyle w:val="BodyText"/>
        <w:rPr>
          <w:szCs w:val="24"/>
        </w:rPr>
      </w:pPr>
      <w:r w:rsidRPr="00122053">
        <w:rPr>
          <w:szCs w:val="24"/>
        </w:rPr>
        <w:t>3 Moodle quizzes (3x5%)</w:t>
      </w:r>
      <w:r w:rsidR="0007302A">
        <w:rPr>
          <w:szCs w:val="24"/>
        </w:rPr>
        <w:tab/>
      </w:r>
      <w:r w:rsidR="0007302A">
        <w:rPr>
          <w:szCs w:val="24"/>
        </w:rPr>
        <w:tab/>
      </w:r>
      <w:r w:rsidRPr="00122053">
        <w:rPr>
          <w:szCs w:val="24"/>
        </w:rPr>
        <w:t>15%</w:t>
      </w:r>
    </w:p>
    <w:p w14:paraId="1AC0F85F" w14:textId="0E050BD0" w:rsidR="00EA629D" w:rsidRPr="00122053" w:rsidRDefault="00EA629D" w:rsidP="00122053">
      <w:pPr>
        <w:pStyle w:val="BodyText"/>
        <w:rPr>
          <w:szCs w:val="24"/>
        </w:rPr>
      </w:pPr>
      <w:r w:rsidRPr="00122053">
        <w:rPr>
          <w:szCs w:val="24"/>
        </w:rPr>
        <w:t>Presentation</w:t>
      </w:r>
      <w:r w:rsidR="0007302A">
        <w:rPr>
          <w:szCs w:val="24"/>
        </w:rPr>
        <w:tab/>
      </w:r>
      <w:r w:rsidR="0007302A">
        <w:rPr>
          <w:szCs w:val="24"/>
        </w:rPr>
        <w:tab/>
      </w:r>
      <w:r w:rsidR="0007302A">
        <w:rPr>
          <w:szCs w:val="24"/>
        </w:rPr>
        <w:tab/>
      </w:r>
      <w:r w:rsidR="0007302A">
        <w:rPr>
          <w:szCs w:val="24"/>
        </w:rPr>
        <w:tab/>
      </w:r>
      <w:r w:rsidRPr="00122053">
        <w:rPr>
          <w:szCs w:val="24"/>
        </w:rPr>
        <w:t>15%</w:t>
      </w:r>
    </w:p>
    <w:p w14:paraId="780524D5" w14:textId="6FFE76D7" w:rsidR="00EA629D" w:rsidRPr="00122053" w:rsidRDefault="00EA629D" w:rsidP="00122053">
      <w:pPr>
        <w:pStyle w:val="BodyText"/>
        <w:rPr>
          <w:szCs w:val="24"/>
        </w:rPr>
      </w:pPr>
      <w:r w:rsidRPr="00122053">
        <w:rPr>
          <w:szCs w:val="24"/>
        </w:rPr>
        <w:t>Quantitative Project (2,000 words)</w:t>
      </w:r>
      <w:r w:rsidR="0007302A">
        <w:rPr>
          <w:szCs w:val="24"/>
        </w:rPr>
        <w:tab/>
      </w:r>
      <w:r w:rsidRPr="00122053">
        <w:rPr>
          <w:szCs w:val="24"/>
        </w:rPr>
        <w:t>35%</w:t>
      </w:r>
    </w:p>
    <w:p w14:paraId="7862F4CA" w14:textId="06E6E4A4" w:rsidR="00EA629D" w:rsidRPr="00122053" w:rsidRDefault="00EA629D" w:rsidP="00122053">
      <w:pPr>
        <w:pStyle w:val="BodyText"/>
        <w:rPr>
          <w:szCs w:val="24"/>
        </w:rPr>
      </w:pPr>
      <w:r w:rsidRPr="00122053">
        <w:rPr>
          <w:szCs w:val="24"/>
        </w:rPr>
        <w:t>Qualitative Project (2,000 words)</w:t>
      </w:r>
      <w:r w:rsidR="0007302A">
        <w:rPr>
          <w:szCs w:val="24"/>
        </w:rPr>
        <w:tab/>
      </w:r>
      <w:r w:rsidRPr="00122053">
        <w:rPr>
          <w:szCs w:val="24"/>
        </w:rPr>
        <w:t>35%</w:t>
      </w:r>
    </w:p>
    <w:p w14:paraId="74F6DDA3" w14:textId="77777777" w:rsidR="008D4447" w:rsidRPr="008D4447" w:rsidRDefault="008D4447" w:rsidP="00EA629D">
      <w:pPr>
        <w:spacing w:after="120" w:line="240" w:lineRule="auto"/>
        <w:ind w:right="543"/>
        <w:rPr>
          <w:rFonts w:ascii="Arial" w:hAnsi="Arial" w:cs="Arial"/>
          <w:b/>
          <w:iCs/>
          <w:sz w:val="24"/>
          <w:szCs w:val="24"/>
        </w:rPr>
      </w:pPr>
    </w:p>
    <w:p w14:paraId="3DA1BBE3" w14:textId="775F3780"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6C27D605" w:rsidR="00B72470" w:rsidRDefault="008142FF" w:rsidP="00122053">
      <w:pPr>
        <w:pStyle w:val="BodyText"/>
      </w:pPr>
      <w:r>
        <w:t>100% coursework</w:t>
      </w:r>
    </w:p>
    <w:p w14:paraId="2FCD427F" w14:textId="795693E7"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07302A">
      <w:pPr>
        <w:spacing w:before="240" w:after="24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9810"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7FD8" w:rsidRPr="009D52D0" w14:paraId="5413EC92" w14:textId="1CE171CA" w:rsidTr="008468D9">
        <w:trPr>
          <w:cantSplit/>
          <w:tblHeader/>
        </w:trPr>
        <w:tc>
          <w:tcPr>
            <w:tcW w:w="2439" w:type="dxa"/>
            <w:shd w:val="clear" w:color="auto" w:fill="D9D9D9" w:themeFill="background1" w:themeFillShade="D9"/>
          </w:tcPr>
          <w:p w14:paraId="140365DD" w14:textId="77777777" w:rsidR="00A07FD8" w:rsidRPr="009D52D0" w:rsidRDefault="00A07FD8" w:rsidP="0007302A">
            <w:pPr>
              <w:spacing w:before="60" w:after="6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8.1</w:t>
            </w:r>
          </w:p>
        </w:tc>
        <w:tc>
          <w:tcPr>
            <w:tcW w:w="567" w:type="dxa"/>
          </w:tcPr>
          <w:p w14:paraId="5B554168"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8.2</w:t>
            </w:r>
          </w:p>
        </w:tc>
        <w:tc>
          <w:tcPr>
            <w:tcW w:w="567" w:type="dxa"/>
          </w:tcPr>
          <w:p w14:paraId="70BB1C5A"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8.3</w:t>
            </w:r>
          </w:p>
        </w:tc>
        <w:tc>
          <w:tcPr>
            <w:tcW w:w="567" w:type="dxa"/>
          </w:tcPr>
          <w:p w14:paraId="553BA646"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8.4</w:t>
            </w:r>
          </w:p>
        </w:tc>
        <w:tc>
          <w:tcPr>
            <w:tcW w:w="567" w:type="dxa"/>
          </w:tcPr>
          <w:p w14:paraId="6C66B5C0"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8.5</w:t>
            </w:r>
          </w:p>
        </w:tc>
        <w:tc>
          <w:tcPr>
            <w:tcW w:w="567" w:type="dxa"/>
          </w:tcPr>
          <w:p w14:paraId="2DC348E3" w14:textId="635F47A5"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8.6</w:t>
            </w:r>
          </w:p>
        </w:tc>
        <w:tc>
          <w:tcPr>
            <w:tcW w:w="567" w:type="dxa"/>
          </w:tcPr>
          <w:p w14:paraId="488801A9" w14:textId="660A4038"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8.7</w:t>
            </w:r>
          </w:p>
        </w:tc>
        <w:tc>
          <w:tcPr>
            <w:tcW w:w="567" w:type="dxa"/>
          </w:tcPr>
          <w:p w14:paraId="3B577D4A" w14:textId="3F58B0EB"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9.1</w:t>
            </w:r>
          </w:p>
        </w:tc>
        <w:tc>
          <w:tcPr>
            <w:tcW w:w="567" w:type="dxa"/>
          </w:tcPr>
          <w:p w14:paraId="266E4126"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9.2</w:t>
            </w:r>
          </w:p>
        </w:tc>
        <w:tc>
          <w:tcPr>
            <w:tcW w:w="567" w:type="dxa"/>
          </w:tcPr>
          <w:p w14:paraId="6EC60A4C"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9.3</w:t>
            </w:r>
          </w:p>
        </w:tc>
        <w:tc>
          <w:tcPr>
            <w:tcW w:w="567" w:type="dxa"/>
          </w:tcPr>
          <w:p w14:paraId="3E85E7FE"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9.4</w:t>
            </w:r>
          </w:p>
        </w:tc>
        <w:tc>
          <w:tcPr>
            <w:tcW w:w="567" w:type="dxa"/>
          </w:tcPr>
          <w:p w14:paraId="3221C1C8" w14:textId="77777777"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9.5</w:t>
            </w:r>
          </w:p>
        </w:tc>
        <w:tc>
          <w:tcPr>
            <w:tcW w:w="567" w:type="dxa"/>
          </w:tcPr>
          <w:p w14:paraId="0FD712AD" w14:textId="506892AA" w:rsidR="00A07FD8" w:rsidRPr="0007302A" w:rsidRDefault="00A07FD8" w:rsidP="008468D9">
            <w:pPr>
              <w:spacing w:before="60" w:after="60"/>
              <w:jc w:val="center"/>
              <w:rPr>
                <w:rFonts w:ascii="Arial" w:hAnsi="Arial" w:cs="Arial"/>
                <w:b/>
                <w:bCs/>
                <w:sz w:val="20"/>
                <w:szCs w:val="20"/>
              </w:rPr>
            </w:pPr>
            <w:r w:rsidRPr="0007302A">
              <w:rPr>
                <w:rFonts w:ascii="Arial" w:hAnsi="Arial" w:cs="Arial"/>
                <w:b/>
                <w:bCs/>
                <w:sz w:val="20"/>
                <w:szCs w:val="20"/>
              </w:rPr>
              <w:t>9.6</w:t>
            </w:r>
          </w:p>
        </w:tc>
      </w:tr>
      <w:tr w:rsidR="00A07FD8" w:rsidRPr="009D52D0" w14:paraId="780DC4A5" w14:textId="7A41CB91" w:rsidTr="008468D9">
        <w:tc>
          <w:tcPr>
            <w:tcW w:w="2439" w:type="dxa"/>
          </w:tcPr>
          <w:p w14:paraId="16F79E00" w14:textId="77777777" w:rsidR="00A07FD8" w:rsidRPr="009D52D0" w:rsidRDefault="00A07FD8" w:rsidP="0007302A">
            <w:pPr>
              <w:spacing w:before="60" w:after="60"/>
              <w:rPr>
                <w:rFonts w:ascii="Arial" w:hAnsi="Arial" w:cs="Arial"/>
                <w:b/>
                <w:sz w:val="20"/>
                <w:szCs w:val="20"/>
              </w:rPr>
            </w:pPr>
            <w:r w:rsidRPr="009D52D0">
              <w:rPr>
                <w:rFonts w:ascii="Arial" w:hAnsi="Arial" w:cs="Arial"/>
                <w:b/>
                <w:sz w:val="20"/>
                <w:szCs w:val="20"/>
              </w:rPr>
              <w:t>Private Study</w:t>
            </w:r>
          </w:p>
        </w:tc>
        <w:tc>
          <w:tcPr>
            <w:tcW w:w="567" w:type="dxa"/>
          </w:tcPr>
          <w:p w14:paraId="34752F0E" w14:textId="7A98BBF9"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0E9B09C0" w14:textId="50704355"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6CD1C02C" w14:textId="7DD3ED44"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45C64561" w14:textId="46423E4B"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62607B91" w14:textId="765C8EFF"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5060D33C" w14:textId="743A0972"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095F1200" w14:textId="2F1B3743" w:rsidR="00A07FD8" w:rsidRPr="009D52D0" w:rsidRDefault="0032686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A716802" w14:textId="6D04BF84"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5BAFD1A4" w14:textId="6CFE2600"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030A7445" w14:textId="565744FB"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431B3FED" w14:textId="183C24AA"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07703E2C" w14:textId="366CE6B2" w:rsidR="00A07FD8" w:rsidRPr="009D52D0" w:rsidRDefault="00A07FD8" w:rsidP="008468D9">
            <w:pPr>
              <w:spacing w:before="60" w:after="60"/>
              <w:jc w:val="center"/>
              <w:rPr>
                <w:rFonts w:ascii="Arial" w:hAnsi="Arial" w:cs="Arial"/>
                <w:b/>
                <w:sz w:val="20"/>
                <w:szCs w:val="20"/>
              </w:rPr>
            </w:pPr>
          </w:p>
        </w:tc>
        <w:tc>
          <w:tcPr>
            <w:tcW w:w="567" w:type="dxa"/>
          </w:tcPr>
          <w:p w14:paraId="492B7768" w14:textId="140651B0"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r>
      <w:tr w:rsidR="00A07FD8" w:rsidRPr="009D52D0" w14:paraId="5C50A519" w14:textId="2B67E216" w:rsidTr="008468D9">
        <w:tc>
          <w:tcPr>
            <w:tcW w:w="2439" w:type="dxa"/>
          </w:tcPr>
          <w:p w14:paraId="433DE3A7" w14:textId="58014DB1" w:rsidR="00A07FD8" w:rsidRPr="00A07FD8" w:rsidRDefault="00A07FD8" w:rsidP="0007302A">
            <w:pPr>
              <w:spacing w:before="60" w:after="60"/>
              <w:rPr>
                <w:rFonts w:ascii="Arial" w:hAnsi="Arial" w:cs="Arial"/>
                <w:b/>
                <w:bCs/>
                <w:iCs/>
                <w:sz w:val="20"/>
                <w:szCs w:val="20"/>
              </w:rPr>
            </w:pPr>
            <w:r w:rsidRPr="00A07FD8">
              <w:rPr>
                <w:rFonts w:ascii="Arial" w:hAnsi="Arial" w:cs="Arial"/>
                <w:b/>
                <w:bCs/>
                <w:iCs/>
                <w:sz w:val="20"/>
                <w:szCs w:val="20"/>
              </w:rPr>
              <w:t>Lecture</w:t>
            </w:r>
          </w:p>
        </w:tc>
        <w:tc>
          <w:tcPr>
            <w:tcW w:w="567" w:type="dxa"/>
          </w:tcPr>
          <w:p w14:paraId="3853654B" w14:textId="57E6BEFA"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261D01A" w14:textId="4A395DDA"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D7957D4" w14:textId="3E6E48F9"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32B2686" w14:textId="0ADB006D" w:rsidR="00A07FD8" w:rsidRPr="009D52D0" w:rsidRDefault="00A07FD8" w:rsidP="008468D9">
            <w:pPr>
              <w:spacing w:before="60" w:after="60"/>
              <w:jc w:val="center"/>
              <w:rPr>
                <w:rFonts w:ascii="Arial" w:hAnsi="Arial" w:cs="Arial"/>
                <w:b/>
                <w:sz w:val="20"/>
                <w:szCs w:val="20"/>
              </w:rPr>
            </w:pPr>
          </w:p>
        </w:tc>
        <w:tc>
          <w:tcPr>
            <w:tcW w:w="567" w:type="dxa"/>
          </w:tcPr>
          <w:p w14:paraId="4971B999" w14:textId="15F0036C"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F65C8BA" w14:textId="77777777" w:rsidR="00A07FD8" w:rsidRPr="009D52D0" w:rsidRDefault="00A07FD8" w:rsidP="008468D9">
            <w:pPr>
              <w:spacing w:before="60" w:after="60"/>
              <w:jc w:val="center"/>
              <w:rPr>
                <w:rFonts w:ascii="Arial" w:hAnsi="Arial" w:cs="Arial"/>
                <w:b/>
                <w:sz w:val="20"/>
                <w:szCs w:val="20"/>
              </w:rPr>
            </w:pPr>
          </w:p>
        </w:tc>
        <w:tc>
          <w:tcPr>
            <w:tcW w:w="567" w:type="dxa"/>
          </w:tcPr>
          <w:p w14:paraId="548C7A2C" w14:textId="0EAC0D33" w:rsidR="00A07FD8" w:rsidRPr="009D52D0" w:rsidRDefault="00A07FD8" w:rsidP="008468D9">
            <w:pPr>
              <w:spacing w:before="60" w:after="60"/>
              <w:jc w:val="center"/>
              <w:rPr>
                <w:rFonts w:ascii="Arial" w:hAnsi="Arial" w:cs="Arial"/>
                <w:b/>
                <w:sz w:val="20"/>
                <w:szCs w:val="20"/>
              </w:rPr>
            </w:pPr>
          </w:p>
        </w:tc>
        <w:tc>
          <w:tcPr>
            <w:tcW w:w="567" w:type="dxa"/>
          </w:tcPr>
          <w:p w14:paraId="2AE9F109" w14:textId="6A340BFC"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6BD0A090" w14:textId="2724CFD5"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3DAC9A4A" w14:textId="4A45E99C"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1A7EAF7" w14:textId="79830875" w:rsidR="00A07FD8" w:rsidRPr="009D52D0" w:rsidRDefault="00A07FD8" w:rsidP="008468D9">
            <w:pPr>
              <w:spacing w:before="60" w:after="60"/>
              <w:jc w:val="center"/>
              <w:rPr>
                <w:rFonts w:ascii="Arial" w:hAnsi="Arial" w:cs="Arial"/>
                <w:b/>
                <w:sz w:val="20"/>
                <w:szCs w:val="20"/>
              </w:rPr>
            </w:pPr>
          </w:p>
        </w:tc>
        <w:tc>
          <w:tcPr>
            <w:tcW w:w="567" w:type="dxa"/>
          </w:tcPr>
          <w:p w14:paraId="41EDD6A7" w14:textId="623B091D" w:rsidR="00A07FD8" w:rsidRPr="009D52D0" w:rsidRDefault="00A07FD8" w:rsidP="008468D9">
            <w:pPr>
              <w:spacing w:before="60" w:after="60"/>
              <w:jc w:val="center"/>
              <w:rPr>
                <w:rFonts w:ascii="Arial" w:hAnsi="Arial" w:cs="Arial"/>
                <w:b/>
                <w:sz w:val="20"/>
                <w:szCs w:val="20"/>
              </w:rPr>
            </w:pPr>
          </w:p>
        </w:tc>
        <w:tc>
          <w:tcPr>
            <w:tcW w:w="567" w:type="dxa"/>
          </w:tcPr>
          <w:p w14:paraId="4B5933B1" w14:textId="77777777" w:rsidR="00A07FD8" w:rsidRPr="009D52D0" w:rsidRDefault="00A07FD8" w:rsidP="008468D9">
            <w:pPr>
              <w:spacing w:before="60" w:after="60"/>
              <w:jc w:val="center"/>
              <w:rPr>
                <w:rFonts w:ascii="Arial" w:hAnsi="Arial" w:cs="Arial"/>
                <w:b/>
                <w:sz w:val="20"/>
                <w:szCs w:val="20"/>
              </w:rPr>
            </w:pPr>
          </w:p>
        </w:tc>
      </w:tr>
      <w:tr w:rsidR="00A07FD8" w:rsidRPr="009D52D0" w14:paraId="460BDA99" w14:textId="0B0E21EA" w:rsidTr="008468D9">
        <w:tc>
          <w:tcPr>
            <w:tcW w:w="2439" w:type="dxa"/>
          </w:tcPr>
          <w:p w14:paraId="1CDAA785" w14:textId="526E81BE" w:rsidR="00A07FD8" w:rsidRPr="00A07FD8" w:rsidRDefault="00A07FD8" w:rsidP="0007302A">
            <w:pPr>
              <w:spacing w:before="60" w:after="60"/>
              <w:rPr>
                <w:rFonts w:ascii="Arial" w:hAnsi="Arial" w:cs="Arial"/>
                <w:b/>
                <w:bCs/>
                <w:iCs/>
                <w:sz w:val="20"/>
                <w:szCs w:val="20"/>
              </w:rPr>
            </w:pPr>
            <w:r w:rsidRPr="00A07FD8">
              <w:rPr>
                <w:rFonts w:ascii="Arial" w:hAnsi="Arial" w:cs="Arial"/>
                <w:b/>
                <w:bCs/>
                <w:iCs/>
                <w:sz w:val="20"/>
                <w:szCs w:val="20"/>
              </w:rPr>
              <w:t>Seminar</w:t>
            </w:r>
          </w:p>
        </w:tc>
        <w:tc>
          <w:tcPr>
            <w:tcW w:w="567" w:type="dxa"/>
          </w:tcPr>
          <w:p w14:paraId="0B596153" w14:textId="15D256A7" w:rsidR="00A07FD8" w:rsidRPr="009D52D0" w:rsidRDefault="00A07FD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EF775FB" w14:textId="5F8CEE26" w:rsidR="00A07FD8" w:rsidRPr="009D52D0" w:rsidRDefault="0017691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6760D4D" w14:textId="71894855"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9E92B33" w14:textId="3AA8D0B4"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12B107A" w14:textId="795B4B8D"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67C2A513" w14:textId="3B562E46" w:rsidR="00A07FD8" w:rsidRPr="009D52D0" w:rsidRDefault="00DC5E2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1662BF30" w14:textId="70FA0A23" w:rsidR="00A07FD8" w:rsidRPr="009D52D0" w:rsidRDefault="00326868"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1C240711" w14:textId="69BCA513"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D2FDCA3" w14:textId="0515C4A4"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20301B4E" w14:textId="2F2568EC"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70943AC0" w14:textId="4936F90E"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019ED988" w14:textId="5CFD6753"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c>
          <w:tcPr>
            <w:tcW w:w="567" w:type="dxa"/>
          </w:tcPr>
          <w:p w14:paraId="3837D4D1" w14:textId="32397B46" w:rsidR="00A07FD8" w:rsidRPr="009D52D0" w:rsidRDefault="00EB7490" w:rsidP="008468D9">
            <w:pPr>
              <w:spacing w:before="60" w:after="60"/>
              <w:jc w:val="center"/>
              <w:rPr>
                <w:rFonts w:ascii="Arial" w:hAnsi="Arial" w:cs="Arial"/>
                <w:b/>
                <w:sz w:val="20"/>
                <w:szCs w:val="20"/>
              </w:rPr>
            </w:pPr>
            <w:r>
              <w:rPr>
                <w:rFonts w:ascii="Arial" w:hAnsi="Arial" w:cs="Arial"/>
                <w:b/>
                <w:sz w:val="20"/>
                <w:szCs w:val="20"/>
              </w:rPr>
              <w:t>x</w:t>
            </w:r>
          </w:p>
        </w:tc>
      </w:tr>
    </w:tbl>
    <w:p w14:paraId="1DF2B576" w14:textId="6861D79A" w:rsidR="007A6245" w:rsidRDefault="00636058" w:rsidP="0007302A">
      <w:pPr>
        <w:spacing w:before="360" w:after="240" w:line="240" w:lineRule="auto"/>
        <w:ind w:left="425" w:right="544" w:firstLine="295"/>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9918" w:type="dxa"/>
        <w:tblLayout w:type="fixed"/>
        <w:tblLook w:val="04A0" w:firstRow="1" w:lastRow="0" w:firstColumn="1" w:lastColumn="0" w:noHBand="0" w:noVBand="1"/>
      </w:tblPr>
      <w:tblGrid>
        <w:gridCol w:w="2405"/>
        <w:gridCol w:w="577"/>
        <w:gridCol w:w="578"/>
        <w:gridCol w:w="578"/>
        <w:gridCol w:w="578"/>
        <w:gridCol w:w="578"/>
        <w:gridCol w:w="578"/>
        <w:gridCol w:w="578"/>
        <w:gridCol w:w="578"/>
        <w:gridCol w:w="578"/>
        <w:gridCol w:w="578"/>
        <w:gridCol w:w="578"/>
        <w:gridCol w:w="578"/>
        <w:gridCol w:w="578"/>
      </w:tblGrid>
      <w:tr w:rsidR="006C7109" w:rsidRPr="009D52D0" w14:paraId="7367825C" w14:textId="2A3F55AD" w:rsidTr="008468D9">
        <w:trPr>
          <w:tblHeader/>
        </w:trPr>
        <w:tc>
          <w:tcPr>
            <w:tcW w:w="2405" w:type="dxa"/>
            <w:shd w:val="clear" w:color="auto" w:fill="D9D9D9" w:themeFill="background1" w:themeFillShade="D9"/>
          </w:tcPr>
          <w:p w14:paraId="4E99BFB5" w14:textId="77777777" w:rsidR="006C7109" w:rsidRPr="009D52D0" w:rsidRDefault="006C7109" w:rsidP="0007302A">
            <w:pPr>
              <w:spacing w:before="60" w:after="60"/>
              <w:rPr>
                <w:rFonts w:ascii="Arial" w:hAnsi="Arial" w:cs="Arial"/>
                <w:b/>
                <w:sz w:val="20"/>
                <w:szCs w:val="20"/>
              </w:rPr>
            </w:pPr>
            <w:r w:rsidRPr="009D52D0">
              <w:rPr>
                <w:rFonts w:ascii="Arial" w:hAnsi="Arial" w:cs="Arial"/>
                <w:b/>
                <w:sz w:val="20"/>
                <w:szCs w:val="20"/>
              </w:rPr>
              <w:t>Module learning outcome</w:t>
            </w:r>
          </w:p>
        </w:tc>
        <w:tc>
          <w:tcPr>
            <w:tcW w:w="577" w:type="dxa"/>
          </w:tcPr>
          <w:p w14:paraId="7B5C6163"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8.1</w:t>
            </w:r>
          </w:p>
        </w:tc>
        <w:tc>
          <w:tcPr>
            <w:tcW w:w="578" w:type="dxa"/>
          </w:tcPr>
          <w:p w14:paraId="2210FC9E"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8.2</w:t>
            </w:r>
          </w:p>
        </w:tc>
        <w:tc>
          <w:tcPr>
            <w:tcW w:w="578" w:type="dxa"/>
          </w:tcPr>
          <w:p w14:paraId="00B7F160"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8.3</w:t>
            </w:r>
          </w:p>
        </w:tc>
        <w:tc>
          <w:tcPr>
            <w:tcW w:w="578" w:type="dxa"/>
          </w:tcPr>
          <w:p w14:paraId="2BB3974A"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8.4</w:t>
            </w:r>
          </w:p>
        </w:tc>
        <w:tc>
          <w:tcPr>
            <w:tcW w:w="578" w:type="dxa"/>
          </w:tcPr>
          <w:p w14:paraId="23BFBA31"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8.5</w:t>
            </w:r>
          </w:p>
        </w:tc>
        <w:tc>
          <w:tcPr>
            <w:tcW w:w="578" w:type="dxa"/>
          </w:tcPr>
          <w:p w14:paraId="49F2AE91" w14:textId="56B5307A"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w:t>
            </w:r>
            <w:r>
              <w:rPr>
                <w:rFonts w:ascii="Arial" w:hAnsi="Arial" w:cs="Arial"/>
                <w:sz w:val="20"/>
                <w:szCs w:val="20"/>
              </w:rPr>
              <w:t>6</w:t>
            </w:r>
          </w:p>
        </w:tc>
        <w:tc>
          <w:tcPr>
            <w:tcW w:w="578" w:type="dxa"/>
          </w:tcPr>
          <w:p w14:paraId="4A39FA49" w14:textId="243B72E4"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8.</w:t>
            </w:r>
            <w:r>
              <w:rPr>
                <w:rFonts w:ascii="Arial" w:hAnsi="Arial" w:cs="Arial"/>
                <w:sz w:val="20"/>
                <w:szCs w:val="20"/>
              </w:rPr>
              <w:t>7</w:t>
            </w:r>
          </w:p>
        </w:tc>
        <w:tc>
          <w:tcPr>
            <w:tcW w:w="578" w:type="dxa"/>
          </w:tcPr>
          <w:p w14:paraId="0D56B3A5" w14:textId="7507E06F"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9.1</w:t>
            </w:r>
          </w:p>
        </w:tc>
        <w:tc>
          <w:tcPr>
            <w:tcW w:w="578" w:type="dxa"/>
          </w:tcPr>
          <w:p w14:paraId="523687DC"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9.2</w:t>
            </w:r>
          </w:p>
        </w:tc>
        <w:tc>
          <w:tcPr>
            <w:tcW w:w="578" w:type="dxa"/>
          </w:tcPr>
          <w:p w14:paraId="1106ECFC"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9.3</w:t>
            </w:r>
          </w:p>
        </w:tc>
        <w:tc>
          <w:tcPr>
            <w:tcW w:w="578" w:type="dxa"/>
          </w:tcPr>
          <w:p w14:paraId="51BE4A79"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9.4</w:t>
            </w:r>
          </w:p>
        </w:tc>
        <w:tc>
          <w:tcPr>
            <w:tcW w:w="578" w:type="dxa"/>
          </w:tcPr>
          <w:p w14:paraId="0C3BF660" w14:textId="77777777"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9.5</w:t>
            </w:r>
          </w:p>
        </w:tc>
        <w:tc>
          <w:tcPr>
            <w:tcW w:w="578" w:type="dxa"/>
          </w:tcPr>
          <w:p w14:paraId="5AC68C1D" w14:textId="4B660F08" w:rsidR="006C7109" w:rsidRPr="009D52D0" w:rsidRDefault="006C7109" w:rsidP="008468D9">
            <w:pPr>
              <w:spacing w:before="60" w:after="60"/>
              <w:jc w:val="center"/>
              <w:rPr>
                <w:rFonts w:ascii="Arial" w:hAnsi="Arial" w:cs="Arial"/>
                <w:sz w:val="20"/>
                <w:szCs w:val="20"/>
              </w:rPr>
            </w:pPr>
            <w:r w:rsidRPr="009D52D0">
              <w:rPr>
                <w:rFonts w:ascii="Arial" w:hAnsi="Arial" w:cs="Arial"/>
                <w:sz w:val="20"/>
                <w:szCs w:val="20"/>
              </w:rPr>
              <w:t>9.</w:t>
            </w:r>
            <w:r>
              <w:rPr>
                <w:rFonts w:ascii="Arial" w:hAnsi="Arial" w:cs="Arial"/>
                <w:sz w:val="20"/>
                <w:szCs w:val="20"/>
              </w:rPr>
              <w:t>6</w:t>
            </w:r>
          </w:p>
        </w:tc>
      </w:tr>
      <w:tr w:rsidR="00D3542B" w:rsidRPr="009D52D0" w14:paraId="6D8FD37D" w14:textId="076CB76C" w:rsidTr="008468D9">
        <w:trPr>
          <w:tblHeader/>
        </w:trPr>
        <w:tc>
          <w:tcPr>
            <w:tcW w:w="2405" w:type="dxa"/>
          </w:tcPr>
          <w:p w14:paraId="6500FA2E" w14:textId="0EA3FF42" w:rsidR="00D3542B" w:rsidRPr="0007302A" w:rsidRDefault="00D3542B" w:rsidP="0007302A">
            <w:pPr>
              <w:spacing w:before="60" w:after="60"/>
              <w:rPr>
                <w:rFonts w:ascii="Arial" w:hAnsi="Arial" w:cs="Arial"/>
                <w:b/>
                <w:bCs/>
                <w:iCs/>
                <w:sz w:val="20"/>
                <w:szCs w:val="20"/>
              </w:rPr>
            </w:pPr>
            <w:r w:rsidRPr="0007302A">
              <w:rPr>
                <w:rFonts w:ascii="Arial" w:hAnsi="Arial" w:cs="Arial"/>
                <w:b/>
                <w:bCs/>
                <w:iCs/>
                <w:sz w:val="20"/>
                <w:szCs w:val="20"/>
              </w:rPr>
              <w:t>MCQ test</w:t>
            </w:r>
          </w:p>
        </w:tc>
        <w:tc>
          <w:tcPr>
            <w:tcW w:w="577" w:type="dxa"/>
          </w:tcPr>
          <w:p w14:paraId="718AB32A" w14:textId="44843B6D"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71084725" w14:textId="1FE8A422"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659E3E11" w14:textId="3AED7688"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02BFF41C" w14:textId="42E91280"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19049929" w14:textId="0277A334"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1A534E86" w14:textId="2488A4F8" w:rsidR="00D3542B" w:rsidRPr="009D52D0" w:rsidRDefault="00D3542B" w:rsidP="008468D9">
            <w:pPr>
              <w:spacing w:before="60" w:after="60"/>
              <w:jc w:val="center"/>
              <w:rPr>
                <w:rFonts w:ascii="Arial" w:hAnsi="Arial" w:cs="Arial"/>
                <w:b/>
                <w:sz w:val="20"/>
                <w:szCs w:val="20"/>
              </w:rPr>
            </w:pPr>
          </w:p>
        </w:tc>
        <w:tc>
          <w:tcPr>
            <w:tcW w:w="578" w:type="dxa"/>
          </w:tcPr>
          <w:p w14:paraId="77447586" w14:textId="42BCA82E"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60747C35" w14:textId="5A8CBF95"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6FCDE494" w14:textId="6C1D74E6" w:rsidR="00D3542B" w:rsidRPr="009D52D0" w:rsidRDefault="00D3542B" w:rsidP="008468D9">
            <w:pPr>
              <w:spacing w:before="60" w:after="60"/>
              <w:jc w:val="center"/>
              <w:rPr>
                <w:rFonts w:ascii="Arial" w:hAnsi="Arial" w:cs="Arial"/>
                <w:b/>
                <w:sz w:val="20"/>
                <w:szCs w:val="20"/>
              </w:rPr>
            </w:pPr>
          </w:p>
        </w:tc>
        <w:tc>
          <w:tcPr>
            <w:tcW w:w="578" w:type="dxa"/>
          </w:tcPr>
          <w:p w14:paraId="48C6EE1D" w14:textId="649EA3EC"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12A99B31" w14:textId="35038B0C"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0FB35350" w14:textId="63FA1DEE"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c>
          <w:tcPr>
            <w:tcW w:w="578" w:type="dxa"/>
          </w:tcPr>
          <w:p w14:paraId="70C56D98" w14:textId="0D5B13BF" w:rsidR="00D3542B" w:rsidRPr="009D52D0" w:rsidRDefault="00D3542B" w:rsidP="008468D9">
            <w:pPr>
              <w:spacing w:before="60" w:after="60"/>
              <w:jc w:val="center"/>
              <w:rPr>
                <w:rFonts w:ascii="Arial" w:hAnsi="Arial" w:cs="Arial"/>
                <w:b/>
                <w:sz w:val="20"/>
                <w:szCs w:val="20"/>
              </w:rPr>
            </w:pPr>
            <w:r w:rsidRPr="00403B2D">
              <w:rPr>
                <w:rFonts w:ascii="Arial" w:hAnsi="Arial" w:cs="Arial"/>
                <w:b/>
                <w:sz w:val="20"/>
                <w:szCs w:val="20"/>
              </w:rPr>
              <w:t>x</w:t>
            </w:r>
          </w:p>
        </w:tc>
      </w:tr>
      <w:tr w:rsidR="00E57F02" w:rsidRPr="009D52D0" w14:paraId="37374564" w14:textId="77777777" w:rsidTr="008468D9">
        <w:trPr>
          <w:tblHeader/>
        </w:trPr>
        <w:tc>
          <w:tcPr>
            <w:tcW w:w="2405" w:type="dxa"/>
          </w:tcPr>
          <w:p w14:paraId="454D6904" w14:textId="6BBFAC3F" w:rsidR="00E57F02" w:rsidRPr="0007302A" w:rsidRDefault="00E57F02" w:rsidP="0007302A">
            <w:pPr>
              <w:spacing w:before="60" w:after="60"/>
              <w:rPr>
                <w:rFonts w:ascii="Arial" w:hAnsi="Arial" w:cs="Arial"/>
                <w:b/>
                <w:bCs/>
                <w:iCs/>
                <w:sz w:val="20"/>
                <w:szCs w:val="20"/>
              </w:rPr>
            </w:pPr>
            <w:r w:rsidRPr="0007302A">
              <w:rPr>
                <w:rFonts w:ascii="Arial" w:hAnsi="Arial" w:cs="Arial"/>
                <w:b/>
                <w:bCs/>
                <w:iCs/>
                <w:sz w:val="20"/>
                <w:szCs w:val="20"/>
              </w:rPr>
              <w:t>Presentation</w:t>
            </w:r>
          </w:p>
        </w:tc>
        <w:tc>
          <w:tcPr>
            <w:tcW w:w="577" w:type="dxa"/>
          </w:tcPr>
          <w:p w14:paraId="45C2AA33" w14:textId="77D66EC7"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8084802" w14:textId="24F0C5A3"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0BF5AA1" w14:textId="2D74FBF4"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804AD86" w14:textId="7C726A71"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4681E21E" w14:textId="6A66ACA2"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7FCC7D13" w14:textId="77777777" w:rsidR="00E57F02" w:rsidRPr="009D52D0" w:rsidRDefault="00E57F02" w:rsidP="008468D9">
            <w:pPr>
              <w:spacing w:before="60" w:after="60"/>
              <w:jc w:val="center"/>
              <w:rPr>
                <w:rFonts w:ascii="Arial" w:hAnsi="Arial" w:cs="Arial"/>
                <w:b/>
                <w:sz w:val="20"/>
                <w:szCs w:val="20"/>
              </w:rPr>
            </w:pPr>
          </w:p>
        </w:tc>
        <w:tc>
          <w:tcPr>
            <w:tcW w:w="578" w:type="dxa"/>
          </w:tcPr>
          <w:p w14:paraId="62E73C7C" w14:textId="4B916D56"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C08412E" w14:textId="735BD700"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43B95D46" w14:textId="0044030B" w:rsidR="00E57F02" w:rsidRPr="009D52D0"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393C1EEC" w14:textId="3E9F63DE"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27B0B11" w14:textId="6F72FAA3"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55646204" w14:textId="5B9B872A"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c>
          <w:tcPr>
            <w:tcW w:w="578" w:type="dxa"/>
          </w:tcPr>
          <w:p w14:paraId="0711214D" w14:textId="350BB8CE" w:rsidR="00E57F02" w:rsidRPr="00403B2D" w:rsidRDefault="00E57F02" w:rsidP="008468D9">
            <w:pPr>
              <w:spacing w:before="60" w:after="60"/>
              <w:jc w:val="center"/>
              <w:rPr>
                <w:rFonts w:ascii="Arial" w:hAnsi="Arial" w:cs="Arial"/>
                <w:b/>
                <w:sz w:val="20"/>
                <w:szCs w:val="20"/>
              </w:rPr>
            </w:pPr>
            <w:r>
              <w:rPr>
                <w:rFonts w:ascii="Arial" w:hAnsi="Arial" w:cs="Arial"/>
                <w:b/>
                <w:sz w:val="20"/>
                <w:szCs w:val="20"/>
              </w:rPr>
              <w:t>x</w:t>
            </w:r>
          </w:p>
        </w:tc>
      </w:tr>
      <w:tr w:rsidR="00D3542B" w:rsidRPr="009D52D0" w14:paraId="33EAAC8E" w14:textId="3B786AE2" w:rsidTr="008468D9">
        <w:trPr>
          <w:tblHeader/>
        </w:trPr>
        <w:tc>
          <w:tcPr>
            <w:tcW w:w="2405" w:type="dxa"/>
          </w:tcPr>
          <w:p w14:paraId="41B161CA" w14:textId="7A114985" w:rsidR="00D3542B" w:rsidRPr="0007302A" w:rsidRDefault="00D3542B" w:rsidP="0007302A">
            <w:pPr>
              <w:spacing w:before="60" w:after="60"/>
              <w:rPr>
                <w:rFonts w:ascii="Arial" w:hAnsi="Arial" w:cs="Arial"/>
                <w:b/>
                <w:bCs/>
                <w:iCs/>
                <w:sz w:val="20"/>
                <w:szCs w:val="20"/>
              </w:rPr>
            </w:pPr>
            <w:r w:rsidRPr="0007302A">
              <w:rPr>
                <w:rFonts w:ascii="Arial" w:hAnsi="Arial" w:cs="Arial"/>
                <w:b/>
                <w:bCs/>
                <w:iCs/>
                <w:sz w:val="20"/>
                <w:szCs w:val="20"/>
              </w:rPr>
              <w:t>Quantitative Project</w:t>
            </w:r>
          </w:p>
        </w:tc>
        <w:tc>
          <w:tcPr>
            <w:tcW w:w="577" w:type="dxa"/>
          </w:tcPr>
          <w:p w14:paraId="4D015421" w14:textId="043E69EF"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7055659" w14:textId="6972979D"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2CE5E70" w14:textId="6C2F5F2A"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209BAD1" w14:textId="7062B522"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A50AC62" w14:textId="15CBC254"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551E358D" w14:textId="44EAD66C"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0A029C62" w14:textId="0030D923"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3F1F7E1" w14:textId="6D06B667"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4BF4922" w14:textId="35909172"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29656163" w14:textId="0628863A"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155EA1C" w14:textId="5BB2214E"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802F12A" w14:textId="5BB49D0D"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15A9384C" w14:textId="3AF9F542"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r>
      <w:tr w:rsidR="00D3542B" w:rsidRPr="009D52D0" w14:paraId="3E872A1E" w14:textId="3CD3C0D9" w:rsidTr="008468D9">
        <w:trPr>
          <w:tblHeader/>
        </w:trPr>
        <w:tc>
          <w:tcPr>
            <w:tcW w:w="2405" w:type="dxa"/>
          </w:tcPr>
          <w:p w14:paraId="4CEA8453" w14:textId="2242B048" w:rsidR="00D3542B" w:rsidRPr="0007302A" w:rsidRDefault="00D3542B" w:rsidP="0007302A">
            <w:pPr>
              <w:spacing w:before="60" w:after="60"/>
              <w:rPr>
                <w:rFonts w:ascii="Arial" w:hAnsi="Arial" w:cs="Arial"/>
                <w:b/>
                <w:bCs/>
                <w:iCs/>
                <w:sz w:val="20"/>
                <w:szCs w:val="20"/>
              </w:rPr>
            </w:pPr>
            <w:r w:rsidRPr="0007302A">
              <w:rPr>
                <w:rFonts w:ascii="Arial" w:hAnsi="Arial" w:cs="Arial"/>
                <w:b/>
                <w:bCs/>
                <w:iCs/>
                <w:sz w:val="20"/>
                <w:szCs w:val="20"/>
              </w:rPr>
              <w:t>Qualitative Project</w:t>
            </w:r>
          </w:p>
        </w:tc>
        <w:tc>
          <w:tcPr>
            <w:tcW w:w="577" w:type="dxa"/>
          </w:tcPr>
          <w:p w14:paraId="5BE33B98" w14:textId="737182AF"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7720F16" w14:textId="64AF6D2E"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2DB982CE" w14:textId="38FC766C"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0DBDB13" w14:textId="4857D89D"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D703142" w14:textId="6D1DCE88"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C01A43A" w14:textId="2B892CE5"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269CEFEA" w14:textId="488C1FD6"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641E8425" w14:textId="42AE3BFE"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01C0711D" w14:textId="314064A7"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4EC007B4" w14:textId="0E622B4B"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7F457A4" w14:textId="6723A0CE"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33D2F17D" w14:textId="5CDCE064"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c>
          <w:tcPr>
            <w:tcW w:w="578" w:type="dxa"/>
          </w:tcPr>
          <w:p w14:paraId="229A1156" w14:textId="20994934" w:rsidR="00D3542B" w:rsidRPr="009D52D0" w:rsidRDefault="00D3542B" w:rsidP="008468D9">
            <w:pPr>
              <w:spacing w:before="60" w:after="60"/>
              <w:jc w:val="center"/>
              <w:rPr>
                <w:rFonts w:ascii="Arial" w:hAnsi="Arial" w:cs="Arial"/>
                <w:b/>
                <w:sz w:val="20"/>
                <w:szCs w:val="20"/>
              </w:rPr>
            </w:pPr>
            <w:r w:rsidRPr="004B360E">
              <w:rPr>
                <w:rFonts w:ascii="Arial" w:hAnsi="Arial" w:cs="Arial"/>
                <w:b/>
                <w:sz w:val="20"/>
                <w:szCs w:val="20"/>
              </w:rPr>
              <w:t>x</w:t>
            </w:r>
          </w:p>
        </w:tc>
      </w:tr>
    </w:tbl>
    <w:p w14:paraId="6E059459" w14:textId="671919A2" w:rsidR="00636058" w:rsidRDefault="00636058" w:rsidP="002841F1">
      <w:pPr>
        <w:spacing w:after="120" w:line="240" w:lineRule="auto"/>
        <w:ind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2FA9A99F" w:rsidR="00883204" w:rsidRPr="009D52D0" w:rsidRDefault="00883204" w:rsidP="00122053">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22053">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122053">
      <w:pPr>
        <w:pStyle w:val="BodyText"/>
        <w:rPr>
          <w:bCs/>
        </w:rPr>
      </w:pPr>
      <w:r w:rsidRPr="009D52D0">
        <w:t xml:space="preserve">a) </w:t>
      </w:r>
      <w:r w:rsidRPr="009D52D0">
        <w:rPr>
          <w:bCs/>
        </w:rPr>
        <w:t>Accessible resources and curriculum</w:t>
      </w:r>
    </w:p>
    <w:p w14:paraId="5F2DDA76" w14:textId="77777777" w:rsidR="00883204" w:rsidRPr="009D52D0" w:rsidRDefault="00883204" w:rsidP="00122053">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24EB58B2" w:rsidR="009A2D37" w:rsidRDefault="002841F1" w:rsidP="00122053">
      <w:pPr>
        <w:pStyle w:val="BodyText"/>
      </w:pPr>
      <w:r>
        <w:t>Canterbury</w:t>
      </w:r>
    </w:p>
    <w:p w14:paraId="654C7CE7" w14:textId="77777777" w:rsidR="00883204" w:rsidRPr="009D52D0" w:rsidRDefault="00883204" w:rsidP="00072357">
      <w:pPr>
        <w:pStyle w:val="Heading2"/>
      </w:pPr>
      <w:r w:rsidRPr="009D52D0">
        <w:t xml:space="preserve">Internationalisation </w:t>
      </w:r>
    </w:p>
    <w:p w14:paraId="35976950" w14:textId="54494D0E" w:rsidR="00D3542B" w:rsidRDefault="00D3542B" w:rsidP="00122053">
      <w:pPr>
        <w:pStyle w:val="BodyText"/>
      </w:pPr>
      <w:r w:rsidRPr="003004B4">
        <w:t>The course considers perspectives from, and draws on studies conducted in, a range of non-UK countries, and so locates the core themes within a wider international perspective.</w:t>
      </w:r>
    </w:p>
    <w:p w14:paraId="1B1DEC14" w14:textId="77777777" w:rsidR="0007302A" w:rsidRDefault="0007302A" w:rsidP="00122053">
      <w:pPr>
        <w:pStyle w:val="BodyText"/>
      </w:pPr>
    </w:p>
    <w:p w14:paraId="2E0B2404" w14:textId="77777777" w:rsidR="0007302A" w:rsidRPr="009D52D0" w:rsidRDefault="0007302A" w:rsidP="0007302A">
      <w:pPr>
        <w:pBdr>
          <w:bottom w:val="single" w:sz="6" w:space="1" w:color="auto"/>
        </w:pBdr>
        <w:spacing w:after="120" w:line="240" w:lineRule="auto"/>
        <w:ind w:right="543"/>
        <w:rPr>
          <w:rFonts w:ascii="Arial" w:hAnsi="Arial" w:cs="Arial"/>
          <w:sz w:val="24"/>
          <w:szCs w:val="24"/>
        </w:rPr>
      </w:pPr>
      <w:bookmarkStart w:id="0" w:name="_Hlk110347234"/>
      <w:bookmarkStart w:id="1" w:name="_Hlk121209876"/>
      <w:bookmarkStart w:id="2" w:name="_Hlk118801091"/>
    </w:p>
    <w:p w14:paraId="7C7170BC" w14:textId="77777777" w:rsidR="0007302A" w:rsidRPr="005E5282" w:rsidRDefault="0007302A" w:rsidP="0007302A">
      <w:pPr>
        <w:spacing w:after="120" w:line="240" w:lineRule="auto"/>
        <w:ind w:right="543"/>
        <w:rPr>
          <w:rFonts w:ascii="Arial" w:hAnsi="Arial" w:cs="Arial"/>
          <w:b/>
        </w:rPr>
      </w:pPr>
      <w:r w:rsidRPr="005E5282">
        <w:rPr>
          <w:rFonts w:ascii="Arial" w:hAnsi="Arial" w:cs="Arial"/>
          <w:b/>
        </w:rPr>
        <w:t xml:space="preserve">DIVISIONAL USE ONLY </w:t>
      </w:r>
    </w:p>
    <w:bookmarkEnd w:id="2"/>
    <w:p w14:paraId="26FEE0D9" w14:textId="77777777" w:rsidR="0007302A" w:rsidRPr="005E5282" w:rsidRDefault="0007302A" w:rsidP="0007302A">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1B04A4C0" w14:textId="77777777" w:rsidR="0007302A" w:rsidRPr="005E5282" w:rsidRDefault="0007302A" w:rsidP="0007302A">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410"/>
        <w:gridCol w:w="2126"/>
      </w:tblGrid>
      <w:tr w:rsidR="0007302A" w:rsidRPr="009D52D0" w14:paraId="6F85B199" w14:textId="77777777" w:rsidTr="0007302A">
        <w:trPr>
          <w:trHeight w:val="317"/>
          <w:tblHeader/>
        </w:trPr>
        <w:tc>
          <w:tcPr>
            <w:tcW w:w="1592" w:type="dxa"/>
            <w:shd w:val="clear" w:color="auto" w:fill="F2F2F2" w:themeFill="background1" w:themeFillShade="F2"/>
          </w:tcPr>
          <w:p w14:paraId="1C310AE8" w14:textId="77777777" w:rsidR="0007302A" w:rsidRPr="009D52D0" w:rsidRDefault="0007302A" w:rsidP="00315C6F">
            <w:pPr>
              <w:pStyle w:val="Tableoutcomeshead"/>
            </w:pPr>
            <w:r w:rsidRPr="009D52D0">
              <w:t>Date approved</w:t>
            </w:r>
          </w:p>
        </w:tc>
        <w:tc>
          <w:tcPr>
            <w:tcW w:w="1817" w:type="dxa"/>
            <w:shd w:val="clear" w:color="auto" w:fill="F2F2F2" w:themeFill="background1" w:themeFillShade="F2"/>
          </w:tcPr>
          <w:p w14:paraId="207C1FC1" w14:textId="77777777" w:rsidR="0007302A" w:rsidRPr="009D52D0" w:rsidRDefault="0007302A" w:rsidP="00315C6F">
            <w:pPr>
              <w:pStyle w:val="Tableoutcomeshead"/>
            </w:pPr>
            <w:r>
              <w:t>New/</w:t>
            </w:r>
            <w:r w:rsidRPr="009D52D0">
              <w:t>Major/</w:t>
            </w:r>
            <w:r>
              <w:t>M</w:t>
            </w:r>
            <w:r w:rsidRPr="009D52D0">
              <w:t>inor revision</w:t>
            </w:r>
          </w:p>
        </w:tc>
        <w:tc>
          <w:tcPr>
            <w:tcW w:w="2256" w:type="dxa"/>
            <w:shd w:val="clear" w:color="auto" w:fill="F2F2F2" w:themeFill="background1" w:themeFillShade="F2"/>
          </w:tcPr>
          <w:p w14:paraId="54DAEECD" w14:textId="77777777" w:rsidR="0007302A" w:rsidRPr="009D52D0" w:rsidRDefault="0007302A" w:rsidP="00315C6F">
            <w:pPr>
              <w:pStyle w:val="Tableoutcomeshead"/>
            </w:pPr>
            <w:r w:rsidRPr="009D52D0">
              <w:t xml:space="preserve">Start date of delivery of </w:t>
            </w:r>
            <w:r>
              <w:t>(</w:t>
            </w:r>
            <w:r w:rsidRPr="009D52D0">
              <w:t>revised</w:t>
            </w:r>
            <w:r>
              <w:t>)</w:t>
            </w:r>
            <w:r w:rsidRPr="009D52D0">
              <w:t xml:space="preserve"> version</w:t>
            </w:r>
          </w:p>
        </w:tc>
        <w:tc>
          <w:tcPr>
            <w:tcW w:w="2410" w:type="dxa"/>
            <w:shd w:val="clear" w:color="auto" w:fill="F2F2F2" w:themeFill="background1" w:themeFillShade="F2"/>
          </w:tcPr>
          <w:p w14:paraId="6E081772" w14:textId="77777777" w:rsidR="0007302A" w:rsidRPr="009D52D0" w:rsidRDefault="0007302A" w:rsidP="00315C6F">
            <w:pPr>
              <w:pStyle w:val="Tableoutcomeshead"/>
            </w:pPr>
            <w:r w:rsidRPr="009D52D0">
              <w:t>Section revised</w:t>
            </w:r>
            <w:r>
              <w:t xml:space="preserve"> (if applicable)</w:t>
            </w:r>
          </w:p>
        </w:tc>
        <w:tc>
          <w:tcPr>
            <w:tcW w:w="2126" w:type="dxa"/>
            <w:shd w:val="clear" w:color="auto" w:fill="F2F2F2" w:themeFill="background1" w:themeFillShade="F2"/>
          </w:tcPr>
          <w:p w14:paraId="47785C9C" w14:textId="77777777" w:rsidR="0007302A" w:rsidRPr="009D52D0" w:rsidRDefault="0007302A" w:rsidP="00315C6F">
            <w:pPr>
              <w:pStyle w:val="Tableoutcomeshead"/>
            </w:pPr>
            <w:r w:rsidRPr="009D52D0">
              <w:t>Impacts PLOs (Q6</w:t>
            </w:r>
            <w:r>
              <w:t xml:space="preserve"> </w:t>
            </w:r>
            <w:r w:rsidRPr="009D52D0">
              <w:t>&amp;</w:t>
            </w:r>
            <w:r>
              <w:t xml:space="preserve"> </w:t>
            </w:r>
            <w:r w:rsidRPr="009D52D0">
              <w:t>7 cover sheet)</w:t>
            </w:r>
          </w:p>
        </w:tc>
      </w:tr>
      <w:tr w:rsidR="0007302A" w:rsidRPr="009D52D0" w14:paraId="45C6D0EA" w14:textId="77777777" w:rsidTr="0007302A">
        <w:trPr>
          <w:trHeight w:val="305"/>
        </w:trPr>
        <w:tc>
          <w:tcPr>
            <w:tcW w:w="1592" w:type="dxa"/>
          </w:tcPr>
          <w:p w14:paraId="76FB2E1E" w14:textId="4DA28A8A" w:rsidR="0007302A" w:rsidRPr="009D52D0" w:rsidRDefault="0007302A" w:rsidP="00315C6F">
            <w:pPr>
              <w:pStyle w:val="Tabledivuseonly"/>
            </w:pPr>
            <w:r>
              <w:t>23.09.2015</w:t>
            </w:r>
          </w:p>
        </w:tc>
        <w:tc>
          <w:tcPr>
            <w:tcW w:w="1817" w:type="dxa"/>
          </w:tcPr>
          <w:p w14:paraId="1D2538B3" w14:textId="77777777" w:rsidR="0007302A" w:rsidRPr="009D52D0" w:rsidRDefault="0007302A" w:rsidP="00315C6F">
            <w:pPr>
              <w:pStyle w:val="Tabledivuseonly"/>
            </w:pPr>
          </w:p>
        </w:tc>
        <w:tc>
          <w:tcPr>
            <w:tcW w:w="2256" w:type="dxa"/>
          </w:tcPr>
          <w:p w14:paraId="37FCF1FC" w14:textId="2176DFE0" w:rsidR="0007302A" w:rsidRPr="009D52D0" w:rsidRDefault="0007302A" w:rsidP="00315C6F">
            <w:pPr>
              <w:pStyle w:val="Tabledivuseonly"/>
            </w:pPr>
            <w:r>
              <w:t>September 2015</w:t>
            </w:r>
          </w:p>
        </w:tc>
        <w:tc>
          <w:tcPr>
            <w:tcW w:w="2410" w:type="dxa"/>
          </w:tcPr>
          <w:p w14:paraId="7DDC2AE8" w14:textId="77777777" w:rsidR="0007302A" w:rsidRPr="009D52D0" w:rsidRDefault="0007302A" w:rsidP="00315C6F">
            <w:pPr>
              <w:pStyle w:val="Tabledivuseonly"/>
            </w:pPr>
          </w:p>
        </w:tc>
        <w:tc>
          <w:tcPr>
            <w:tcW w:w="2126" w:type="dxa"/>
          </w:tcPr>
          <w:p w14:paraId="026708BC" w14:textId="77777777" w:rsidR="0007302A" w:rsidRPr="009D52D0" w:rsidRDefault="0007302A" w:rsidP="00315C6F">
            <w:pPr>
              <w:pStyle w:val="Tabledivuseonly"/>
            </w:pPr>
          </w:p>
        </w:tc>
      </w:tr>
      <w:tr w:rsidR="0007302A" w:rsidRPr="009D52D0" w14:paraId="31C9E41D" w14:textId="77777777" w:rsidTr="0007302A">
        <w:trPr>
          <w:trHeight w:val="305"/>
        </w:trPr>
        <w:tc>
          <w:tcPr>
            <w:tcW w:w="1592" w:type="dxa"/>
          </w:tcPr>
          <w:p w14:paraId="774978D3" w14:textId="1FF0849C" w:rsidR="0007302A" w:rsidRPr="009D52D0" w:rsidRDefault="0007302A" w:rsidP="00315C6F">
            <w:pPr>
              <w:pStyle w:val="Tabledivuseonly"/>
            </w:pPr>
            <w:r>
              <w:t>05.12.22</w:t>
            </w:r>
          </w:p>
        </w:tc>
        <w:tc>
          <w:tcPr>
            <w:tcW w:w="1817" w:type="dxa"/>
          </w:tcPr>
          <w:p w14:paraId="58AD22FF" w14:textId="1D69814E" w:rsidR="0007302A" w:rsidRPr="009D52D0" w:rsidRDefault="0007302A" w:rsidP="00315C6F">
            <w:pPr>
              <w:pStyle w:val="Tabledivuseonly"/>
            </w:pPr>
            <w:r>
              <w:t>Major</w:t>
            </w:r>
          </w:p>
        </w:tc>
        <w:tc>
          <w:tcPr>
            <w:tcW w:w="2256" w:type="dxa"/>
          </w:tcPr>
          <w:p w14:paraId="052483A8" w14:textId="0A0222EE" w:rsidR="0007302A" w:rsidRPr="009D52D0" w:rsidRDefault="0007302A" w:rsidP="00315C6F">
            <w:pPr>
              <w:pStyle w:val="Tabledivuseonly"/>
            </w:pPr>
            <w:r>
              <w:t>September 2023</w:t>
            </w:r>
          </w:p>
        </w:tc>
        <w:tc>
          <w:tcPr>
            <w:tcW w:w="2410" w:type="dxa"/>
          </w:tcPr>
          <w:p w14:paraId="64DB7089" w14:textId="5A00E819" w:rsidR="0007302A" w:rsidRPr="009D52D0" w:rsidRDefault="0007302A" w:rsidP="00315C6F">
            <w:pPr>
              <w:pStyle w:val="Tabledivuseonly"/>
            </w:pPr>
            <w:r w:rsidRPr="0007302A">
              <w:t>5, 6, 7, 8, 9, 10, 11, 13, 14, 17</w:t>
            </w:r>
          </w:p>
        </w:tc>
        <w:tc>
          <w:tcPr>
            <w:tcW w:w="2126" w:type="dxa"/>
          </w:tcPr>
          <w:p w14:paraId="517933ED" w14:textId="77777777" w:rsidR="0007302A" w:rsidRPr="009D52D0" w:rsidRDefault="0007302A" w:rsidP="00315C6F">
            <w:pPr>
              <w:pStyle w:val="Tabledivuseonly"/>
            </w:pPr>
          </w:p>
        </w:tc>
      </w:tr>
      <w:bookmarkEnd w:id="0"/>
      <w:bookmarkEnd w:id="1"/>
    </w:tbl>
    <w:p w14:paraId="7203F295" w14:textId="77777777" w:rsidR="0007302A" w:rsidRPr="009D52D0" w:rsidRDefault="0007302A" w:rsidP="0007302A">
      <w:pPr>
        <w:spacing w:after="120" w:line="240" w:lineRule="auto"/>
        <w:ind w:right="543"/>
        <w:rPr>
          <w:rFonts w:ascii="Arial" w:hAnsi="Arial" w:cs="Arial"/>
          <w:sz w:val="24"/>
          <w:szCs w:val="24"/>
        </w:rPr>
      </w:pPr>
    </w:p>
    <w:sectPr w:rsidR="0007302A" w:rsidRPr="009D52D0" w:rsidSect="00122053">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2D869" w14:textId="77777777" w:rsidR="00B42D8A" w:rsidRDefault="00B42D8A" w:rsidP="009A2D37">
      <w:pPr>
        <w:spacing w:after="0" w:line="240" w:lineRule="auto"/>
      </w:pPr>
      <w:r>
        <w:separator/>
      </w:r>
    </w:p>
  </w:endnote>
  <w:endnote w:type="continuationSeparator" w:id="0">
    <w:p w14:paraId="3D8125D0" w14:textId="77777777" w:rsidR="00B42D8A" w:rsidRDefault="00B42D8A" w:rsidP="009A2D37">
      <w:pPr>
        <w:spacing w:after="0" w:line="240" w:lineRule="auto"/>
      </w:pPr>
      <w:r>
        <w:continuationSeparator/>
      </w:r>
    </w:p>
  </w:endnote>
  <w:endnote w:type="continuationNotice" w:id="1">
    <w:p w14:paraId="4097BEB4" w14:textId="77777777" w:rsidR="00B42D8A" w:rsidRDefault="00B42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6DE4170F" w:rsidR="008B2543" w:rsidRPr="007B7724" w:rsidRDefault="008B2543" w:rsidP="0007302A">
    <w:pPr>
      <w:spacing w:after="0" w:line="240" w:lineRule="auto"/>
      <w:ind w:left="425" w:firstLine="142"/>
      <w:jc w:val="both"/>
      <w:rPr>
        <w:rFonts w:ascii="Arial" w:hAnsi="Arial"/>
        <w:sz w:val="18"/>
      </w:rPr>
    </w:pPr>
    <w:r w:rsidRPr="007B7724">
      <w:rPr>
        <w:rFonts w:ascii="Arial" w:hAnsi="Arial"/>
        <w:sz w:val="18"/>
      </w:rPr>
      <w:t>Module Specification</w:t>
    </w:r>
    <w:r w:rsidR="00FC1760">
      <w:rPr>
        <w:rFonts w:ascii="Arial" w:hAnsi="Arial"/>
        <w:sz w:val="18"/>
      </w:rPr>
      <w:t xml:space="preserve">: </w:t>
    </w:r>
    <w:r w:rsidR="00FC1760" w:rsidRPr="00FC1760">
      <w:rPr>
        <w:rFonts w:ascii="Arial" w:hAnsi="Arial"/>
        <w:sz w:val="18"/>
      </w:rPr>
      <w:t xml:space="preserve">POLI6870 Political Research and </w:t>
    </w:r>
    <w:r w:rsidR="00FC1760" w:rsidRPr="00FC1760">
      <w:rPr>
        <w:rFonts w:ascii="Arial" w:hAnsi="Arial"/>
        <w:sz w:val="18"/>
      </w:rPr>
      <w:t/>
    </w:r>
    <w:r w:rsidR="00FC1760" w:rsidRPr="00FC1760">
      <w:rPr>
        <w:rFonts w:ascii="Arial" w:hAnsi="Arial"/>
        <w:sz w:val="18"/>
      </w:rPr>
      <w:t>Analysis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D974" w14:textId="77777777" w:rsidR="00B42D8A" w:rsidRDefault="00B42D8A" w:rsidP="009A2D37">
      <w:pPr>
        <w:spacing w:after="0" w:line="240" w:lineRule="auto"/>
      </w:pPr>
      <w:r>
        <w:separator/>
      </w:r>
    </w:p>
  </w:footnote>
  <w:footnote w:type="continuationSeparator" w:id="0">
    <w:p w14:paraId="1A0D6F99" w14:textId="77777777" w:rsidR="00B42D8A" w:rsidRDefault="00B42D8A" w:rsidP="009A2D37">
      <w:pPr>
        <w:spacing w:after="0" w:line="240" w:lineRule="auto"/>
      </w:pPr>
      <w:r>
        <w:continuationSeparator/>
      </w:r>
    </w:p>
  </w:footnote>
  <w:footnote w:type="continuationNotice" w:id="1">
    <w:p w14:paraId="7331A06D" w14:textId="77777777" w:rsidR="00B42D8A" w:rsidRDefault="00B42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B160D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F654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0E264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8E569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74A93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DE63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E94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361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9DA6C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43B23886"/>
    <w:multiLevelType w:val="multilevel"/>
    <w:tmpl w:val="6B5AD66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9A5732F"/>
    <w:multiLevelType w:val="hybridMultilevel"/>
    <w:tmpl w:val="340862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FBC2FD7"/>
    <w:multiLevelType w:val="hybridMultilevel"/>
    <w:tmpl w:val="74E02AE0"/>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2793846"/>
    <w:multiLevelType w:val="multilevel"/>
    <w:tmpl w:val="084230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451FF1"/>
    <w:multiLevelType w:val="hybridMultilevel"/>
    <w:tmpl w:val="1E48F868"/>
    <w:lvl w:ilvl="0" w:tplc="0809000F">
      <w:start w:val="1"/>
      <w:numFmt w:val="decimal"/>
      <w:lvlText w:val="%1."/>
      <w:lvlJc w:val="left"/>
      <w:pPr>
        <w:ind w:left="1080" w:hanging="360"/>
      </w:pPr>
      <w:rPr>
        <w:b w:val="0"/>
        <w:i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F686371"/>
    <w:multiLevelType w:val="hybridMultilevel"/>
    <w:tmpl w:val="679C2F0A"/>
    <w:lvl w:ilvl="0" w:tplc="FFFFFFFF">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406809840">
    <w:abstractNumId w:val="11"/>
  </w:num>
  <w:num w:numId="2" w16cid:durableId="2083747130">
    <w:abstractNumId w:val="9"/>
  </w:num>
  <w:num w:numId="3" w16cid:durableId="665131872">
    <w:abstractNumId w:val="12"/>
  </w:num>
  <w:num w:numId="4" w16cid:durableId="5062534">
    <w:abstractNumId w:val="10"/>
  </w:num>
  <w:num w:numId="5" w16cid:durableId="1085690679">
    <w:abstractNumId w:val="21"/>
  </w:num>
  <w:num w:numId="6" w16cid:durableId="692924628">
    <w:abstractNumId w:val="19"/>
  </w:num>
  <w:num w:numId="7" w16cid:durableId="1426803592">
    <w:abstractNumId w:val="24"/>
  </w:num>
  <w:num w:numId="8" w16cid:durableId="1233352759">
    <w:abstractNumId w:val="20"/>
  </w:num>
  <w:num w:numId="9" w16cid:durableId="2026323362">
    <w:abstractNumId w:val="13"/>
  </w:num>
  <w:num w:numId="10" w16cid:durableId="647435854">
    <w:abstractNumId w:val="14"/>
  </w:num>
  <w:num w:numId="11" w16cid:durableId="1053381861">
    <w:abstractNumId w:val="25"/>
  </w:num>
  <w:num w:numId="12" w16cid:durableId="343829145">
    <w:abstractNumId w:val="22"/>
  </w:num>
  <w:num w:numId="13" w16cid:durableId="1237129338">
    <w:abstractNumId w:val="16"/>
  </w:num>
  <w:num w:numId="14" w16cid:durableId="995913159">
    <w:abstractNumId w:val="23"/>
  </w:num>
  <w:num w:numId="15" w16cid:durableId="255948338">
    <w:abstractNumId w:val="17"/>
  </w:num>
  <w:num w:numId="16" w16cid:durableId="1209031059">
    <w:abstractNumId w:val="18"/>
  </w:num>
  <w:num w:numId="17" w16cid:durableId="1285582155">
    <w:abstractNumId w:val="15"/>
  </w:num>
  <w:num w:numId="18" w16cid:durableId="1508251220">
    <w:abstractNumId w:val="7"/>
  </w:num>
  <w:num w:numId="19" w16cid:durableId="1607467760">
    <w:abstractNumId w:val="6"/>
  </w:num>
  <w:num w:numId="20" w16cid:durableId="1450932902">
    <w:abstractNumId w:val="5"/>
  </w:num>
  <w:num w:numId="21" w16cid:durableId="1961062662">
    <w:abstractNumId w:val="4"/>
  </w:num>
  <w:num w:numId="22" w16cid:durableId="1003703064">
    <w:abstractNumId w:val="8"/>
  </w:num>
  <w:num w:numId="23" w16cid:durableId="1695382332">
    <w:abstractNumId w:val="3"/>
  </w:num>
  <w:num w:numId="24" w16cid:durableId="142241754">
    <w:abstractNumId w:val="2"/>
  </w:num>
  <w:num w:numId="25" w16cid:durableId="2073506165">
    <w:abstractNumId w:val="1"/>
  </w:num>
  <w:num w:numId="26" w16cid:durableId="1614894823">
    <w:abstractNumId w:val="0"/>
  </w:num>
  <w:num w:numId="27" w16cid:durableId="696583393">
    <w:abstractNumId w:val="11"/>
  </w:num>
  <w:num w:numId="28" w16cid:durableId="92627368">
    <w:abstractNumId w:val="11"/>
  </w:num>
  <w:num w:numId="29" w16cid:durableId="1187136714">
    <w:abstractNumId w:val="9"/>
  </w:num>
  <w:num w:numId="30" w16cid:durableId="18613598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4A8"/>
    <w:rsid w:val="00010A16"/>
    <w:rsid w:val="00011DDD"/>
    <w:rsid w:val="0001243F"/>
    <w:rsid w:val="00021EA0"/>
    <w:rsid w:val="00025992"/>
    <w:rsid w:val="00027937"/>
    <w:rsid w:val="00030C9E"/>
    <w:rsid w:val="00031E67"/>
    <w:rsid w:val="00032E9B"/>
    <w:rsid w:val="000408CC"/>
    <w:rsid w:val="00045373"/>
    <w:rsid w:val="00063A2F"/>
    <w:rsid w:val="000674E0"/>
    <w:rsid w:val="000678D3"/>
    <w:rsid w:val="00072357"/>
    <w:rsid w:val="0007302A"/>
    <w:rsid w:val="000813A9"/>
    <w:rsid w:val="00082D62"/>
    <w:rsid w:val="00091529"/>
    <w:rsid w:val="00094810"/>
    <w:rsid w:val="00094825"/>
    <w:rsid w:val="00096DA4"/>
    <w:rsid w:val="000A0E79"/>
    <w:rsid w:val="000C0294"/>
    <w:rsid w:val="000C3A7E"/>
    <w:rsid w:val="000C426C"/>
    <w:rsid w:val="000C4E17"/>
    <w:rsid w:val="000C7A1C"/>
    <w:rsid w:val="000D2A8A"/>
    <w:rsid w:val="000D32AC"/>
    <w:rsid w:val="000E20C1"/>
    <w:rsid w:val="000E3B73"/>
    <w:rsid w:val="000E47B5"/>
    <w:rsid w:val="000F6C56"/>
    <w:rsid w:val="000F7FBF"/>
    <w:rsid w:val="00106BE5"/>
    <w:rsid w:val="00110947"/>
    <w:rsid w:val="00111906"/>
    <w:rsid w:val="00111CB3"/>
    <w:rsid w:val="00117577"/>
    <w:rsid w:val="00117793"/>
    <w:rsid w:val="001206E4"/>
    <w:rsid w:val="001214D3"/>
    <w:rsid w:val="00121BFC"/>
    <w:rsid w:val="00122053"/>
    <w:rsid w:val="00125087"/>
    <w:rsid w:val="001402AD"/>
    <w:rsid w:val="001540CE"/>
    <w:rsid w:val="0015717B"/>
    <w:rsid w:val="00157ACA"/>
    <w:rsid w:val="00160427"/>
    <w:rsid w:val="00162D46"/>
    <w:rsid w:val="00172793"/>
    <w:rsid w:val="00176910"/>
    <w:rsid w:val="00180558"/>
    <w:rsid w:val="001811E5"/>
    <w:rsid w:val="00183B34"/>
    <w:rsid w:val="00185F46"/>
    <w:rsid w:val="00196C6A"/>
    <w:rsid w:val="0019718C"/>
    <w:rsid w:val="0019787E"/>
    <w:rsid w:val="001A425B"/>
    <w:rsid w:val="001A5E80"/>
    <w:rsid w:val="001A7762"/>
    <w:rsid w:val="001B1B28"/>
    <w:rsid w:val="001B2030"/>
    <w:rsid w:val="001B26A4"/>
    <w:rsid w:val="001B27FB"/>
    <w:rsid w:val="001C1787"/>
    <w:rsid w:val="001C4A85"/>
    <w:rsid w:val="001C5443"/>
    <w:rsid w:val="001D0C7D"/>
    <w:rsid w:val="001D1AF5"/>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3E48"/>
    <w:rsid w:val="002565B4"/>
    <w:rsid w:val="00264576"/>
    <w:rsid w:val="0026585A"/>
    <w:rsid w:val="00266735"/>
    <w:rsid w:val="00273CF0"/>
    <w:rsid w:val="002748D4"/>
    <w:rsid w:val="00274ED7"/>
    <w:rsid w:val="002841F1"/>
    <w:rsid w:val="0028461D"/>
    <w:rsid w:val="0028590C"/>
    <w:rsid w:val="00292C46"/>
    <w:rsid w:val="002938D6"/>
    <w:rsid w:val="00294B73"/>
    <w:rsid w:val="002A0C18"/>
    <w:rsid w:val="002A219B"/>
    <w:rsid w:val="002A22DB"/>
    <w:rsid w:val="002B20F5"/>
    <w:rsid w:val="002B2A1A"/>
    <w:rsid w:val="002B71F2"/>
    <w:rsid w:val="002D1DDF"/>
    <w:rsid w:val="002D25BE"/>
    <w:rsid w:val="002D59D8"/>
    <w:rsid w:val="002E71C0"/>
    <w:rsid w:val="002F05F4"/>
    <w:rsid w:val="002F0CE4"/>
    <w:rsid w:val="002F23EF"/>
    <w:rsid w:val="002F2626"/>
    <w:rsid w:val="003004B4"/>
    <w:rsid w:val="00302082"/>
    <w:rsid w:val="00304A23"/>
    <w:rsid w:val="00306620"/>
    <w:rsid w:val="0031643E"/>
    <w:rsid w:val="0032531C"/>
    <w:rsid w:val="003262B9"/>
    <w:rsid w:val="00326868"/>
    <w:rsid w:val="00334A02"/>
    <w:rsid w:val="003354FD"/>
    <w:rsid w:val="00335875"/>
    <w:rsid w:val="00335FBE"/>
    <w:rsid w:val="003423CD"/>
    <w:rsid w:val="00351D4F"/>
    <w:rsid w:val="00352D8E"/>
    <w:rsid w:val="00356B68"/>
    <w:rsid w:val="0035702D"/>
    <w:rsid w:val="003604D4"/>
    <w:rsid w:val="003627B0"/>
    <w:rsid w:val="0036724E"/>
    <w:rsid w:val="003700E5"/>
    <w:rsid w:val="0037014C"/>
    <w:rsid w:val="00374DF6"/>
    <w:rsid w:val="003759B0"/>
    <w:rsid w:val="00375F84"/>
    <w:rsid w:val="00375FDF"/>
    <w:rsid w:val="00376E34"/>
    <w:rsid w:val="003804E7"/>
    <w:rsid w:val="00383499"/>
    <w:rsid w:val="00391263"/>
    <w:rsid w:val="003934D2"/>
    <w:rsid w:val="003973A1"/>
    <w:rsid w:val="003A5DA0"/>
    <w:rsid w:val="003A5EEB"/>
    <w:rsid w:val="003A6143"/>
    <w:rsid w:val="003B35F4"/>
    <w:rsid w:val="003B7C76"/>
    <w:rsid w:val="003C3E0C"/>
    <w:rsid w:val="003C442B"/>
    <w:rsid w:val="003C776B"/>
    <w:rsid w:val="003D4A1C"/>
    <w:rsid w:val="003D7AA0"/>
    <w:rsid w:val="003E1FF7"/>
    <w:rsid w:val="003E311D"/>
    <w:rsid w:val="003F3196"/>
    <w:rsid w:val="003F3578"/>
    <w:rsid w:val="003F4470"/>
    <w:rsid w:val="003F5A04"/>
    <w:rsid w:val="003F67CD"/>
    <w:rsid w:val="003F6D26"/>
    <w:rsid w:val="00402ED7"/>
    <w:rsid w:val="00406AE6"/>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2FFC"/>
    <w:rsid w:val="00496AA3"/>
    <w:rsid w:val="00497C98"/>
    <w:rsid w:val="004A39D7"/>
    <w:rsid w:val="004A3C23"/>
    <w:rsid w:val="004A55FA"/>
    <w:rsid w:val="004B5D03"/>
    <w:rsid w:val="004C1EC4"/>
    <w:rsid w:val="004D035C"/>
    <w:rsid w:val="004F3C18"/>
    <w:rsid w:val="004F4328"/>
    <w:rsid w:val="005005E4"/>
    <w:rsid w:val="00500B56"/>
    <w:rsid w:val="00512A58"/>
    <w:rsid w:val="00513689"/>
    <w:rsid w:val="0051375A"/>
    <w:rsid w:val="00521097"/>
    <w:rsid w:val="0053059E"/>
    <w:rsid w:val="00532F6F"/>
    <w:rsid w:val="00533663"/>
    <w:rsid w:val="00542219"/>
    <w:rsid w:val="005460C2"/>
    <w:rsid w:val="005526FB"/>
    <w:rsid w:val="0055280A"/>
    <w:rsid w:val="00553D19"/>
    <w:rsid w:val="005548E1"/>
    <w:rsid w:val="00555101"/>
    <w:rsid w:val="0055585D"/>
    <w:rsid w:val="0056127B"/>
    <w:rsid w:val="00561D26"/>
    <w:rsid w:val="0056277B"/>
    <w:rsid w:val="00564738"/>
    <w:rsid w:val="00567EC9"/>
    <w:rsid w:val="00571630"/>
    <w:rsid w:val="005718A2"/>
    <w:rsid w:val="005759F4"/>
    <w:rsid w:val="005779D1"/>
    <w:rsid w:val="0058041A"/>
    <w:rsid w:val="005859F9"/>
    <w:rsid w:val="0058743D"/>
    <w:rsid w:val="00587BF7"/>
    <w:rsid w:val="00592034"/>
    <w:rsid w:val="00592984"/>
    <w:rsid w:val="0059417F"/>
    <w:rsid w:val="0059477B"/>
    <w:rsid w:val="00596884"/>
    <w:rsid w:val="005A14B5"/>
    <w:rsid w:val="005A411A"/>
    <w:rsid w:val="005B08C1"/>
    <w:rsid w:val="005B1D5B"/>
    <w:rsid w:val="005B2F01"/>
    <w:rsid w:val="005B5A98"/>
    <w:rsid w:val="005B7540"/>
    <w:rsid w:val="005C1A4F"/>
    <w:rsid w:val="005C27D7"/>
    <w:rsid w:val="005C3373"/>
    <w:rsid w:val="005C677E"/>
    <w:rsid w:val="005D6EB5"/>
    <w:rsid w:val="005D7CD0"/>
    <w:rsid w:val="005E1A3A"/>
    <w:rsid w:val="005E6ADC"/>
    <w:rsid w:val="005E6D10"/>
    <w:rsid w:val="005E6D38"/>
    <w:rsid w:val="005E7B3F"/>
    <w:rsid w:val="005F040F"/>
    <w:rsid w:val="005F2C42"/>
    <w:rsid w:val="006043FC"/>
    <w:rsid w:val="006050CF"/>
    <w:rsid w:val="006075D0"/>
    <w:rsid w:val="00614EDB"/>
    <w:rsid w:val="0062219E"/>
    <w:rsid w:val="006253AA"/>
    <w:rsid w:val="00626023"/>
    <w:rsid w:val="00633150"/>
    <w:rsid w:val="006336C2"/>
    <w:rsid w:val="00636058"/>
    <w:rsid w:val="00637A50"/>
    <w:rsid w:val="006407C9"/>
    <w:rsid w:val="00641D6D"/>
    <w:rsid w:val="00642C7C"/>
    <w:rsid w:val="0064364E"/>
    <w:rsid w:val="006438F3"/>
    <w:rsid w:val="00647907"/>
    <w:rsid w:val="00651A82"/>
    <w:rsid w:val="006525E9"/>
    <w:rsid w:val="0065409B"/>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C7109"/>
    <w:rsid w:val="006D13C0"/>
    <w:rsid w:val="006D41AB"/>
    <w:rsid w:val="006D444F"/>
    <w:rsid w:val="006E413A"/>
    <w:rsid w:val="006E4FEA"/>
    <w:rsid w:val="006E7F74"/>
    <w:rsid w:val="006F1A15"/>
    <w:rsid w:val="006F3F8B"/>
    <w:rsid w:val="00700488"/>
    <w:rsid w:val="00703404"/>
    <w:rsid w:val="0070379E"/>
    <w:rsid w:val="00703F92"/>
    <w:rsid w:val="00704637"/>
    <w:rsid w:val="007105E4"/>
    <w:rsid w:val="00710647"/>
    <w:rsid w:val="00714EE5"/>
    <w:rsid w:val="00720270"/>
    <w:rsid w:val="00720717"/>
    <w:rsid w:val="00720D74"/>
    <w:rsid w:val="00724362"/>
    <w:rsid w:val="00727780"/>
    <w:rsid w:val="0073792C"/>
    <w:rsid w:val="00741279"/>
    <w:rsid w:val="007505FB"/>
    <w:rsid w:val="00754069"/>
    <w:rsid w:val="00762AD5"/>
    <w:rsid w:val="00765ED0"/>
    <w:rsid w:val="007667DF"/>
    <w:rsid w:val="0077080B"/>
    <w:rsid w:val="00781300"/>
    <w:rsid w:val="00782919"/>
    <w:rsid w:val="00787070"/>
    <w:rsid w:val="007906FD"/>
    <w:rsid w:val="00797197"/>
    <w:rsid w:val="007972A7"/>
    <w:rsid w:val="007A2BA2"/>
    <w:rsid w:val="007A3F31"/>
    <w:rsid w:val="007A49C1"/>
    <w:rsid w:val="007A6245"/>
    <w:rsid w:val="007B1DB2"/>
    <w:rsid w:val="007B1FD3"/>
    <w:rsid w:val="007B375B"/>
    <w:rsid w:val="007B3BFB"/>
    <w:rsid w:val="007B412A"/>
    <w:rsid w:val="007B635E"/>
    <w:rsid w:val="007B7724"/>
    <w:rsid w:val="007B7CDC"/>
    <w:rsid w:val="007C74B4"/>
    <w:rsid w:val="007D5097"/>
    <w:rsid w:val="007E170A"/>
    <w:rsid w:val="007E3412"/>
    <w:rsid w:val="007E76A2"/>
    <w:rsid w:val="007F393D"/>
    <w:rsid w:val="007F3C21"/>
    <w:rsid w:val="008029AF"/>
    <w:rsid w:val="00802FFA"/>
    <w:rsid w:val="00805A19"/>
    <w:rsid w:val="008102E5"/>
    <w:rsid w:val="008111B4"/>
    <w:rsid w:val="008133F0"/>
    <w:rsid w:val="008142FF"/>
    <w:rsid w:val="0081492F"/>
    <w:rsid w:val="00815880"/>
    <w:rsid w:val="0082322C"/>
    <w:rsid w:val="00823942"/>
    <w:rsid w:val="00827FFD"/>
    <w:rsid w:val="008468D9"/>
    <w:rsid w:val="00854535"/>
    <w:rsid w:val="00856B18"/>
    <w:rsid w:val="00856EB3"/>
    <w:rsid w:val="00863C96"/>
    <w:rsid w:val="00864A72"/>
    <w:rsid w:val="00873E9F"/>
    <w:rsid w:val="00874047"/>
    <w:rsid w:val="008778CB"/>
    <w:rsid w:val="00881545"/>
    <w:rsid w:val="00883204"/>
    <w:rsid w:val="00883A3E"/>
    <w:rsid w:val="0088428D"/>
    <w:rsid w:val="0089148D"/>
    <w:rsid w:val="00891E0D"/>
    <w:rsid w:val="0089713D"/>
    <w:rsid w:val="008A0F36"/>
    <w:rsid w:val="008B2543"/>
    <w:rsid w:val="008B4B6E"/>
    <w:rsid w:val="008B7A13"/>
    <w:rsid w:val="008D4447"/>
    <w:rsid w:val="008D7401"/>
    <w:rsid w:val="008E50A1"/>
    <w:rsid w:val="00901652"/>
    <w:rsid w:val="00903DF6"/>
    <w:rsid w:val="00921CF6"/>
    <w:rsid w:val="00922E9E"/>
    <w:rsid w:val="00924EF0"/>
    <w:rsid w:val="00934D7B"/>
    <w:rsid w:val="00937E77"/>
    <w:rsid w:val="00940365"/>
    <w:rsid w:val="00947180"/>
    <w:rsid w:val="009567BE"/>
    <w:rsid w:val="009676FA"/>
    <w:rsid w:val="009679E0"/>
    <w:rsid w:val="00977632"/>
    <w:rsid w:val="00982A8E"/>
    <w:rsid w:val="00986BE6"/>
    <w:rsid w:val="00987DB4"/>
    <w:rsid w:val="0099029D"/>
    <w:rsid w:val="00996204"/>
    <w:rsid w:val="009A26CB"/>
    <w:rsid w:val="009A2BC2"/>
    <w:rsid w:val="009A2D37"/>
    <w:rsid w:val="009A7587"/>
    <w:rsid w:val="009B0A69"/>
    <w:rsid w:val="009B4F5B"/>
    <w:rsid w:val="009C2474"/>
    <w:rsid w:val="009C2B89"/>
    <w:rsid w:val="009C6F37"/>
    <w:rsid w:val="009C7082"/>
    <w:rsid w:val="009D0006"/>
    <w:rsid w:val="009D068C"/>
    <w:rsid w:val="009D404B"/>
    <w:rsid w:val="009D52D0"/>
    <w:rsid w:val="009E070B"/>
    <w:rsid w:val="009F058B"/>
    <w:rsid w:val="009F3A2A"/>
    <w:rsid w:val="009F5EA4"/>
    <w:rsid w:val="009F731F"/>
    <w:rsid w:val="009F7D33"/>
    <w:rsid w:val="00A00E14"/>
    <w:rsid w:val="00A021FE"/>
    <w:rsid w:val="00A07FD8"/>
    <w:rsid w:val="00A1270E"/>
    <w:rsid w:val="00A13526"/>
    <w:rsid w:val="00A15342"/>
    <w:rsid w:val="00A15EC7"/>
    <w:rsid w:val="00A17683"/>
    <w:rsid w:val="00A3007E"/>
    <w:rsid w:val="00A32048"/>
    <w:rsid w:val="00A41970"/>
    <w:rsid w:val="00A41F06"/>
    <w:rsid w:val="00A422DE"/>
    <w:rsid w:val="00A50FD4"/>
    <w:rsid w:val="00A52DB4"/>
    <w:rsid w:val="00A53475"/>
    <w:rsid w:val="00A60028"/>
    <w:rsid w:val="00A618E1"/>
    <w:rsid w:val="00A629B9"/>
    <w:rsid w:val="00A70C20"/>
    <w:rsid w:val="00A7271A"/>
    <w:rsid w:val="00A74292"/>
    <w:rsid w:val="00A776DE"/>
    <w:rsid w:val="00A80640"/>
    <w:rsid w:val="00A87FFD"/>
    <w:rsid w:val="00A90B62"/>
    <w:rsid w:val="00A97038"/>
    <w:rsid w:val="00A97CB8"/>
    <w:rsid w:val="00AA3C15"/>
    <w:rsid w:val="00AA6330"/>
    <w:rsid w:val="00AB2175"/>
    <w:rsid w:val="00AC3AC0"/>
    <w:rsid w:val="00AC7501"/>
    <w:rsid w:val="00AD748B"/>
    <w:rsid w:val="00AE4865"/>
    <w:rsid w:val="00AE6FC7"/>
    <w:rsid w:val="00AF50EE"/>
    <w:rsid w:val="00B0591D"/>
    <w:rsid w:val="00B11A37"/>
    <w:rsid w:val="00B13402"/>
    <w:rsid w:val="00B14BC2"/>
    <w:rsid w:val="00B14FA5"/>
    <w:rsid w:val="00B17024"/>
    <w:rsid w:val="00B17CD2"/>
    <w:rsid w:val="00B213D2"/>
    <w:rsid w:val="00B248BA"/>
    <w:rsid w:val="00B24B56"/>
    <w:rsid w:val="00B2615D"/>
    <w:rsid w:val="00B30E07"/>
    <w:rsid w:val="00B34ADD"/>
    <w:rsid w:val="00B42D8A"/>
    <w:rsid w:val="00B449FD"/>
    <w:rsid w:val="00B52FF5"/>
    <w:rsid w:val="00B5498B"/>
    <w:rsid w:val="00B57219"/>
    <w:rsid w:val="00B63765"/>
    <w:rsid w:val="00B658A3"/>
    <w:rsid w:val="00B65AAD"/>
    <w:rsid w:val="00B7234C"/>
    <w:rsid w:val="00B72470"/>
    <w:rsid w:val="00B746A8"/>
    <w:rsid w:val="00B750F2"/>
    <w:rsid w:val="00B7664D"/>
    <w:rsid w:val="00B80989"/>
    <w:rsid w:val="00B90C66"/>
    <w:rsid w:val="00B9109B"/>
    <w:rsid w:val="00B927AE"/>
    <w:rsid w:val="00B93721"/>
    <w:rsid w:val="00B937B1"/>
    <w:rsid w:val="00BA1219"/>
    <w:rsid w:val="00BA453C"/>
    <w:rsid w:val="00BA4E02"/>
    <w:rsid w:val="00BB2045"/>
    <w:rsid w:val="00BB2A6D"/>
    <w:rsid w:val="00BB4189"/>
    <w:rsid w:val="00BC0AB2"/>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67D3"/>
    <w:rsid w:val="00CA3254"/>
    <w:rsid w:val="00CA6A1C"/>
    <w:rsid w:val="00CB11CE"/>
    <w:rsid w:val="00CC25A2"/>
    <w:rsid w:val="00CD7F07"/>
    <w:rsid w:val="00CE04F3"/>
    <w:rsid w:val="00CE12D8"/>
    <w:rsid w:val="00CE4574"/>
    <w:rsid w:val="00CE70E6"/>
    <w:rsid w:val="00CF0BCA"/>
    <w:rsid w:val="00CF2E1E"/>
    <w:rsid w:val="00D02E99"/>
    <w:rsid w:val="00D1240A"/>
    <w:rsid w:val="00D13357"/>
    <w:rsid w:val="00D13A13"/>
    <w:rsid w:val="00D2689A"/>
    <w:rsid w:val="00D27894"/>
    <w:rsid w:val="00D3542B"/>
    <w:rsid w:val="00D65506"/>
    <w:rsid w:val="00D773CF"/>
    <w:rsid w:val="00D83563"/>
    <w:rsid w:val="00D8448F"/>
    <w:rsid w:val="00DA64B6"/>
    <w:rsid w:val="00DB2B91"/>
    <w:rsid w:val="00DB5C9D"/>
    <w:rsid w:val="00DC3D34"/>
    <w:rsid w:val="00DC5E20"/>
    <w:rsid w:val="00DD02E6"/>
    <w:rsid w:val="00DD2E74"/>
    <w:rsid w:val="00DF665B"/>
    <w:rsid w:val="00E0152A"/>
    <w:rsid w:val="00E03394"/>
    <w:rsid w:val="00E066E5"/>
    <w:rsid w:val="00E1736E"/>
    <w:rsid w:val="00E21923"/>
    <w:rsid w:val="00E22F03"/>
    <w:rsid w:val="00E233C1"/>
    <w:rsid w:val="00E32667"/>
    <w:rsid w:val="00E51404"/>
    <w:rsid w:val="00E574C9"/>
    <w:rsid w:val="00E57F02"/>
    <w:rsid w:val="00E610DE"/>
    <w:rsid w:val="00E66167"/>
    <w:rsid w:val="00E71F2F"/>
    <w:rsid w:val="00E77786"/>
    <w:rsid w:val="00E806FB"/>
    <w:rsid w:val="00EA629D"/>
    <w:rsid w:val="00EB0365"/>
    <w:rsid w:val="00EB1C2D"/>
    <w:rsid w:val="00EB41D1"/>
    <w:rsid w:val="00EB58C9"/>
    <w:rsid w:val="00EB5F96"/>
    <w:rsid w:val="00EB7490"/>
    <w:rsid w:val="00EC1810"/>
    <w:rsid w:val="00EC3FCC"/>
    <w:rsid w:val="00EC5E77"/>
    <w:rsid w:val="00ED32FF"/>
    <w:rsid w:val="00ED58A5"/>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2DB1"/>
    <w:rsid w:val="00F330C5"/>
    <w:rsid w:val="00F340DE"/>
    <w:rsid w:val="00F34ED0"/>
    <w:rsid w:val="00F43542"/>
    <w:rsid w:val="00F44BAB"/>
    <w:rsid w:val="00F454E2"/>
    <w:rsid w:val="00F527CB"/>
    <w:rsid w:val="00F562AA"/>
    <w:rsid w:val="00F60C39"/>
    <w:rsid w:val="00F66975"/>
    <w:rsid w:val="00F7105A"/>
    <w:rsid w:val="00F732FB"/>
    <w:rsid w:val="00F7710E"/>
    <w:rsid w:val="00F77676"/>
    <w:rsid w:val="00F8197C"/>
    <w:rsid w:val="00F82B4E"/>
    <w:rsid w:val="00F87559"/>
    <w:rsid w:val="00F96D71"/>
    <w:rsid w:val="00F97C9E"/>
    <w:rsid w:val="00FA20DE"/>
    <w:rsid w:val="00FA4EE8"/>
    <w:rsid w:val="00FB12CA"/>
    <w:rsid w:val="00FB17CF"/>
    <w:rsid w:val="00FB2E32"/>
    <w:rsid w:val="00FB36EC"/>
    <w:rsid w:val="00FB4E1B"/>
    <w:rsid w:val="00FC0291"/>
    <w:rsid w:val="00FC1760"/>
    <w:rsid w:val="00FC1C92"/>
    <w:rsid w:val="00FD333B"/>
    <w:rsid w:val="00FD4FDC"/>
    <w:rsid w:val="00FD689C"/>
    <w:rsid w:val="00FD705C"/>
    <w:rsid w:val="00FD777A"/>
    <w:rsid w:val="00FE260B"/>
    <w:rsid w:val="00FE692E"/>
    <w:rsid w:val="00FF1D7F"/>
    <w:rsid w:val="00FF31CA"/>
    <w:rsid w:val="00FF6EB4"/>
    <w:rsid w:val="00FF7858"/>
    <w:rsid w:val="08248E66"/>
    <w:rsid w:val="1A206C19"/>
    <w:rsid w:val="1D1ACA0E"/>
    <w:rsid w:val="1F7E5FC6"/>
    <w:rsid w:val="29E5344E"/>
    <w:rsid w:val="2F1A48AE"/>
    <w:rsid w:val="31F9454B"/>
    <w:rsid w:val="3793843C"/>
    <w:rsid w:val="3B072E05"/>
    <w:rsid w:val="3B64F39E"/>
    <w:rsid w:val="3BE3EF90"/>
    <w:rsid w:val="417EC1B6"/>
    <w:rsid w:val="521F7371"/>
    <w:rsid w:val="58F4D27F"/>
    <w:rsid w:val="5A632BEC"/>
    <w:rsid w:val="62877F6E"/>
    <w:rsid w:val="65D244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053"/>
    <w:rPr>
      <w:rFonts w:eastAsiaTheme="minorEastAsia"/>
      <w:lang w:eastAsia="en-GB"/>
    </w:rPr>
  </w:style>
  <w:style w:type="paragraph" w:styleId="Heading1">
    <w:name w:val="heading 1"/>
    <w:basedOn w:val="Normal"/>
    <w:next w:val="Normal"/>
    <w:link w:val="Heading1Char"/>
    <w:qFormat/>
    <w:rsid w:val="00122053"/>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122053"/>
    <w:pPr>
      <w:ind w:left="567" w:hanging="567"/>
      <w:outlineLvl w:val="1"/>
    </w:pPr>
  </w:style>
  <w:style w:type="paragraph" w:styleId="Heading3">
    <w:name w:val="heading 3"/>
    <w:basedOn w:val="Normal"/>
    <w:next w:val="Normal"/>
    <w:link w:val="Heading3Char"/>
    <w:uiPriority w:val="9"/>
    <w:unhideWhenUsed/>
    <w:qFormat/>
    <w:rsid w:val="0012205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122053"/>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12205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22053"/>
  </w:style>
  <w:style w:type="character" w:styleId="Hyperlink">
    <w:name w:val="Hyperlink"/>
    <w:rsid w:val="00122053"/>
    <w:rPr>
      <w:color w:val="0000FF"/>
      <w:u w:val="single"/>
    </w:rPr>
  </w:style>
  <w:style w:type="paragraph" w:customStyle="1" w:styleId="Default">
    <w:name w:val="Default"/>
    <w:rsid w:val="00122053"/>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12205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22053"/>
    <w:pPr>
      <w:ind w:left="720"/>
      <w:contextualSpacing/>
    </w:pPr>
  </w:style>
  <w:style w:type="paragraph" w:styleId="Header">
    <w:name w:val="header"/>
    <w:basedOn w:val="Normal"/>
    <w:link w:val="HeaderChar"/>
    <w:uiPriority w:val="99"/>
    <w:unhideWhenUsed/>
    <w:rsid w:val="001220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2053"/>
    <w:rPr>
      <w:rFonts w:eastAsiaTheme="minorEastAsia"/>
      <w:lang w:eastAsia="en-GB"/>
    </w:rPr>
  </w:style>
  <w:style w:type="paragraph" w:styleId="Footer">
    <w:name w:val="footer"/>
    <w:basedOn w:val="Normal"/>
    <w:link w:val="FooterChar"/>
    <w:uiPriority w:val="99"/>
    <w:unhideWhenUsed/>
    <w:rsid w:val="00122053"/>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122053"/>
    <w:rPr>
      <w:rFonts w:ascii="Arial" w:eastAsiaTheme="minorEastAsia" w:hAnsi="Arial"/>
      <w:sz w:val="20"/>
      <w:lang w:eastAsia="en-GB"/>
    </w:rPr>
  </w:style>
  <w:style w:type="character" w:customStyle="1" w:styleId="Heading1Char">
    <w:name w:val="Heading 1 Char"/>
    <w:basedOn w:val="DefaultParagraphFont"/>
    <w:link w:val="Heading1"/>
    <w:rsid w:val="00122053"/>
    <w:rPr>
      <w:rFonts w:ascii="Plantin" w:eastAsia="Times New Roman" w:hAnsi="Plantin" w:cs="Times New Roman"/>
      <w:b/>
      <w:sz w:val="24"/>
      <w:szCs w:val="20"/>
    </w:rPr>
  </w:style>
  <w:style w:type="paragraph" w:styleId="ListBullet">
    <w:name w:val="List Bullet"/>
    <w:basedOn w:val="Normal"/>
    <w:uiPriority w:val="99"/>
    <w:unhideWhenUsed/>
    <w:rsid w:val="00122053"/>
    <w:pPr>
      <w:numPr>
        <w:numId w:val="29"/>
      </w:numPr>
      <w:spacing w:before="120" w:after="120" w:line="240" w:lineRule="auto"/>
      <w:ind w:left="1066" w:hanging="357"/>
    </w:pPr>
    <w:rPr>
      <w:rFonts w:ascii="Arial" w:hAnsi="Arial"/>
      <w:sz w:val="24"/>
    </w:rPr>
  </w:style>
  <w:style w:type="table" w:styleId="TableGrid">
    <w:name w:val="Table Grid"/>
    <w:basedOn w:val="TableNormal"/>
    <w:uiPriority w:val="59"/>
    <w:rsid w:val="00122053"/>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22053"/>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122053"/>
    <w:rPr>
      <w:rFonts w:ascii="Plantin" w:eastAsia="Times New Roman" w:hAnsi="Plantin" w:cs="Times New Roman"/>
      <w:b/>
      <w:sz w:val="24"/>
      <w:szCs w:val="20"/>
    </w:rPr>
  </w:style>
  <w:style w:type="paragraph" w:styleId="FootnoteText">
    <w:name w:val="footnote text"/>
    <w:basedOn w:val="Normal"/>
    <w:link w:val="FootnoteTextChar"/>
    <w:semiHidden/>
    <w:rsid w:val="00122053"/>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22053"/>
    <w:rPr>
      <w:rFonts w:ascii="Times New Roman" w:eastAsia="Times New Roman" w:hAnsi="Times New Roman" w:cs="Times New Roman"/>
      <w:sz w:val="20"/>
      <w:szCs w:val="20"/>
    </w:rPr>
  </w:style>
  <w:style w:type="character" w:styleId="FootnoteReference">
    <w:name w:val="footnote reference"/>
    <w:semiHidden/>
    <w:rsid w:val="00122053"/>
    <w:rPr>
      <w:vertAlign w:val="superscript"/>
    </w:rPr>
  </w:style>
  <w:style w:type="paragraph" w:styleId="BalloonText">
    <w:name w:val="Balloon Text"/>
    <w:basedOn w:val="Normal"/>
    <w:link w:val="BalloonTextChar"/>
    <w:uiPriority w:val="99"/>
    <w:semiHidden/>
    <w:unhideWhenUsed/>
    <w:rsid w:val="00122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2053"/>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122053"/>
    <w:rPr>
      <w:color w:val="800080" w:themeColor="followedHyperlink"/>
      <w:u w:val="single"/>
    </w:rPr>
  </w:style>
  <w:style w:type="character" w:styleId="CommentReference">
    <w:name w:val="annotation reference"/>
    <w:basedOn w:val="DefaultParagraphFont"/>
    <w:uiPriority w:val="99"/>
    <w:semiHidden/>
    <w:unhideWhenUsed/>
    <w:rsid w:val="00122053"/>
    <w:rPr>
      <w:sz w:val="16"/>
      <w:szCs w:val="16"/>
    </w:rPr>
  </w:style>
  <w:style w:type="paragraph" w:styleId="CommentText">
    <w:name w:val="annotation text"/>
    <w:basedOn w:val="Normal"/>
    <w:link w:val="CommentTextChar"/>
    <w:uiPriority w:val="99"/>
    <w:unhideWhenUsed/>
    <w:rsid w:val="00122053"/>
    <w:pPr>
      <w:spacing w:line="240" w:lineRule="auto"/>
    </w:pPr>
    <w:rPr>
      <w:sz w:val="20"/>
      <w:szCs w:val="20"/>
    </w:rPr>
  </w:style>
  <w:style w:type="character" w:customStyle="1" w:styleId="CommentTextChar">
    <w:name w:val="Comment Text Char"/>
    <w:basedOn w:val="DefaultParagraphFont"/>
    <w:link w:val="CommentText"/>
    <w:uiPriority w:val="99"/>
    <w:rsid w:val="00122053"/>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122053"/>
    <w:rPr>
      <w:b/>
      <w:bCs/>
    </w:rPr>
  </w:style>
  <w:style w:type="character" w:customStyle="1" w:styleId="CommentSubjectChar">
    <w:name w:val="Comment Subject Char"/>
    <w:basedOn w:val="CommentTextChar"/>
    <w:link w:val="CommentSubject"/>
    <w:uiPriority w:val="99"/>
    <w:semiHidden/>
    <w:rsid w:val="00122053"/>
    <w:rPr>
      <w:rFonts w:eastAsiaTheme="minorEastAsia"/>
      <w:b/>
      <w:bCs/>
      <w:sz w:val="20"/>
      <w:szCs w:val="20"/>
      <w:lang w:eastAsia="en-GB"/>
    </w:rPr>
  </w:style>
  <w:style w:type="table" w:customStyle="1" w:styleId="TableGrid1">
    <w:name w:val="Table Grid1"/>
    <w:basedOn w:val="TableNormal"/>
    <w:next w:val="TableGrid"/>
    <w:uiPriority w:val="59"/>
    <w:rsid w:val="0012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122053"/>
  </w:style>
  <w:style w:type="paragraph" w:styleId="PlainText">
    <w:name w:val="Plain Text"/>
    <w:basedOn w:val="Normal"/>
    <w:link w:val="PlainTextChar"/>
    <w:uiPriority w:val="99"/>
    <w:unhideWhenUsed/>
    <w:rsid w:val="00122053"/>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122053"/>
    <w:rPr>
      <w:rFonts w:ascii="Calibri" w:hAnsi="Calibri"/>
      <w:szCs w:val="21"/>
    </w:rPr>
  </w:style>
  <w:style w:type="table" w:styleId="LightList">
    <w:name w:val="Light List"/>
    <w:basedOn w:val="TableNormal"/>
    <w:uiPriority w:val="61"/>
    <w:rsid w:val="0012205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122053"/>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12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122053"/>
    <w:pPr>
      <w:numPr>
        <w:numId w:val="28"/>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122053"/>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122053"/>
    <w:rPr>
      <w:rFonts w:ascii="Arial" w:eastAsiaTheme="minorEastAsia" w:hAnsi="Arial" w:cs="Arial"/>
      <w:b/>
      <w:sz w:val="24"/>
      <w:szCs w:val="24"/>
      <w:lang w:eastAsia="en-GB"/>
    </w:rPr>
  </w:style>
  <w:style w:type="paragraph" w:styleId="Revision">
    <w:name w:val="Revision"/>
    <w:hidden/>
    <w:uiPriority w:val="99"/>
    <w:semiHidden/>
    <w:rsid w:val="0089713D"/>
    <w:pPr>
      <w:spacing w:after="0" w:line="240" w:lineRule="auto"/>
    </w:pPr>
    <w:rPr>
      <w:rFonts w:eastAsiaTheme="minorEastAsia"/>
      <w:lang w:eastAsia="en-GB"/>
    </w:rPr>
  </w:style>
  <w:style w:type="character" w:styleId="UnresolvedMention">
    <w:name w:val="Unresolved Mention"/>
    <w:basedOn w:val="DefaultParagraphFont"/>
    <w:uiPriority w:val="99"/>
    <w:semiHidden/>
    <w:unhideWhenUsed/>
    <w:rsid w:val="0089713D"/>
    <w:rPr>
      <w:color w:val="605E5C"/>
      <w:shd w:val="clear" w:color="auto" w:fill="E1DFDD"/>
    </w:rPr>
  </w:style>
  <w:style w:type="character" w:customStyle="1" w:styleId="Heading3Char">
    <w:name w:val="Heading 3 Char"/>
    <w:basedOn w:val="DefaultParagraphFont"/>
    <w:link w:val="Heading3"/>
    <w:uiPriority w:val="9"/>
    <w:rsid w:val="00122053"/>
    <w:rPr>
      <w:rFonts w:asciiTheme="majorHAnsi" w:eastAsiaTheme="majorEastAsia" w:hAnsiTheme="majorHAnsi" w:cstheme="majorBidi"/>
      <w:color w:val="243F60" w:themeColor="accent1" w:themeShade="7F"/>
      <w:sz w:val="24"/>
      <w:szCs w:val="24"/>
      <w:lang w:eastAsia="en-GB"/>
    </w:rPr>
  </w:style>
  <w:style w:type="paragraph" w:styleId="Bibliography">
    <w:name w:val="Bibliography"/>
    <w:basedOn w:val="Normal"/>
    <w:next w:val="Normal"/>
    <w:uiPriority w:val="37"/>
    <w:semiHidden/>
    <w:unhideWhenUsed/>
    <w:rsid w:val="00720717"/>
  </w:style>
  <w:style w:type="paragraph" w:styleId="BodyText">
    <w:name w:val="Body Text"/>
    <w:basedOn w:val="Normal"/>
    <w:link w:val="BodyTextChar"/>
    <w:uiPriority w:val="99"/>
    <w:unhideWhenUsed/>
    <w:rsid w:val="00122053"/>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122053"/>
    <w:rPr>
      <w:rFonts w:ascii="Arial" w:eastAsiaTheme="minorEastAsia" w:hAnsi="Arial"/>
      <w:sz w:val="24"/>
      <w:lang w:eastAsia="en-GB"/>
    </w:rPr>
  </w:style>
  <w:style w:type="character" w:customStyle="1" w:styleId="Heading4Char">
    <w:name w:val="Heading 4 Char"/>
    <w:basedOn w:val="DefaultParagraphFont"/>
    <w:link w:val="Heading4"/>
    <w:uiPriority w:val="9"/>
    <w:rsid w:val="00122053"/>
    <w:rPr>
      <w:rFonts w:ascii="Arial" w:eastAsiaTheme="majorEastAsia" w:hAnsi="Arial" w:cstheme="majorBidi"/>
      <w:b/>
      <w:i/>
      <w:iCs/>
      <w:lang w:eastAsia="en-GB"/>
    </w:rPr>
  </w:style>
  <w:style w:type="paragraph" w:styleId="ListNumber2">
    <w:name w:val="List Number 2"/>
    <w:basedOn w:val="BodyText"/>
    <w:uiPriority w:val="99"/>
    <w:unhideWhenUsed/>
    <w:rsid w:val="00122053"/>
    <w:pPr>
      <w:ind w:left="1021" w:hanging="454"/>
    </w:pPr>
  </w:style>
  <w:style w:type="paragraph" w:styleId="ListNumber3">
    <w:name w:val="List Number 3"/>
    <w:basedOn w:val="Normal"/>
    <w:uiPriority w:val="99"/>
    <w:unhideWhenUsed/>
    <w:rsid w:val="00122053"/>
    <w:pPr>
      <w:numPr>
        <w:numId w:val="30"/>
      </w:numPr>
      <w:spacing w:before="120" w:after="240" w:line="240" w:lineRule="auto"/>
    </w:pPr>
    <w:rPr>
      <w:rFonts w:ascii="Arial" w:hAnsi="Arial"/>
      <w:sz w:val="24"/>
    </w:rPr>
  </w:style>
  <w:style w:type="paragraph" w:customStyle="1" w:styleId="Tableanswer">
    <w:name w:val="Table answer"/>
    <w:basedOn w:val="Normal"/>
    <w:qFormat/>
    <w:rsid w:val="00122053"/>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122053"/>
    <w:pPr>
      <w:spacing w:after="120" w:line="240" w:lineRule="auto"/>
    </w:pPr>
    <w:rPr>
      <w:rFonts w:ascii="Arial" w:hAnsi="Arial" w:cs="Arial"/>
      <w:sz w:val="20"/>
      <w:szCs w:val="20"/>
    </w:rPr>
  </w:style>
  <w:style w:type="paragraph" w:customStyle="1" w:styleId="Tableoutcomecrosses">
    <w:name w:val="Table outcome crosses"/>
    <w:basedOn w:val="Normal"/>
    <w:qFormat/>
    <w:rsid w:val="00122053"/>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122053"/>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122053"/>
    <w:pPr>
      <w:spacing w:after="120" w:line="240" w:lineRule="auto"/>
    </w:pPr>
    <w:rPr>
      <w:rFonts w:ascii="Arial"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94452">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4199080">
      <w:bodyDiv w:val="1"/>
      <w:marLeft w:val="0"/>
      <w:marRight w:val="0"/>
      <w:marTop w:val="0"/>
      <w:marBottom w:val="0"/>
      <w:divBdr>
        <w:top w:val="none" w:sz="0" w:space="0" w:color="auto"/>
        <w:left w:val="none" w:sz="0" w:space="0" w:color="auto"/>
        <w:bottom w:val="none" w:sz="0" w:space="0" w:color="auto"/>
        <w:right w:val="none" w:sz="0" w:space="0" w:color="auto"/>
      </w:divBdr>
      <w:divsChild>
        <w:div w:id="1684547257">
          <w:marLeft w:val="0"/>
          <w:marRight w:val="0"/>
          <w:marTop w:val="0"/>
          <w:marBottom w:val="0"/>
          <w:divBdr>
            <w:top w:val="none" w:sz="0" w:space="0" w:color="auto"/>
            <w:left w:val="none" w:sz="0" w:space="0" w:color="auto"/>
            <w:bottom w:val="none" w:sz="0" w:space="0" w:color="auto"/>
            <w:right w:val="none" w:sz="0" w:space="0" w:color="auto"/>
          </w:divBdr>
          <w:divsChild>
            <w:div w:id="1584872597">
              <w:marLeft w:val="0"/>
              <w:marRight w:val="0"/>
              <w:marTop w:val="0"/>
              <w:marBottom w:val="0"/>
              <w:divBdr>
                <w:top w:val="none" w:sz="0" w:space="0" w:color="auto"/>
                <w:left w:val="none" w:sz="0" w:space="0" w:color="auto"/>
                <w:bottom w:val="none" w:sz="0" w:space="0" w:color="auto"/>
                <w:right w:val="none" w:sz="0" w:space="0" w:color="auto"/>
              </w:divBdr>
            </w:div>
            <w:div w:id="855315950">
              <w:marLeft w:val="0"/>
              <w:marRight w:val="0"/>
              <w:marTop w:val="0"/>
              <w:marBottom w:val="0"/>
              <w:divBdr>
                <w:top w:val="none" w:sz="0" w:space="0" w:color="auto"/>
                <w:left w:val="none" w:sz="0" w:space="0" w:color="auto"/>
                <w:bottom w:val="none" w:sz="0" w:space="0" w:color="auto"/>
                <w:right w:val="none" w:sz="0" w:space="0" w:color="auto"/>
              </w:divBdr>
            </w:div>
            <w:div w:id="14149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4811">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74054011">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9196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55411843">
      <w:bodyDiv w:val="1"/>
      <w:marLeft w:val="0"/>
      <w:marRight w:val="0"/>
      <w:marTop w:val="0"/>
      <w:marBottom w:val="0"/>
      <w:divBdr>
        <w:top w:val="none" w:sz="0" w:space="0" w:color="auto"/>
        <w:left w:val="none" w:sz="0" w:space="0" w:color="auto"/>
        <w:bottom w:val="none" w:sz="0" w:space="0" w:color="auto"/>
        <w:right w:val="none" w:sz="0" w:space="0" w:color="auto"/>
      </w:divBdr>
    </w:div>
    <w:div w:id="982319410">
      <w:bodyDiv w:val="1"/>
      <w:marLeft w:val="0"/>
      <w:marRight w:val="0"/>
      <w:marTop w:val="0"/>
      <w:marBottom w:val="0"/>
      <w:divBdr>
        <w:top w:val="none" w:sz="0" w:space="0" w:color="auto"/>
        <w:left w:val="none" w:sz="0" w:space="0" w:color="auto"/>
        <w:bottom w:val="none" w:sz="0" w:space="0" w:color="auto"/>
        <w:right w:val="none" w:sz="0" w:space="0" w:color="auto"/>
      </w:divBdr>
      <w:divsChild>
        <w:div w:id="1446384186">
          <w:marLeft w:val="0"/>
          <w:marRight w:val="0"/>
          <w:marTop w:val="0"/>
          <w:marBottom w:val="0"/>
          <w:divBdr>
            <w:top w:val="none" w:sz="0" w:space="0" w:color="auto"/>
            <w:left w:val="none" w:sz="0" w:space="0" w:color="auto"/>
            <w:bottom w:val="none" w:sz="0" w:space="0" w:color="auto"/>
            <w:right w:val="none" w:sz="0" w:space="0" w:color="auto"/>
          </w:divBdr>
          <w:divsChild>
            <w:div w:id="1218905394">
              <w:marLeft w:val="0"/>
              <w:marRight w:val="0"/>
              <w:marTop w:val="0"/>
              <w:marBottom w:val="0"/>
              <w:divBdr>
                <w:top w:val="none" w:sz="0" w:space="0" w:color="auto"/>
                <w:left w:val="none" w:sz="0" w:space="0" w:color="auto"/>
                <w:bottom w:val="none" w:sz="0" w:space="0" w:color="auto"/>
                <w:right w:val="none" w:sz="0" w:space="0" w:color="auto"/>
              </w:divBdr>
            </w:div>
            <w:div w:id="1194534093">
              <w:marLeft w:val="0"/>
              <w:marRight w:val="0"/>
              <w:marTop w:val="0"/>
              <w:marBottom w:val="0"/>
              <w:divBdr>
                <w:top w:val="none" w:sz="0" w:space="0" w:color="auto"/>
                <w:left w:val="none" w:sz="0" w:space="0" w:color="auto"/>
                <w:bottom w:val="none" w:sz="0" w:space="0" w:color="auto"/>
                <w:right w:val="none" w:sz="0" w:space="0" w:color="auto"/>
              </w:divBdr>
            </w:div>
            <w:div w:id="13378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9646">
      <w:bodyDiv w:val="1"/>
      <w:marLeft w:val="0"/>
      <w:marRight w:val="0"/>
      <w:marTop w:val="0"/>
      <w:marBottom w:val="0"/>
      <w:divBdr>
        <w:top w:val="none" w:sz="0" w:space="0" w:color="auto"/>
        <w:left w:val="none" w:sz="0" w:space="0" w:color="auto"/>
        <w:bottom w:val="none" w:sz="0" w:space="0" w:color="auto"/>
        <w:right w:val="none" w:sz="0" w:space="0" w:color="auto"/>
      </w:divBdr>
      <w:divsChild>
        <w:div w:id="444737561">
          <w:marLeft w:val="0"/>
          <w:marRight w:val="0"/>
          <w:marTop w:val="0"/>
          <w:marBottom w:val="0"/>
          <w:divBdr>
            <w:top w:val="none" w:sz="0" w:space="0" w:color="auto"/>
            <w:left w:val="none" w:sz="0" w:space="0" w:color="auto"/>
            <w:bottom w:val="none" w:sz="0" w:space="0" w:color="auto"/>
            <w:right w:val="none" w:sz="0" w:space="0" w:color="auto"/>
          </w:divBdr>
        </w:div>
        <w:div w:id="1241910781">
          <w:marLeft w:val="0"/>
          <w:marRight w:val="0"/>
          <w:marTop w:val="0"/>
          <w:marBottom w:val="0"/>
          <w:divBdr>
            <w:top w:val="none" w:sz="0" w:space="0" w:color="auto"/>
            <w:left w:val="none" w:sz="0" w:space="0" w:color="auto"/>
            <w:bottom w:val="none" w:sz="0" w:space="0" w:color="auto"/>
            <w:right w:val="none" w:sz="0" w:space="0" w:color="auto"/>
          </w:divBdr>
        </w:div>
      </w:divsChild>
    </w:div>
    <w:div w:id="1164394546">
      <w:bodyDiv w:val="1"/>
      <w:marLeft w:val="0"/>
      <w:marRight w:val="0"/>
      <w:marTop w:val="0"/>
      <w:marBottom w:val="0"/>
      <w:divBdr>
        <w:top w:val="none" w:sz="0" w:space="0" w:color="auto"/>
        <w:left w:val="none" w:sz="0" w:space="0" w:color="auto"/>
        <w:bottom w:val="none" w:sz="0" w:space="0" w:color="auto"/>
        <w:right w:val="none" w:sz="0" w:space="0" w:color="auto"/>
      </w:divBdr>
    </w:div>
    <w:div w:id="1353416676">
      <w:bodyDiv w:val="1"/>
      <w:marLeft w:val="0"/>
      <w:marRight w:val="0"/>
      <w:marTop w:val="0"/>
      <w:marBottom w:val="0"/>
      <w:divBdr>
        <w:top w:val="none" w:sz="0" w:space="0" w:color="auto"/>
        <w:left w:val="none" w:sz="0" w:space="0" w:color="auto"/>
        <w:bottom w:val="none" w:sz="0" w:space="0" w:color="auto"/>
        <w:right w:val="none" w:sz="0" w:space="0" w:color="auto"/>
      </w:divBdr>
      <w:divsChild>
        <w:div w:id="1854759721">
          <w:marLeft w:val="0"/>
          <w:marRight w:val="0"/>
          <w:marTop w:val="0"/>
          <w:marBottom w:val="0"/>
          <w:divBdr>
            <w:top w:val="none" w:sz="0" w:space="0" w:color="auto"/>
            <w:left w:val="none" w:sz="0" w:space="0" w:color="auto"/>
            <w:bottom w:val="none" w:sz="0" w:space="0" w:color="auto"/>
            <w:right w:val="none" w:sz="0" w:space="0" w:color="auto"/>
          </w:divBdr>
          <w:divsChild>
            <w:div w:id="113968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50708">
      <w:bodyDiv w:val="1"/>
      <w:marLeft w:val="0"/>
      <w:marRight w:val="0"/>
      <w:marTop w:val="0"/>
      <w:marBottom w:val="0"/>
      <w:divBdr>
        <w:top w:val="none" w:sz="0" w:space="0" w:color="auto"/>
        <w:left w:val="none" w:sz="0" w:space="0" w:color="auto"/>
        <w:bottom w:val="none" w:sz="0" w:space="0" w:color="auto"/>
        <w:right w:val="none" w:sz="0" w:space="0" w:color="auto"/>
      </w:divBdr>
    </w:div>
    <w:div w:id="1541161519">
      <w:bodyDiv w:val="1"/>
      <w:marLeft w:val="0"/>
      <w:marRight w:val="0"/>
      <w:marTop w:val="0"/>
      <w:marBottom w:val="0"/>
      <w:divBdr>
        <w:top w:val="none" w:sz="0" w:space="0" w:color="auto"/>
        <w:left w:val="none" w:sz="0" w:space="0" w:color="auto"/>
        <w:bottom w:val="none" w:sz="0" w:space="0" w:color="auto"/>
        <w:right w:val="none" w:sz="0" w:space="0" w:color="auto"/>
      </w:divBdr>
      <w:divsChild>
        <w:div w:id="645936574">
          <w:marLeft w:val="0"/>
          <w:marRight w:val="0"/>
          <w:marTop w:val="0"/>
          <w:marBottom w:val="0"/>
          <w:divBdr>
            <w:top w:val="none" w:sz="0" w:space="0" w:color="auto"/>
            <w:left w:val="none" w:sz="0" w:space="0" w:color="auto"/>
            <w:bottom w:val="none" w:sz="0" w:space="0" w:color="auto"/>
            <w:right w:val="none" w:sz="0" w:space="0" w:color="auto"/>
          </w:divBdr>
          <w:divsChild>
            <w:div w:id="795492714">
              <w:marLeft w:val="0"/>
              <w:marRight w:val="0"/>
              <w:marTop w:val="0"/>
              <w:marBottom w:val="0"/>
              <w:divBdr>
                <w:top w:val="none" w:sz="0" w:space="0" w:color="auto"/>
                <w:left w:val="none" w:sz="0" w:space="0" w:color="auto"/>
                <w:bottom w:val="none" w:sz="0" w:space="0" w:color="auto"/>
                <w:right w:val="none" w:sz="0" w:space="0" w:color="auto"/>
              </w:divBdr>
            </w:div>
            <w:div w:id="404496399">
              <w:marLeft w:val="0"/>
              <w:marRight w:val="0"/>
              <w:marTop w:val="0"/>
              <w:marBottom w:val="0"/>
              <w:divBdr>
                <w:top w:val="none" w:sz="0" w:space="0" w:color="auto"/>
                <w:left w:val="none" w:sz="0" w:space="0" w:color="auto"/>
                <w:bottom w:val="none" w:sz="0" w:space="0" w:color="auto"/>
                <w:right w:val="none" w:sz="0" w:space="0" w:color="auto"/>
              </w:divBdr>
            </w:div>
            <w:div w:id="554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37362">
      <w:bodyDiv w:val="1"/>
      <w:marLeft w:val="0"/>
      <w:marRight w:val="0"/>
      <w:marTop w:val="0"/>
      <w:marBottom w:val="0"/>
      <w:divBdr>
        <w:top w:val="none" w:sz="0" w:space="0" w:color="auto"/>
        <w:left w:val="none" w:sz="0" w:space="0" w:color="auto"/>
        <w:bottom w:val="none" w:sz="0" w:space="0" w:color="auto"/>
        <w:right w:val="none" w:sz="0" w:space="0" w:color="auto"/>
      </w:divBdr>
    </w:div>
    <w:div w:id="1641375555">
      <w:bodyDiv w:val="1"/>
      <w:marLeft w:val="0"/>
      <w:marRight w:val="0"/>
      <w:marTop w:val="0"/>
      <w:marBottom w:val="0"/>
      <w:divBdr>
        <w:top w:val="none" w:sz="0" w:space="0" w:color="auto"/>
        <w:left w:val="none" w:sz="0" w:space="0" w:color="auto"/>
        <w:bottom w:val="none" w:sz="0" w:space="0" w:color="auto"/>
        <w:right w:val="none" w:sz="0" w:space="0" w:color="auto"/>
      </w:divBdr>
      <w:divsChild>
        <w:div w:id="1407846119">
          <w:marLeft w:val="0"/>
          <w:marRight w:val="0"/>
          <w:marTop w:val="0"/>
          <w:marBottom w:val="0"/>
          <w:divBdr>
            <w:top w:val="none" w:sz="0" w:space="0" w:color="auto"/>
            <w:left w:val="none" w:sz="0" w:space="0" w:color="auto"/>
            <w:bottom w:val="none" w:sz="0" w:space="0" w:color="auto"/>
            <w:right w:val="none" w:sz="0" w:space="0" w:color="auto"/>
          </w:divBdr>
          <w:divsChild>
            <w:div w:id="1698660335">
              <w:marLeft w:val="0"/>
              <w:marRight w:val="0"/>
              <w:marTop w:val="0"/>
              <w:marBottom w:val="0"/>
              <w:divBdr>
                <w:top w:val="none" w:sz="0" w:space="0" w:color="auto"/>
                <w:left w:val="none" w:sz="0" w:space="0" w:color="auto"/>
                <w:bottom w:val="none" w:sz="0" w:space="0" w:color="auto"/>
                <w:right w:val="none" w:sz="0" w:space="0" w:color="auto"/>
              </w:divBdr>
            </w:div>
            <w:div w:id="820315138">
              <w:marLeft w:val="0"/>
              <w:marRight w:val="0"/>
              <w:marTop w:val="0"/>
              <w:marBottom w:val="0"/>
              <w:divBdr>
                <w:top w:val="none" w:sz="0" w:space="0" w:color="auto"/>
                <w:left w:val="none" w:sz="0" w:space="0" w:color="auto"/>
                <w:bottom w:val="none" w:sz="0" w:space="0" w:color="auto"/>
                <w:right w:val="none" w:sz="0" w:space="0" w:color="auto"/>
              </w:divBdr>
            </w:div>
            <w:div w:id="10610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28102">
      <w:bodyDiv w:val="1"/>
      <w:marLeft w:val="0"/>
      <w:marRight w:val="0"/>
      <w:marTop w:val="0"/>
      <w:marBottom w:val="0"/>
      <w:divBdr>
        <w:top w:val="none" w:sz="0" w:space="0" w:color="auto"/>
        <w:left w:val="none" w:sz="0" w:space="0" w:color="auto"/>
        <w:bottom w:val="none" w:sz="0" w:space="0" w:color="auto"/>
        <w:right w:val="none" w:sz="0" w:space="0" w:color="auto"/>
      </w:divBdr>
    </w:div>
    <w:div w:id="1847866935">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102483621">
      <w:bodyDiv w:val="1"/>
      <w:marLeft w:val="0"/>
      <w:marRight w:val="0"/>
      <w:marTop w:val="0"/>
      <w:marBottom w:val="0"/>
      <w:divBdr>
        <w:top w:val="none" w:sz="0" w:space="0" w:color="auto"/>
        <w:left w:val="none" w:sz="0" w:space="0" w:color="auto"/>
        <w:bottom w:val="none" w:sz="0" w:space="0" w:color="auto"/>
        <w:right w:val="none" w:sz="0" w:space="0" w:color="auto"/>
      </w:divBdr>
    </w:div>
    <w:div w:id="214403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8A49CDA-0C7B-4DFD-B523-CDC15FFC90B7}">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3.xml><?xml version="1.0" encoding="utf-8"?>
<ds:datastoreItem xmlns:ds="http://schemas.openxmlformats.org/officeDocument/2006/customXml" ds:itemID="{9D25445C-E9BE-4EE2-ADFE-E3D53EB260F2}">
  <ds:schemaRefs>
    <ds:schemaRef ds:uri="http://schemas.microsoft.com/sharepoint/v3/contenttype/forms"/>
  </ds:schemaRefs>
</ds:datastoreItem>
</file>

<file path=customXml/itemProps4.xml><?xml version="1.0" encoding="utf-8"?>
<ds:datastoreItem xmlns:ds="http://schemas.openxmlformats.org/officeDocument/2006/customXml" ds:itemID="{FBE6B92D-57DD-4705-AC66-0BA09AD192B1}"/>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2022-12-15T16:36:00Z</dcterms:created>
  <dcterms:modified xsi:type="dcterms:W3CDTF">2022-12-15T16:57:00Z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