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37E5" w14:textId="4FD7D6D8" w:rsidR="00CF324C" w:rsidRPr="00E834E4" w:rsidRDefault="00681D6E" w:rsidP="00B801FD">
      <w:pPr>
        <w:pStyle w:val="Heading2"/>
        <w:spacing w:before="0"/>
      </w:pPr>
      <w:r w:rsidRPr="00E834E4">
        <w:t>Kent Vision Code and t</w:t>
      </w:r>
      <w:r w:rsidR="009A2D37" w:rsidRPr="00E834E4">
        <w:t xml:space="preserve">itle of the </w:t>
      </w:r>
      <w:r w:rsidR="00CF324C" w:rsidRPr="00E834E4">
        <w:t>module</w:t>
      </w:r>
    </w:p>
    <w:p w14:paraId="38911C11" w14:textId="6359913C" w:rsidR="00CF324C" w:rsidRPr="00E834E4" w:rsidRDefault="00CF324C" w:rsidP="00B801FD">
      <w:pPr>
        <w:pStyle w:val="BodyText"/>
      </w:pPr>
      <w:r w:rsidRPr="00E834E4">
        <w:t>POLI6740 Politics and International Relations Year Abroad</w:t>
      </w:r>
    </w:p>
    <w:p w14:paraId="6A571C94" w14:textId="77777777" w:rsidR="00DB7444" w:rsidRPr="00E834E4" w:rsidRDefault="00DB7444" w:rsidP="00B801FD">
      <w:pPr>
        <w:pStyle w:val="Heading2"/>
      </w:pPr>
      <w:r w:rsidRPr="00E834E4">
        <w:t>Division and School/Department or partner institution which will be responsible for management of the module</w:t>
      </w:r>
    </w:p>
    <w:p w14:paraId="58AB8ECA" w14:textId="1666B33F" w:rsidR="00CF324C" w:rsidRPr="00E834E4" w:rsidRDefault="00B801FD" w:rsidP="00B801FD">
      <w:pPr>
        <w:pStyle w:val="BodyText"/>
      </w:pPr>
      <w:r w:rsidRPr="00E834E4">
        <w:t>Division of Human and Social Sciences</w:t>
      </w:r>
      <w:r>
        <w:t xml:space="preserve">, School of </w:t>
      </w:r>
      <w:r w:rsidR="00CF324C" w:rsidRPr="00E834E4">
        <w:t>Politics and International Relations</w:t>
      </w:r>
    </w:p>
    <w:p w14:paraId="17F947DB" w14:textId="77777777" w:rsidR="00CF324C" w:rsidRPr="00E834E4" w:rsidRDefault="00CF324C" w:rsidP="00B801FD">
      <w:pPr>
        <w:pStyle w:val="Heading2"/>
      </w:pPr>
      <w:r w:rsidRPr="00E834E4">
        <w:t>The level of the module (Level 4, Level 5, Level 6 or Level 7)</w:t>
      </w:r>
    </w:p>
    <w:p w14:paraId="51466A7C" w14:textId="77777777" w:rsidR="00CF324C" w:rsidRPr="00E834E4" w:rsidRDefault="00CF324C" w:rsidP="00B801FD">
      <w:pPr>
        <w:pStyle w:val="BodyText"/>
      </w:pPr>
      <w:r w:rsidRPr="00E834E4">
        <w:t>Level 6</w:t>
      </w:r>
    </w:p>
    <w:p w14:paraId="01EF0C59" w14:textId="77777777" w:rsidR="00CF324C" w:rsidRPr="00E834E4" w:rsidRDefault="00CF324C" w:rsidP="00B801FD">
      <w:pPr>
        <w:pStyle w:val="Heading2"/>
      </w:pPr>
      <w:r w:rsidRPr="00E834E4">
        <w:t xml:space="preserve">The number of credits and the ECTS value which the module represents </w:t>
      </w:r>
    </w:p>
    <w:p w14:paraId="4AB96B5A" w14:textId="77777777" w:rsidR="00CF324C" w:rsidRPr="00E834E4" w:rsidRDefault="00CF324C" w:rsidP="00B801FD">
      <w:pPr>
        <w:pStyle w:val="BodyText"/>
      </w:pPr>
      <w:r w:rsidRPr="00E834E4">
        <w:t>120 credits (60 ECTS)</w:t>
      </w:r>
    </w:p>
    <w:p w14:paraId="425B0250" w14:textId="77777777" w:rsidR="00CF324C" w:rsidRPr="00E834E4" w:rsidRDefault="00CF324C" w:rsidP="00B801FD">
      <w:pPr>
        <w:pStyle w:val="Heading2"/>
      </w:pPr>
      <w:r w:rsidRPr="00E834E4">
        <w:t>Which term(s) the module is to be taught in (or other teaching pattern)</w:t>
      </w:r>
    </w:p>
    <w:p w14:paraId="387497F2" w14:textId="77777777" w:rsidR="00CF324C" w:rsidRPr="00E834E4" w:rsidRDefault="00CF324C" w:rsidP="00B801FD">
      <w:pPr>
        <w:pStyle w:val="BodyText"/>
      </w:pPr>
      <w:r w:rsidRPr="00E834E4">
        <w:t>Autumn and Spring</w:t>
      </w:r>
    </w:p>
    <w:p w14:paraId="5588BEF7" w14:textId="313E3ED7" w:rsidR="00CF324C" w:rsidRPr="00E834E4" w:rsidRDefault="00CF324C" w:rsidP="00B801FD">
      <w:pPr>
        <w:pStyle w:val="Heading2"/>
      </w:pPr>
      <w:r w:rsidRPr="00E834E4">
        <w:t xml:space="preserve">Prerequisite </w:t>
      </w:r>
      <w:r w:rsidR="00DB7444" w:rsidRPr="00E834E4">
        <w:t>and</w:t>
      </w:r>
      <w:r w:rsidRPr="00E834E4">
        <w:t xml:space="preserve"> co-requisite modules</w:t>
      </w:r>
      <w:r w:rsidR="00681D6E" w:rsidRPr="00E834E4">
        <w:t xml:space="preserve"> and any</w:t>
      </w:r>
      <w:r w:rsidR="00DB7444" w:rsidRPr="00E834E4">
        <w:t>/or</w:t>
      </w:r>
      <w:r w:rsidR="00681D6E" w:rsidRPr="00E834E4">
        <w:t xml:space="preserve"> other module restrictions</w:t>
      </w:r>
    </w:p>
    <w:p w14:paraId="453D80D8" w14:textId="769DC245" w:rsidR="00CF324C" w:rsidRPr="00E834E4" w:rsidRDefault="00681D6E" w:rsidP="00B801FD">
      <w:pPr>
        <w:pStyle w:val="BodyText"/>
      </w:pPr>
      <w:r w:rsidRPr="00E834E4">
        <w:t>None</w:t>
      </w:r>
    </w:p>
    <w:p w14:paraId="6384BA1B" w14:textId="08C6C718" w:rsidR="00CF324C" w:rsidRPr="00E834E4" w:rsidRDefault="00CF324C" w:rsidP="00B801FD">
      <w:pPr>
        <w:pStyle w:val="Heading2"/>
      </w:pPr>
      <w:r w:rsidRPr="00E834E4">
        <w:t xml:space="preserve">The </w:t>
      </w:r>
      <w:r w:rsidR="00681D6E" w:rsidRPr="00E834E4">
        <w:t>course</w:t>
      </w:r>
      <w:r w:rsidR="00DB7444" w:rsidRPr="00E834E4">
        <w:t>(</w:t>
      </w:r>
      <w:r w:rsidR="00681D6E" w:rsidRPr="00E834E4">
        <w:t>s</w:t>
      </w:r>
      <w:r w:rsidR="00DB7444" w:rsidRPr="00E834E4">
        <w:t>)</w:t>
      </w:r>
      <w:r w:rsidRPr="00E834E4">
        <w:t xml:space="preserve"> of study to which the module contributes</w:t>
      </w:r>
    </w:p>
    <w:p w14:paraId="7470D1DE" w14:textId="77777777" w:rsidR="00E834E4" w:rsidRPr="00B801FD" w:rsidRDefault="00DB7444" w:rsidP="00B801FD">
      <w:pPr>
        <w:pStyle w:val="BodyText"/>
        <w:rPr>
          <w:b/>
          <w:bCs/>
          <w:i/>
          <w:iCs/>
          <w:sz w:val="22"/>
        </w:rPr>
      </w:pPr>
      <w:r w:rsidRPr="00B801FD">
        <w:rPr>
          <w:b/>
          <w:bCs/>
          <w:i/>
          <w:iCs/>
          <w:sz w:val="22"/>
        </w:rPr>
        <w:t>Compulsory to</w:t>
      </w:r>
      <w:r w:rsidR="00E834E4" w:rsidRPr="00B801FD">
        <w:rPr>
          <w:b/>
          <w:bCs/>
          <w:i/>
          <w:iCs/>
          <w:sz w:val="22"/>
        </w:rPr>
        <w:t xml:space="preserve"> the following courses:</w:t>
      </w:r>
    </w:p>
    <w:p w14:paraId="75E47D44" w14:textId="076CCFE9" w:rsidR="00CF324C" w:rsidRPr="00E834E4" w:rsidRDefault="00CF324C" w:rsidP="00B801FD">
      <w:pPr>
        <w:pStyle w:val="ListBullet"/>
      </w:pPr>
      <w:r w:rsidRPr="00E834E4">
        <w:t>BA in Politics and International Relations with a Year in Continental Europe</w:t>
      </w:r>
    </w:p>
    <w:p w14:paraId="59A68347" w14:textId="77777777" w:rsidR="00CF324C" w:rsidRPr="00E834E4" w:rsidRDefault="00CF324C" w:rsidP="00B801FD">
      <w:pPr>
        <w:pStyle w:val="ListBullet"/>
      </w:pPr>
      <w:r w:rsidRPr="00E834E4">
        <w:t>BA in Politics and International Relations with a Year in North America</w:t>
      </w:r>
    </w:p>
    <w:p w14:paraId="7E4DA0EB" w14:textId="77777777" w:rsidR="00CF324C" w:rsidRPr="00E834E4" w:rsidRDefault="00CF324C" w:rsidP="00B801FD">
      <w:pPr>
        <w:pStyle w:val="ListBullet"/>
      </w:pPr>
      <w:r w:rsidRPr="00E834E4">
        <w:t>BA in Politics and International Relations with a Language</w:t>
      </w:r>
    </w:p>
    <w:p w14:paraId="032349CA" w14:textId="77777777" w:rsidR="00CF324C" w:rsidRPr="00E834E4" w:rsidRDefault="00CF324C" w:rsidP="00B801FD">
      <w:pPr>
        <w:pStyle w:val="ListBullet"/>
      </w:pPr>
      <w:r w:rsidRPr="00E834E4">
        <w:t>BA in Politics and International Relations with a Year in Asia/Pacific</w:t>
      </w:r>
    </w:p>
    <w:p w14:paraId="7BD28BF1" w14:textId="77777777" w:rsidR="00CF324C" w:rsidRPr="00E834E4" w:rsidRDefault="00CF324C" w:rsidP="00CF324C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574F9A48" w14:textId="77777777" w:rsidR="00CF324C" w:rsidRPr="00E834E4" w:rsidRDefault="00CF324C" w:rsidP="00CF324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sz w:val="24"/>
          <w:szCs w:val="24"/>
        </w:rPr>
      </w:pPr>
      <w:r w:rsidRPr="00B801FD">
        <w:rPr>
          <w:rStyle w:val="Heading2Char"/>
        </w:rPr>
        <w:t>The intended subject specific learning outcomes.</w:t>
      </w:r>
      <w:r w:rsidRPr="00B801FD">
        <w:rPr>
          <w:rStyle w:val="Heading2Char"/>
        </w:rPr>
        <w:br/>
      </w:r>
      <w:r w:rsidRPr="00E834E4">
        <w:rPr>
          <w:rFonts w:ascii="Arial" w:hAnsi="Arial" w:cs="Arial"/>
          <w:b/>
          <w:sz w:val="24"/>
          <w:szCs w:val="24"/>
        </w:rPr>
        <w:t>On successfully completing the module students will be able to:</w:t>
      </w:r>
    </w:p>
    <w:p w14:paraId="23DEA522" w14:textId="3D9411F7" w:rsidR="00CF324C" w:rsidRPr="00E834E4" w:rsidRDefault="00B801FD" w:rsidP="00B801FD">
      <w:pPr>
        <w:pStyle w:val="ListNumber2"/>
      </w:pPr>
      <w:r>
        <w:t>8.1</w:t>
      </w:r>
      <w:r>
        <w:tab/>
        <w:t>S</w:t>
      </w:r>
      <w:r w:rsidR="00CF324C" w:rsidRPr="00E834E4">
        <w:t xml:space="preserve">tudy Politics and IR in a different higher education environment </w:t>
      </w:r>
    </w:p>
    <w:p w14:paraId="2F71CF30" w14:textId="7AF2F5FC" w:rsidR="00CF324C" w:rsidRPr="00E834E4" w:rsidRDefault="00B801FD" w:rsidP="00B801FD">
      <w:pPr>
        <w:pStyle w:val="ListNumber2"/>
      </w:pPr>
      <w:r>
        <w:t>8.2</w:t>
      </w:r>
      <w:r>
        <w:tab/>
        <w:t>S</w:t>
      </w:r>
      <w:r w:rsidR="00CF324C" w:rsidRPr="00E834E4">
        <w:t>tudy Politics and IR in a different language (only relevant for the BA with a Language)</w:t>
      </w:r>
    </w:p>
    <w:p w14:paraId="3C262301" w14:textId="5FB48EAF" w:rsidR="00CF324C" w:rsidRPr="00E834E4" w:rsidRDefault="00B801FD" w:rsidP="00B801FD">
      <w:pPr>
        <w:pStyle w:val="ListNumber2"/>
      </w:pPr>
      <w:r>
        <w:t>8.3</w:t>
      </w:r>
      <w:r>
        <w:tab/>
      </w:r>
      <w:r w:rsidR="00CF324C" w:rsidRPr="00E834E4">
        <w:t>Enhance their command of the target language in a native-speaker setting (only relevant for the BA with a Language)</w:t>
      </w:r>
      <w:r>
        <w:t>.</w:t>
      </w:r>
    </w:p>
    <w:p w14:paraId="59B04D6B" w14:textId="77777777" w:rsidR="00CF324C" w:rsidRPr="00E834E4" w:rsidRDefault="00CF324C" w:rsidP="00B13C83">
      <w:pPr>
        <w:numPr>
          <w:ilvl w:val="0"/>
          <w:numId w:val="1"/>
        </w:numPr>
        <w:spacing w:before="600" w:after="120" w:line="240" w:lineRule="auto"/>
        <w:ind w:left="567" w:right="261" w:hanging="567"/>
        <w:rPr>
          <w:rFonts w:ascii="Arial" w:hAnsi="Arial" w:cs="Arial"/>
          <w:b/>
          <w:sz w:val="24"/>
          <w:szCs w:val="24"/>
        </w:rPr>
      </w:pPr>
      <w:r w:rsidRPr="00B801FD">
        <w:rPr>
          <w:rStyle w:val="Heading2Char"/>
        </w:rPr>
        <w:lastRenderedPageBreak/>
        <w:t>The intended generic learning outcomes</w:t>
      </w:r>
      <w:r w:rsidRPr="00E834E4">
        <w:rPr>
          <w:rFonts w:ascii="Arial" w:hAnsi="Arial" w:cs="Arial"/>
          <w:b/>
          <w:sz w:val="24"/>
          <w:szCs w:val="24"/>
        </w:rPr>
        <w:t>.</w:t>
      </w:r>
      <w:r w:rsidRPr="00E834E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B96E12E" w14:textId="1C3BB32E" w:rsidR="00CF324C" w:rsidRPr="00E834E4" w:rsidRDefault="00B801FD" w:rsidP="00B801FD">
      <w:pPr>
        <w:pStyle w:val="ListNumber2"/>
      </w:pPr>
      <w:r>
        <w:t>9.1</w:t>
      </w:r>
      <w:r>
        <w:tab/>
        <w:t>P</w:t>
      </w:r>
      <w:r w:rsidR="00CF324C" w:rsidRPr="00E834E4">
        <w:t xml:space="preserve">erform effectively in a different cultural and, in some cases, linguistic environment  </w:t>
      </w:r>
    </w:p>
    <w:p w14:paraId="46497D59" w14:textId="1581C963" w:rsidR="00CF324C" w:rsidRPr="00E834E4" w:rsidRDefault="00B801FD" w:rsidP="00B801FD">
      <w:pPr>
        <w:pStyle w:val="ListNumber2"/>
      </w:pPr>
      <w:r>
        <w:t>9.2</w:t>
      </w:r>
      <w:r>
        <w:tab/>
      </w:r>
      <w:r w:rsidR="00CF324C" w:rsidRPr="00E834E4">
        <w:t>Develop their intercultural sensitivity</w:t>
      </w:r>
    </w:p>
    <w:p w14:paraId="0C5A9ECB" w14:textId="4BE4287F" w:rsidR="00CF324C" w:rsidRPr="00E834E4" w:rsidRDefault="00D8019C" w:rsidP="00B801FD">
      <w:pPr>
        <w:pStyle w:val="ListNumber2"/>
      </w:pPr>
      <w:r>
        <w:t>9.</w:t>
      </w:r>
      <w:r w:rsidR="00CF324C" w:rsidRPr="00E834E4">
        <w:t>3</w:t>
      </w:r>
      <w:r>
        <w:tab/>
      </w:r>
      <w:r w:rsidR="00CF324C" w:rsidRPr="00E834E4">
        <w:t>Develop their ability to communicate effectively orally and in writing in more than one language (only relevant for the BA with a Language)</w:t>
      </w:r>
      <w:r>
        <w:t>.</w:t>
      </w:r>
    </w:p>
    <w:p w14:paraId="0B8A94F6" w14:textId="77777777" w:rsidR="00CF324C" w:rsidRPr="00E834E4" w:rsidRDefault="00CF324C" w:rsidP="00B801FD">
      <w:pPr>
        <w:pStyle w:val="Heading2"/>
      </w:pPr>
      <w:r w:rsidRPr="00E834E4">
        <w:t>A synopsis of the curriculum</w:t>
      </w:r>
    </w:p>
    <w:p w14:paraId="5E815238" w14:textId="7728B2C9" w:rsidR="00CF324C" w:rsidRPr="00E834E4" w:rsidRDefault="00CF324C" w:rsidP="006F1BCA">
      <w:pPr>
        <w:pStyle w:val="BodyText"/>
        <w:jc w:val="both"/>
      </w:pPr>
      <w:r w:rsidRPr="00E834E4">
        <w:t>Students take modules equivalent to</w:t>
      </w:r>
      <w:r w:rsidR="000F521F">
        <w:t xml:space="preserve"> a full-time load</w:t>
      </w:r>
      <w:r w:rsidRPr="00E834E4">
        <w:t xml:space="preserve"> </w:t>
      </w:r>
      <w:r w:rsidR="000F521F">
        <w:t>(</w:t>
      </w:r>
      <w:r w:rsidRPr="00E834E4">
        <w:t>120 Kent credits</w:t>
      </w:r>
      <w:r w:rsidR="000F521F">
        <w:t>)</w:t>
      </w:r>
      <w:r w:rsidRPr="00E834E4">
        <w:t>. At least 75% of the credits must be in the discipline of Politics and International Relations, while up to 25% may be in other disciplines. For students on the BA with a Language, at least 75% of the credits must be in Politics and International Relations and in the target language, while up to 25% may be in other disciplines and/or taught in English.</w:t>
      </w:r>
      <w:r w:rsidR="006F1BCA">
        <w:t xml:space="preserve"> </w:t>
      </w:r>
      <w:r w:rsidRPr="00E834E4">
        <w:t xml:space="preserve">The curriculum will vary depending on the partner institution and the modules chosen.   </w:t>
      </w:r>
    </w:p>
    <w:p w14:paraId="768B284B" w14:textId="3DEEFBC9" w:rsidR="00CF324C" w:rsidRPr="00E834E4" w:rsidRDefault="00CF324C" w:rsidP="00B801FD">
      <w:pPr>
        <w:pStyle w:val="Heading2"/>
      </w:pPr>
      <w:r w:rsidRPr="00E834E4">
        <w:t xml:space="preserve">Reading list </w:t>
      </w:r>
    </w:p>
    <w:p w14:paraId="143E26AA" w14:textId="77777777" w:rsidR="00E834E4" w:rsidRPr="00E834E4" w:rsidRDefault="00E834E4" w:rsidP="00B801FD">
      <w:pPr>
        <w:pStyle w:val="BodyText"/>
      </w:pPr>
      <w:r w:rsidRPr="00E834E4">
        <w:t xml:space="preserve">The University is committed to ensuring that core reading materials are in accessible electronic format in line with the Kent Inclusive Practices. </w:t>
      </w:r>
    </w:p>
    <w:p w14:paraId="2F5DF6AA" w14:textId="77777777" w:rsidR="00E834E4" w:rsidRPr="00E834E4" w:rsidRDefault="00E834E4" w:rsidP="00B801FD">
      <w:pPr>
        <w:pStyle w:val="BodyText"/>
        <w:rPr>
          <w:b/>
          <w:bCs/>
        </w:rPr>
      </w:pPr>
      <w:r w:rsidRPr="00E834E4">
        <w:t>The most up to date reading list for each module can be found on the university's</w:t>
      </w:r>
      <w:r w:rsidRPr="00E834E4">
        <w:rPr>
          <w:bCs/>
        </w:rPr>
        <w:t xml:space="preserve"> </w:t>
      </w:r>
      <w:hyperlink r:id="rId11" w:history="1">
        <w:r w:rsidRPr="00E834E4">
          <w:rPr>
            <w:rStyle w:val="Hyperlink"/>
            <w:rFonts w:cs="Arial"/>
            <w:bCs/>
            <w:szCs w:val="24"/>
          </w:rPr>
          <w:t>reading list pages</w:t>
        </w:r>
      </w:hyperlink>
      <w:r w:rsidRPr="00E834E4">
        <w:rPr>
          <w:bCs/>
        </w:rPr>
        <w:t xml:space="preserve">. </w:t>
      </w:r>
    </w:p>
    <w:p w14:paraId="2F44F5A0" w14:textId="4E1EB4B3" w:rsidR="00E834E4" w:rsidRPr="00E834E4" w:rsidRDefault="00E834E4" w:rsidP="00B801FD">
      <w:pPr>
        <w:pStyle w:val="Heading2"/>
      </w:pPr>
      <w:r w:rsidRPr="00E834E4">
        <w:rPr>
          <w:bCs/>
        </w:rPr>
        <w:t>12.</w:t>
      </w:r>
      <w:r w:rsidRPr="00E834E4">
        <w:t xml:space="preserve"> Contact Hours</w:t>
      </w:r>
    </w:p>
    <w:p w14:paraId="4A0BF5D3" w14:textId="56B0ABB7" w:rsidR="00CF324C" w:rsidRDefault="00CF324C" w:rsidP="006F1BCA">
      <w:pPr>
        <w:pStyle w:val="BodyText"/>
        <w:jc w:val="both"/>
        <w:rPr>
          <w:iCs/>
          <w:szCs w:val="24"/>
        </w:rPr>
      </w:pPr>
      <w:r w:rsidRPr="00E834E4">
        <w:rPr>
          <w:iCs/>
          <w:szCs w:val="24"/>
        </w:rPr>
        <w:t xml:space="preserve">Learning and teaching methods will vary depending on the partner institution and the modules chosen. </w:t>
      </w:r>
      <w:r w:rsidR="00E834E4" w:rsidRPr="00E834E4">
        <w:rPr>
          <w:shd w:val="clear" w:color="auto" w:fill="FFFFFF"/>
        </w:rPr>
        <w:t> Inclusive of independent study, POLI6740 will require approximately 1,200 hours of study, (or the number of study hours otherwise specified by the partner institution concerned as amounting to a full-time load).</w:t>
      </w:r>
    </w:p>
    <w:p w14:paraId="4CAFD1DF" w14:textId="0FC3D4CE" w:rsidR="00E834E4" w:rsidRPr="00E834E4" w:rsidRDefault="00E834E4" w:rsidP="00B801FD">
      <w:pPr>
        <w:pStyle w:val="BodyText"/>
        <w:rPr>
          <w:iCs/>
          <w:szCs w:val="24"/>
        </w:rPr>
      </w:pPr>
      <w:r>
        <w:rPr>
          <w:iCs/>
          <w:szCs w:val="24"/>
        </w:rPr>
        <w:t>Total: 1200 Hours</w:t>
      </w:r>
    </w:p>
    <w:p w14:paraId="55FFAC95" w14:textId="5B20DF07" w:rsidR="00CF324C" w:rsidRPr="00E834E4" w:rsidRDefault="00CF324C" w:rsidP="00B801FD">
      <w:pPr>
        <w:pStyle w:val="Heading2"/>
        <w:rPr>
          <w:iCs/>
        </w:rPr>
      </w:pPr>
      <w:r w:rsidRPr="00E834E4">
        <w:t>Assessment methods</w:t>
      </w:r>
    </w:p>
    <w:p w14:paraId="4C8CBA4D" w14:textId="77777777" w:rsidR="00CF324C" w:rsidRPr="00E834E4" w:rsidRDefault="00CF324C" w:rsidP="00CF324C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  <w:sz w:val="24"/>
          <w:szCs w:val="24"/>
        </w:rPr>
      </w:pPr>
      <w:r w:rsidRPr="00E834E4">
        <w:rPr>
          <w:rFonts w:ascii="Arial" w:hAnsi="Arial" w:cs="Arial"/>
          <w:iCs/>
          <w:sz w:val="24"/>
          <w:szCs w:val="24"/>
        </w:rPr>
        <w:t>Main assessment methods</w:t>
      </w:r>
    </w:p>
    <w:p w14:paraId="50DB5738" w14:textId="77777777" w:rsidR="000F521F" w:rsidRDefault="000F521F" w:rsidP="00B801FD">
      <w:pPr>
        <w:pStyle w:val="BodyText"/>
      </w:pPr>
      <w:r>
        <w:t>Pass/Fail.</w:t>
      </w:r>
    </w:p>
    <w:p w14:paraId="1040145A" w14:textId="77777777" w:rsidR="00D8019C" w:rsidRDefault="000F521F" w:rsidP="006F1BCA">
      <w:pPr>
        <w:pStyle w:val="BodyText"/>
        <w:jc w:val="both"/>
        <w:rPr>
          <w:color w:val="171717"/>
          <w:shd w:val="clear" w:color="auto" w:fill="FFFFFF"/>
        </w:rPr>
      </w:pPr>
      <w:r w:rsidRPr="000F521F">
        <w:rPr>
          <w:color w:val="171717"/>
          <w:shd w:val="clear" w:color="auto" w:fill="FFFFFF"/>
        </w:rPr>
        <w:t xml:space="preserve">In order to pass this module and be awarded 120 Kent credits, students must achieve a pass mark (documented by the transcript issued by the partner institution) in at least two-thirds of the credits of their agreed modules. </w:t>
      </w:r>
    </w:p>
    <w:p w14:paraId="59C044C2" w14:textId="055967F6" w:rsidR="00CF324C" w:rsidRDefault="000F521F" w:rsidP="00B801FD">
      <w:pPr>
        <w:pStyle w:val="BodyText"/>
        <w:rPr>
          <w:color w:val="171717"/>
          <w:shd w:val="clear" w:color="auto" w:fill="FFFFFF"/>
        </w:rPr>
      </w:pPr>
      <w:r w:rsidRPr="000F521F">
        <w:rPr>
          <w:color w:val="171717"/>
          <w:shd w:val="clear" w:color="auto" w:fill="FFFFFF"/>
        </w:rPr>
        <w:t>There will be no compensation or condonement, and no concessionary adjustment of any marks awarded by the partner institution.</w:t>
      </w:r>
    </w:p>
    <w:p w14:paraId="51F602BC" w14:textId="77777777" w:rsidR="00D8019C" w:rsidRPr="000F521F" w:rsidRDefault="00D8019C" w:rsidP="00B801FD">
      <w:pPr>
        <w:pStyle w:val="BodyText"/>
        <w:rPr>
          <w:b/>
          <w:sz w:val="20"/>
          <w:szCs w:val="20"/>
        </w:rPr>
      </w:pPr>
    </w:p>
    <w:p w14:paraId="1D2FC490" w14:textId="77777777" w:rsidR="000F521F" w:rsidRPr="00E834E4" w:rsidRDefault="000F521F" w:rsidP="00CF324C">
      <w:pPr>
        <w:spacing w:after="120" w:line="240" w:lineRule="auto"/>
        <w:ind w:left="426" w:right="260"/>
        <w:rPr>
          <w:rFonts w:ascii="Arial" w:hAnsi="Arial" w:cs="Arial"/>
          <w:b/>
          <w:iCs/>
          <w:sz w:val="24"/>
          <w:szCs w:val="24"/>
        </w:rPr>
      </w:pPr>
    </w:p>
    <w:p w14:paraId="401A99A6" w14:textId="77777777" w:rsidR="00CF324C" w:rsidRPr="00E834E4" w:rsidRDefault="00CF324C" w:rsidP="00CF324C">
      <w:pPr>
        <w:spacing w:after="120"/>
        <w:ind w:left="567" w:hanging="567"/>
        <w:rPr>
          <w:rFonts w:ascii="Arial" w:hAnsi="Arial" w:cs="Arial"/>
          <w:iCs/>
          <w:sz w:val="24"/>
          <w:szCs w:val="24"/>
        </w:rPr>
      </w:pPr>
      <w:r w:rsidRPr="00E834E4">
        <w:rPr>
          <w:rFonts w:ascii="Arial" w:hAnsi="Arial" w:cs="Arial"/>
          <w:iCs/>
          <w:sz w:val="24"/>
          <w:szCs w:val="24"/>
        </w:rPr>
        <w:lastRenderedPageBreak/>
        <w:t>13.2</w:t>
      </w:r>
      <w:r w:rsidRPr="00E834E4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5785409B" w14:textId="0368B226" w:rsidR="00CF324C" w:rsidRDefault="000D65DC" w:rsidP="00B801FD">
      <w:pPr>
        <w:pStyle w:val="BodyText"/>
      </w:pPr>
      <w:r>
        <w:t>None.</w:t>
      </w:r>
    </w:p>
    <w:p w14:paraId="13DEFC9D" w14:textId="77777777" w:rsidR="00223E4A" w:rsidRDefault="000F521F" w:rsidP="006F1BCA">
      <w:pPr>
        <w:pStyle w:val="BodyText"/>
        <w:jc w:val="both"/>
        <w:rPr>
          <w:color w:val="171717"/>
          <w:shd w:val="clear" w:color="auto" w:fill="FFFFFF"/>
        </w:rPr>
      </w:pPr>
      <w:r w:rsidRPr="000F521F">
        <w:rPr>
          <w:color w:val="171717"/>
          <w:shd w:val="clear" w:color="auto" w:fill="FFFFFF"/>
        </w:rPr>
        <w:t xml:space="preserve">Reassessment opportunities may be provided by the partner institution during the year abroad in accordance with its own rules and regulations. </w:t>
      </w:r>
    </w:p>
    <w:p w14:paraId="11D08982" w14:textId="7D7F819B" w:rsidR="000F521F" w:rsidRPr="000F521F" w:rsidRDefault="000F521F" w:rsidP="006F1BCA">
      <w:pPr>
        <w:pStyle w:val="BodyText"/>
        <w:rPr>
          <w:sz w:val="20"/>
          <w:szCs w:val="20"/>
        </w:rPr>
      </w:pPr>
      <w:r w:rsidRPr="000F521F">
        <w:rPr>
          <w:color w:val="171717"/>
          <w:shd w:val="clear" w:color="auto" w:fill="FFFFFF"/>
        </w:rPr>
        <w:t>Where, subsequent to any reassessment opportunities offered by the partner institution, a student fails to obtain two-thirds of the necessary credits, but achieves at least one-third, they will be required to undertake further written work to achieve the remaining credits. The pass mark for this assessment will be 40%, however, no numerical mark will be formally recorded</w:t>
      </w:r>
      <w:r w:rsidR="006F1BCA">
        <w:rPr>
          <w:color w:val="171717"/>
          <w:shd w:val="clear" w:color="auto" w:fill="FFFFFF"/>
        </w:rPr>
        <w:t xml:space="preserve"> (pass/fail only)</w:t>
      </w:r>
      <w:r w:rsidRPr="000F521F">
        <w:rPr>
          <w:color w:val="171717"/>
          <w:shd w:val="clear" w:color="auto" w:fill="FFFFFF"/>
        </w:rPr>
        <w:t>.</w:t>
      </w:r>
      <w:r w:rsidRPr="000F521F">
        <w:rPr>
          <w:color w:val="171717"/>
        </w:rPr>
        <w:br/>
      </w:r>
      <w:r w:rsidRPr="000F521F">
        <w:rPr>
          <w:color w:val="171717"/>
        </w:rPr>
        <w:br/>
      </w:r>
      <w:r w:rsidRPr="000F521F">
        <w:rPr>
          <w:color w:val="171717"/>
          <w:shd w:val="clear" w:color="auto" w:fill="FFFFFF"/>
        </w:rPr>
        <w:t>Students who fail to achieve at least one-third of the necessary credits will not be offered a reassessment opportunity at Kent, and will fail this module (and their year abroad).</w:t>
      </w:r>
      <w:r w:rsidR="006F1BCA">
        <w:rPr>
          <w:color w:val="171717"/>
          <w:shd w:val="clear" w:color="auto" w:fill="FFFFFF"/>
        </w:rPr>
        <w:t xml:space="preserve"> See Annex 14 for more information.</w:t>
      </w:r>
      <w:r w:rsidRPr="000F521F">
        <w:rPr>
          <w:color w:val="171717"/>
        </w:rPr>
        <w:br/>
      </w:r>
      <w:r w:rsidRPr="000F521F">
        <w:rPr>
          <w:color w:val="171717"/>
        </w:rPr>
        <w:br/>
      </w:r>
      <w:r w:rsidRPr="000F521F">
        <w:rPr>
          <w:color w:val="171717"/>
          <w:shd w:val="clear" w:color="auto" w:fill="FFFFFF"/>
        </w:rPr>
        <w:t xml:space="preserve">Students who ultimately fail their year abroad will be transferred to the single honours </w:t>
      </w:r>
      <w:r w:rsidR="000D65DC">
        <w:rPr>
          <w:color w:val="171717"/>
          <w:shd w:val="clear" w:color="auto" w:fill="FFFFFF"/>
        </w:rPr>
        <w:t>Politics and International Relations.</w:t>
      </w:r>
    </w:p>
    <w:p w14:paraId="2D2CC323" w14:textId="65D3D33E" w:rsidR="00CF324C" w:rsidRPr="00E834E4" w:rsidRDefault="00CF324C" w:rsidP="00B801FD">
      <w:pPr>
        <w:pStyle w:val="Heading2"/>
      </w:pPr>
      <w:r w:rsidRPr="00E834E4">
        <w:t>Map of module learning outcomes (sections 8 &amp; 9) to learning and teaching methods (section</w:t>
      </w:r>
      <w:r w:rsidR="00D8019C">
        <w:t xml:space="preserve"> </w:t>
      </w:r>
      <w:r w:rsidRPr="00E834E4">
        <w:t>12) and methods of assessment (section 13)</w:t>
      </w:r>
    </w:p>
    <w:p w14:paraId="52CC3846" w14:textId="77777777" w:rsidR="00223E4A" w:rsidRPr="00223E4A" w:rsidRDefault="00223E4A" w:rsidP="00223E4A">
      <w:pPr>
        <w:pStyle w:val="BodyText"/>
        <w:spacing w:before="360" w:after="360"/>
        <w:rPr>
          <w:b/>
          <w:bCs/>
        </w:rPr>
      </w:pPr>
      <w:bookmarkStart w:id="0" w:name="_Hlk94692352"/>
      <w:bookmarkStart w:id="1" w:name="_Hlk110349908"/>
      <w:r w:rsidRPr="00223E4A">
        <w:rPr>
          <w:b/>
          <w:bCs/>
        </w:rPr>
        <w:t>Module learning outcomes against learning and teaching methods:</w:t>
      </w:r>
    </w:p>
    <w:tbl>
      <w:tblPr>
        <w:tblStyle w:val="TableGrid"/>
        <w:tblW w:w="7182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2761"/>
        <w:gridCol w:w="736"/>
        <w:gridCol w:w="737"/>
        <w:gridCol w:w="737"/>
        <w:gridCol w:w="737"/>
        <w:gridCol w:w="737"/>
        <w:gridCol w:w="737"/>
      </w:tblGrid>
      <w:tr w:rsidR="00223E4A" w:rsidRPr="009D52D0" w14:paraId="2E479561" w14:textId="77777777" w:rsidTr="00223E4A">
        <w:tc>
          <w:tcPr>
            <w:tcW w:w="2761" w:type="dxa"/>
          </w:tcPr>
          <w:p w14:paraId="55810CED" w14:textId="77777777" w:rsidR="00223E4A" w:rsidRPr="009D52D0" w:rsidRDefault="00223E4A" w:rsidP="0046700E">
            <w:pPr>
              <w:pStyle w:val="Tableoutcomesideheadings"/>
            </w:pPr>
            <w:r w:rsidRPr="009D52D0">
              <w:t>Module learning outcome</w:t>
            </w:r>
          </w:p>
        </w:tc>
        <w:tc>
          <w:tcPr>
            <w:tcW w:w="736" w:type="dxa"/>
          </w:tcPr>
          <w:p w14:paraId="52D9C0C1" w14:textId="77777777" w:rsidR="00223E4A" w:rsidRPr="009D52D0" w:rsidRDefault="00223E4A" w:rsidP="0046700E">
            <w:pPr>
              <w:pStyle w:val="Tableoutcomeshead"/>
            </w:pPr>
            <w:r w:rsidRPr="009D52D0">
              <w:t>8.1</w:t>
            </w:r>
          </w:p>
        </w:tc>
        <w:tc>
          <w:tcPr>
            <w:tcW w:w="737" w:type="dxa"/>
          </w:tcPr>
          <w:p w14:paraId="06C49218" w14:textId="77777777" w:rsidR="00223E4A" w:rsidRPr="009D52D0" w:rsidRDefault="00223E4A" w:rsidP="0046700E">
            <w:pPr>
              <w:pStyle w:val="Tableoutcomeshead"/>
            </w:pPr>
            <w:r w:rsidRPr="009D52D0">
              <w:t>8.2</w:t>
            </w:r>
          </w:p>
        </w:tc>
        <w:tc>
          <w:tcPr>
            <w:tcW w:w="737" w:type="dxa"/>
          </w:tcPr>
          <w:p w14:paraId="3E255E5D" w14:textId="77777777" w:rsidR="00223E4A" w:rsidRPr="009D52D0" w:rsidRDefault="00223E4A" w:rsidP="0046700E">
            <w:pPr>
              <w:pStyle w:val="Tableoutcomeshead"/>
            </w:pPr>
            <w:r w:rsidRPr="009D52D0">
              <w:t>8.3</w:t>
            </w:r>
          </w:p>
        </w:tc>
        <w:tc>
          <w:tcPr>
            <w:tcW w:w="737" w:type="dxa"/>
          </w:tcPr>
          <w:p w14:paraId="02F320AF" w14:textId="77777777" w:rsidR="00223E4A" w:rsidRPr="009D52D0" w:rsidRDefault="00223E4A" w:rsidP="0046700E">
            <w:pPr>
              <w:pStyle w:val="Tableoutcomeshead"/>
            </w:pPr>
            <w:r w:rsidRPr="009D52D0">
              <w:t>9.1</w:t>
            </w:r>
          </w:p>
        </w:tc>
        <w:tc>
          <w:tcPr>
            <w:tcW w:w="737" w:type="dxa"/>
          </w:tcPr>
          <w:p w14:paraId="44397ED0" w14:textId="77777777" w:rsidR="00223E4A" w:rsidRPr="009D52D0" w:rsidRDefault="00223E4A" w:rsidP="0046700E">
            <w:pPr>
              <w:pStyle w:val="Tableoutcomeshead"/>
            </w:pPr>
            <w:r w:rsidRPr="009D52D0">
              <w:t>9.2</w:t>
            </w:r>
          </w:p>
        </w:tc>
        <w:tc>
          <w:tcPr>
            <w:tcW w:w="737" w:type="dxa"/>
          </w:tcPr>
          <w:p w14:paraId="6CC2D5F7" w14:textId="77777777" w:rsidR="00223E4A" w:rsidRPr="009D52D0" w:rsidRDefault="00223E4A" w:rsidP="0046700E">
            <w:pPr>
              <w:pStyle w:val="Tableoutcomeshead"/>
            </w:pPr>
            <w:r w:rsidRPr="009D52D0">
              <w:t>9.3</w:t>
            </w:r>
          </w:p>
        </w:tc>
      </w:tr>
      <w:tr w:rsidR="00223E4A" w:rsidRPr="009D52D0" w14:paraId="2F1AA651" w14:textId="77777777" w:rsidTr="00223E4A">
        <w:tc>
          <w:tcPr>
            <w:tcW w:w="2761" w:type="dxa"/>
          </w:tcPr>
          <w:p w14:paraId="0B3A6FDA" w14:textId="5F843254" w:rsidR="00223E4A" w:rsidRPr="009D52D0" w:rsidRDefault="00223E4A" w:rsidP="0046700E">
            <w:pPr>
              <w:pStyle w:val="Tableoutcomesideheadings"/>
            </w:pPr>
            <w:r>
              <w:t>As described in S.12</w:t>
            </w:r>
          </w:p>
        </w:tc>
        <w:tc>
          <w:tcPr>
            <w:tcW w:w="736" w:type="dxa"/>
          </w:tcPr>
          <w:p w14:paraId="5BE1A7DB" w14:textId="7F587546" w:rsidR="00223E4A" w:rsidRPr="009D52D0" w:rsidRDefault="00223E4A" w:rsidP="0046700E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7AF15618" w14:textId="7F97EB56" w:rsidR="00223E4A" w:rsidRPr="009D52D0" w:rsidRDefault="00223E4A" w:rsidP="0046700E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1780D93F" w14:textId="022C2FDE" w:rsidR="00223E4A" w:rsidRPr="009D52D0" w:rsidRDefault="00223E4A" w:rsidP="0046700E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6AE85846" w14:textId="7435013B" w:rsidR="00223E4A" w:rsidRPr="009D52D0" w:rsidRDefault="00223E4A" w:rsidP="0046700E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6E8F6E36" w14:textId="307D2D5F" w:rsidR="00223E4A" w:rsidRPr="009D52D0" w:rsidRDefault="00223E4A" w:rsidP="0046700E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0F840654" w14:textId="4D426682" w:rsidR="00223E4A" w:rsidRPr="009D52D0" w:rsidRDefault="00223E4A" w:rsidP="0046700E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bookmarkEnd w:id="0"/>
    </w:tbl>
    <w:p w14:paraId="6CB045CD" w14:textId="77777777" w:rsidR="00223E4A" w:rsidRPr="00223E4A" w:rsidRDefault="00223E4A" w:rsidP="00223E4A">
      <w:pPr>
        <w:rPr>
          <w:rFonts w:ascii="Arial" w:hAnsi="Arial" w:cs="Arial"/>
        </w:rPr>
      </w:pPr>
    </w:p>
    <w:p w14:paraId="68D2C47F" w14:textId="57DB6035" w:rsidR="00223E4A" w:rsidRPr="00223E4A" w:rsidRDefault="00223E4A" w:rsidP="00223E4A">
      <w:pPr>
        <w:pStyle w:val="BodyText"/>
        <w:spacing w:before="360" w:after="360"/>
        <w:rPr>
          <w:b/>
          <w:bCs/>
        </w:rPr>
      </w:pPr>
      <w:bookmarkStart w:id="2" w:name="_Hlk94692647"/>
      <w:r w:rsidRPr="00223E4A">
        <w:rPr>
          <w:b/>
          <w:bCs/>
        </w:rPr>
        <w:t>Module learning outcomes against assessment methods:</w:t>
      </w:r>
    </w:p>
    <w:tbl>
      <w:tblPr>
        <w:tblStyle w:val="TableGrid"/>
        <w:tblW w:w="7182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2761"/>
        <w:gridCol w:w="736"/>
        <w:gridCol w:w="737"/>
        <w:gridCol w:w="737"/>
        <w:gridCol w:w="737"/>
        <w:gridCol w:w="737"/>
        <w:gridCol w:w="737"/>
      </w:tblGrid>
      <w:tr w:rsidR="00223E4A" w:rsidRPr="009D52D0" w14:paraId="55EC8B82" w14:textId="77777777" w:rsidTr="00223E4A">
        <w:tc>
          <w:tcPr>
            <w:tcW w:w="2761" w:type="dxa"/>
          </w:tcPr>
          <w:p w14:paraId="04EFD96C" w14:textId="77777777" w:rsidR="00223E4A" w:rsidRPr="009D52D0" w:rsidRDefault="00223E4A" w:rsidP="0046700E">
            <w:pPr>
              <w:pStyle w:val="Tableoutcomesideheadings"/>
            </w:pPr>
            <w:r w:rsidRPr="009D52D0">
              <w:t>Module learning outcome</w:t>
            </w:r>
          </w:p>
        </w:tc>
        <w:tc>
          <w:tcPr>
            <w:tcW w:w="736" w:type="dxa"/>
          </w:tcPr>
          <w:p w14:paraId="0074AE93" w14:textId="77777777" w:rsidR="00223E4A" w:rsidRPr="009D52D0" w:rsidRDefault="00223E4A" w:rsidP="0046700E">
            <w:pPr>
              <w:pStyle w:val="Tableoutcomeshead"/>
            </w:pPr>
            <w:r w:rsidRPr="009D52D0">
              <w:t>8.1</w:t>
            </w:r>
          </w:p>
        </w:tc>
        <w:tc>
          <w:tcPr>
            <w:tcW w:w="737" w:type="dxa"/>
          </w:tcPr>
          <w:p w14:paraId="1759E292" w14:textId="77777777" w:rsidR="00223E4A" w:rsidRPr="009D52D0" w:rsidRDefault="00223E4A" w:rsidP="0046700E">
            <w:pPr>
              <w:pStyle w:val="Tableoutcomeshead"/>
            </w:pPr>
            <w:r w:rsidRPr="009D52D0">
              <w:t>8.2</w:t>
            </w:r>
          </w:p>
        </w:tc>
        <w:tc>
          <w:tcPr>
            <w:tcW w:w="737" w:type="dxa"/>
          </w:tcPr>
          <w:p w14:paraId="6E55B21C" w14:textId="77777777" w:rsidR="00223E4A" w:rsidRPr="009D52D0" w:rsidRDefault="00223E4A" w:rsidP="0046700E">
            <w:pPr>
              <w:pStyle w:val="Tableoutcomeshead"/>
            </w:pPr>
            <w:r w:rsidRPr="009D52D0">
              <w:t>8.3</w:t>
            </w:r>
          </w:p>
        </w:tc>
        <w:tc>
          <w:tcPr>
            <w:tcW w:w="737" w:type="dxa"/>
          </w:tcPr>
          <w:p w14:paraId="3285BC10" w14:textId="77777777" w:rsidR="00223E4A" w:rsidRPr="009D52D0" w:rsidRDefault="00223E4A" w:rsidP="0046700E">
            <w:pPr>
              <w:pStyle w:val="Tableoutcomeshead"/>
            </w:pPr>
            <w:r w:rsidRPr="009D52D0">
              <w:t>9.1</w:t>
            </w:r>
          </w:p>
        </w:tc>
        <w:tc>
          <w:tcPr>
            <w:tcW w:w="737" w:type="dxa"/>
          </w:tcPr>
          <w:p w14:paraId="4F8C923F" w14:textId="77777777" w:rsidR="00223E4A" w:rsidRPr="009D52D0" w:rsidRDefault="00223E4A" w:rsidP="0046700E">
            <w:pPr>
              <w:pStyle w:val="Tableoutcomeshead"/>
            </w:pPr>
            <w:r w:rsidRPr="009D52D0">
              <w:t>9.2</w:t>
            </w:r>
          </w:p>
        </w:tc>
        <w:tc>
          <w:tcPr>
            <w:tcW w:w="737" w:type="dxa"/>
          </w:tcPr>
          <w:p w14:paraId="5ED34BF5" w14:textId="77777777" w:rsidR="00223E4A" w:rsidRPr="009D52D0" w:rsidRDefault="00223E4A" w:rsidP="0046700E">
            <w:pPr>
              <w:pStyle w:val="Tableoutcomeshead"/>
            </w:pPr>
            <w:r w:rsidRPr="009D52D0">
              <w:t>9.3</w:t>
            </w:r>
          </w:p>
        </w:tc>
      </w:tr>
      <w:tr w:rsidR="00223E4A" w:rsidRPr="009D52D0" w14:paraId="3882E4E2" w14:textId="77777777" w:rsidTr="00223E4A">
        <w:tc>
          <w:tcPr>
            <w:tcW w:w="2761" w:type="dxa"/>
          </w:tcPr>
          <w:p w14:paraId="6EB0E260" w14:textId="551F0982" w:rsidR="00223E4A" w:rsidRPr="009D52D0" w:rsidRDefault="00223E4A" w:rsidP="00223E4A">
            <w:pPr>
              <w:pStyle w:val="Tableoutcomesideheadings"/>
            </w:pPr>
            <w:r>
              <w:t>As described in S.13</w:t>
            </w:r>
          </w:p>
        </w:tc>
        <w:tc>
          <w:tcPr>
            <w:tcW w:w="736" w:type="dxa"/>
          </w:tcPr>
          <w:p w14:paraId="12E96926" w14:textId="57D54608" w:rsidR="00223E4A" w:rsidRPr="009D52D0" w:rsidRDefault="00223E4A" w:rsidP="00223E4A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1F739C6A" w14:textId="2BEC84CA" w:rsidR="00223E4A" w:rsidRPr="009D52D0" w:rsidRDefault="00223E4A" w:rsidP="00223E4A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31445E88" w14:textId="2BAEF1BB" w:rsidR="00223E4A" w:rsidRPr="009D52D0" w:rsidRDefault="00223E4A" w:rsidP="00223E4A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3B56C2C7" w14:textId="717C5D2F" w:rsidR="00223E4A" w:rsidRPr="009D52D0" w:rsidRDefault="00223E4A" w:rsidP="00223E4A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0A7B1906" w14:textId="4B0FD480" w:rsidR="00223E4A" w:rsidRPr="009D52D0" w:rsidRDefault="00223E4A" w:rsidP="00223E4A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14:paraId="2F7BAEA8" w14:textId="3958193A" w:rsidR="00223E4A" w:rsidRPr="009D52D0" w:rsidRDefault="00223E4A" w:rsidP="00223E4A">
            <w:pPr>
              <w:pStyle w:val="Tableoutcomecrosses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bookmarkEnd w:id="2"/>
    <w:bookmarkEnd w:id="1"/>
    <w:p w14:paraId="70E45520" w14:textId="77777777" w:rsidR="00CF324C" w:rsidRPr="00E834E4" w:rsidRDefault="00CF324C" w:rsidP="00B801FD">
      <w:pPr>
        <w:pStyle w:val="Heading2"/>
        <w:rPr>
          <w:iCs/>
        </w:rPr>
      </w:pPr>
      <w:r w:rsidRPr="00E834E4">
        <w:t xml:space="preserve">Inclusive module design </w:t>
      </w:r>
    </w:p>
    <w:p w14:paraId="3A6ADB8C" w14:textId="4DAC3C90" w:rsidR="00971B04" w:rsidRDefault="00971B04" w:rsidP="00B801FD">
      <w:pPr>
        <w:pStyle w:val="BodyText"/>
        <w:rPr>
          <w:sz w:val="21"/>
          <w:szCs w:val="21"/>
          <w:lang w:eastAsia="zh-CN"/>
        </w:rPr>
      </w:pPr>
      <w:r>
        <w:t>Kent’s International Partnerships complete the full checks required by the Due Diligence Checklist and thoroughly assesses that the approved partner institution’s student support provision and equality and diversity policies are sound.</w:t>
      </w:r>
    </w:p>
    <w:p w14:paraId="2264BCDE" w14:textId="77777777" w:rsidR="00971B04" w:rsidRDefault="00971B04" w:rsidP="00B801FD">
      <w:pPr>
        <w:pStyle w:val="BodyText"/>
        <w:rPr>
          <w:sz w:val="21"/>
          <w:szCs w:val="21"/>
        </w:rPr>
      </w:pPr>
      <w:r>
        <w:t>Students with Inclusive Learning Plans (ILPs)/declared disabilities may be referred to International Partnerships who will liaise with the approved partner institution regarding any individual needs.</w:t>
      </w:r>
    </w:p>
    <w:p w14:paraId="2E3A9CE2" w14:textId="77777777" w:rsidR="00CF324C" w:rsidRPr="00E834E4" w:rsidRDefault="00CF324C" w:rsidP="00B801FD">
      <w:pPr>
        <w:pStyle w:val="Heading2"/>
      </w:pPr>
      <w:r w:rsidRPr="00E834E4">
        <w:t>Campus(es) or centre(s) where module will be delivered</w:t>
      </w:r>
    </w:p>
    <w:p w14:paraId="19A16597" w14:textId="77777777" w:rsidR="00CF324C" w:rsidRPr="00E834E4" w:rsidRDefault="00CF324C" w:rsidP="00B801FD">
      <w:pPr>
        <w:pStyle w:val="BodyText"/>
      </w:pPr>
      <w:r w:rsidRPr="00E834E4">
        <w:t>It will vary depending on the partner institution chosen.</w:t>
      </w:r>
    </w:p>
    <w:p w14:paraId="5C310BB1" w14:textId="77777777" w:rsidR="00CF324C" w:rsidRPr="00E834E4" w:rsidRDefault="00CF324C" w:rsidP="00B801FD">
      <w:pPr>
        <w:pStyle w:val="Heading2"/>
      </w:pPr>
      <w:r w:rsidRPr="00E834E4">
        <w:lastRenderedPageBreak/>
        <w:t xml:space="preserve">Internationalisation </w:t>
      </w:r>
    </w:p>
    <w:p w14:paraId="16EC9E93" w14:textId="77777777" w:rsidR="00EF2074" w:rsidRPr="00EF2074" w:rsidRDefault="00EF2074" w:rsidP="00B801FD">
      <w:pPr>
        <w:pStyle w:val="BodyText"/>
      </w:pPr>
      <w:r w:rsidRPr="00EF2074">
        <w:t xml:space="preserve">This module is intrinsically international since it allows students to immerse themselves in the International culture of a destination abroad. </w:t>
      </w:r>
    </w:p>
    <w:p w14:paraId="15249026" w14:textId="0BF3143A" w:rsidR="00D8019C" w:rsidRDefault="00D8019C" w:rsidP="00D8019C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  <w:bookmarkStart w:id="3" w:name="_Hlk118801091"/>
      <w:bookmarkStart w:id="4" w:name="_Hlk110347234"/>
    </w:p>
    <w:p w14:paraId="075BB690" w14:textId="7AC77C40" w:rsidR="00D8019C" w:rsidRDefault="00D8019C" w:rsidP="00D8019C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51F68EFF" w14:textId="7AD8AE44" w:rsidR="00D8019C" w:rsidRDefault="00D8019C" w:rsidP="00D8019C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5A25A8A" w14:textId="20785972" w:rsidR="00D8019C" w:rsidRDefault="00D8019C" w:rsidP="00D8019C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440C20D0" w14:textId="77777777" w:rsidR="00D8019C" w:rsidRPr="009D52D0" w:rsidRDefault="00D8019C" w:rsidP="00D8019C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36BAAEB0" w14:textId="77777777" w:rsidR="00D8019C" w:rsidRPr="005E5282" w:rsidRDefault="00D8019C" w:rsidP="00D8019C">
      <w:pPr>
        <w:spacing w:after="120" w:line="240" w:lineRule="auto"/>
        <w:ind w:right="543"/>
        <w:rPr>
          <w:rFonts w:ascii="Arial" w:hAnsi="Arial" w:cs="Arial"/>
          <w:b/>
        </w:rPr>
      </w:pPr>
      <w:r w:rsidRPr="005E5282">
        <w:rPr>
          <w:rFonts w:ascii="Arial" w:hAnsi="Arial" w:cs="Arial"/>
          <w:b/>
        </w:rPr>
        <w:t xml:space="preserve">DIVISIONAL USE ONLY </w:t>
      </w:r>
    </w:p>
    <w:bookmarkEnd w:id="3"/>
    <w:p w14:paraId="32CC6836" w14:textId="77777777" w:rsidR="00D8019C" w:rsidRPr="005E5282" w:rsidRDefault="00D8019C" w:rsidP="00D8019C">
      <w:pPr>
        <w:spacing w:after="120" w:line="240" w:lineRule="auto"/>
        <w:ind w:right="543"/>
        <w:rPr>
          <w:rFonts w:ascii="Arial" w:hAnsi="Arial" w:cs="Arial"/>
          <w:b/>
        </w:rPr>
      </w:pPr>
      <w:r w:rsidRPr="005E5282">
        <w:rPr>
          <w:rFonts w:ascii="Arial" w:hAnsi="Arial" w:cs="Arial"/>
          <w:b/>
        </w:rPr>
        <w:t>Module record – all revisions must be recorded in the grid and full details of the change retained in the appropriate committee records.</w:t>
      </w:r>
    </w:p>
    <w:p w14:paraId="66C6A406" w14:textId="77777777" w:rsidR="00D8019C" w:rsidRPr="005E5282" w:rsidRDefault="00D8019C" w:rsidP="00D8019C">
      <w:pPr>
        <w:spacing w:after="120" w:line="240" w:lineRule="auto"/>
        <w:ind w:right="543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92"/>
        <w:gridCol w:w="1817"/>
        <w:gridCol w:w="2256"/>
        <w:gridCol w:w="2077"/>
        <w:gridCol w:w="1892"/>
      </w:tblGrid>
      <w:tr w:rsidR="00D8019C" w:rsidRPr="009D52D0" w14:paraId="43D0D8C6" w14:textId="77777777" w:rsidTr="00D8019C">
        <w:trPr>
          <w:trHeight w:val="317"/>
          <w:tblHeader/>
        </w:trPr>
        <w:tc>
          <w:tcPr>
            <w:tcW w:w="1592" w:type="dxa"/>
            <w:shd w:val="clear" w:color="auto" w:fill="F2F2F2" w:themeFill="background1" w:themeFillShade="F2"/>
          </w:tcPr>
          <w:p w14:paraId="6D8F7429" w14:textId="77777777" w:rsidR="00D8019C" w:rsidRPr="009D52D0" w:rsidRDefault="00D8019C" w:rsidP="0046700E">
            <w:pPr>
              <w:pStyle w:val="Tableoutcomeshead"/>
            </w:pPr>
            <w:r w:rsidRPr="009D52D0">
              <w:t>Date approved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33683E02" w14:textId="77777777" w:rsidR="00D8019C" w:rsidRPr="009D52D0" w:rsidRDefault="00D8019C" w:rsidP="0046700E">
            <w:pPr>
              <w:pStyle w:val="Tableoutcomeshead"/>
            </w:pPr>
            <w:r>
              <w:t>New/</w:t>
            </w:r>
            <w:r w:rsidRPr="009D52D0">
              <w:t>Major/</w:t>
            </w:r>
            <w:r>
              <w:t>M</w:t>
            </w:r>
            <w:r w:rsidRPr="009D52D0">
              <w:t>inor revision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11FA8F8" w14:textId="77777777" w:rsidR="00D8019C" w:rsidRPr="009D52D0" w:rsidRDefault="00D8019C" w:rsidP="0046700E">
            <w:pPr>
              <w:pStyle w:val="Tableoutcomeshead"/>
            </w:pPr>
            <w:r w:rsidRPr="009D52D0">
              <w:t xml:space="preserve">Start date of delivery of </w:t>
            </w:r>
            <w:r>
              <w:t>(</w:t>
            </w:r>
            <w:r w:rsidRPr="009D52D0">
              <w:t>revised</w:t>
            </w:r>
            <w:r>
              <w:t>)</w:t>
            </w:r>
            <w:r w:rsidRPr="009D52D0">
              <w:t xml:space="preserve"> version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76A20E8D" w14:textId="77777777" w:rsidR="00D8019C" w:rsidRPr="009D52D0" w:rsidRDefault="00D8019C" w:rsidP="0046700E">
            <w:pPr>
              <w:pStyle w:val="Tableoutcomeshead"/>
            </w:pPr>
            <w:r w:rsidRPr="009D52D0">
              <w:t>Section revised</w:t>
            </w:r>
            <w:r>
              <w:t xml:space="preserve"> (if applicable)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42153CF8" w14:textId="77777777" w:rsidR="00D8019C" w:rsidRPr="009D52D0" w:rsidRDefault="00D8019C" w:rsidP="0046700E">
            <w:pPr>
              <w:pStyle w:val="Tableoutcomeshead"/>
            </w:pPr>
            <w:r w:rsidRPr="009D52D0">
              <w:t>Impacts PLOs (Q6</w:t>
            </w:r>
            <w:r>
              <w:t xml:space="preserve"> </w:t>
            </w:r>
            <w:r w:rsidRPr="009D52D0">
              <w:t>&amp;</w:t>
            </w:r>
            <w:r>
              <w:t xml:space="preserve"> </w:t>
            </w:r>
            <w:r w:rsidRPr="009D52D0">
              <w:t>7 cover sheet)</w:t>
            </w:r>
          </w:p>
        </w:tc>
      </w:tr>
      <w:tr w:rsidR="00D8019C" w:rsidRPr="009D52D0" w14:paraId="2AE518D0" w14:textId="77777777" w:rsidTr="00D8019C">
        <w:trPr>
          <w:trHeight w:val="305"/>
        </w:trPr>
        <w:tc>
          <w:tcPr>
            <w:tcW w:w="1592" w:type="dxa"/>
          </w:tcPr>
          <w:p w14:paraId="3E19063C" w14:textId="18A6C191" w:rsidR="00D8019C" w:rsidRPr="00D8019C" w:rsidRDefault="00D8019C" w:rsidP="00D8019C">
            <w:pPr>
              <w:pStyle w:val="Tabledivuseonly"/>
            </w:pPr>
            <w:r w:rsidRPr="00D8019C">
              <w:t>03</w:t>
            </w:r>
            <w:r>
              <w:t>.</w:t>
            </w:r>
            <w:r w:rsidRPr="00D8019C">
              <w:t>12</w:t>
            </w:r>
            <w:r>
              <w:t>.20</w:t>
            </w:r>
            <w:r w:rsidRPr="00D8019C">
              <w:t>18</w:t>
            </w:r>
          </w:p>
        </w:tc>
        <w:tc>
          <w:tcPr>
            <w:tcW w:w="1817" w:type="dxa"/>
          </w:tcPr>
          <w:p w14:paraId="6111119F" w14:textId="470C7359" w:rsidR="00D8019C" w:rsidRPr="00D8019C" w:rsidRDefault="00D8019C" w:rsidP="00D8019C">
            <w:pPr>
              <w:pStyle w:val="Tabledivuseonly"/>
            </w:pPr>
            <w:r w:rsidRPr="00D8019C">
              <w:t>Minor</w:t>
            </w:r>
          </w:p>
        </w:tc>
        <w:tc>
          <w:tcPr>
            <w:tcW w:w="2256" w:type="dxa"/>
          </w:tcPr>
          <w:p w14:paraId="66DDFB31" w14:textId="43B209C1" w:rsidR="00D8019C" w:rsidRPr="00D8019C" w:rsidRDefault="00D8019C" w:rsidP="00D8019C">
            <w:pPr>
              <w:pStyle w:val="Tabledivuseonly"/>
            </w:pPr>
            <w:r w:rsidRPr="00D8019C">
              <w:t>2019-20</w:t>
            </w:r>
          </w:p>
        </w:tc>
        <w:tc>
          <w:tcPr>
            <w:tcW w:w="2077" w:type="dxa"/>
          </w:tcPr>
          <w:p w14:paraId="6CFA7F5C" w14:textId="202D0496" w:rsidR="00D8019C" w:rsidRPr="00D8019C" w:rsidRDefault="00D8019C" w:rsidP="00D8019C">
            <w:pPr>
              <w:pStyle w:val="Tabledivuseonly"/>
            </w:pPr>
            <w:r w:rsidRPr="00D8019C">
              <w:t>13.2</w:t>
            </w:r>
          </w:p>
        </w:tc>
        <w:tc>
          <w:tcPr>
            <w:tcW w:w="1892" w:type="dxa"/>
          </w:tcPr>
          <w:p w14:paraId="60F4D03A" w14:textId="7A15AF4D" w:rsidR="00D8019C" w:rsidRPr="00D8019C" w:rsidRDefault="00D8019C" w:rsidP="00D8019C">
            <w:pPr>
              <w:pStyle w:val="Tabledivuseonly"/>
            </w:pPr>
            <w:r w:rsidRPr="00D8019C">
              <w:t>No</w:t>
            </w:r>
          </w:p>
        </w:tc>
      </w:tr>
      <w:tr w:rsidR="00D8019C" w:rsidRPr="009D52D0" w14:paraId="32D7F4AD" w14:textId="77777777" w:rsidTr="00D8019C">
        <w:trPr>
          <w:trHeight w:val="305"/>
        </w:trPr>
        <w:tc>
          <w:tcPr>
            <w:tcW w:w="1592" w:type="dxa"/>
          </w:tcPr>
          <w:p w14:paraId="31F5B1F0" w14:textId="6A113D70" w:rsidR="00D8019C" w:rsidRPr="00D8019C" w:rsidRDefault="00D8019C" w:rsidP="00D8019C">
            <w:pPr>
              <w:pStyle w:val="Tabledivuseonly"/>
            </w:pPr>
            <w:r>
              <w:t>05.12.2022</w:t>
            </w:r>
          </w:p>
        </w:tc>
        <w:tc>
          <w:tcPr>
            <w:tcW w:w="1817" w:type="dxa"/>
          </w:tcPr>
          <w:p w14:paraId="39B81DE1" w14:textId="2CF321BF" w:rsidR="00D8019C" w:rsidRPr="00D8019C" w:rsidRDefault="00D8019C" w:rsidP="00D8019C">
            <w:pPr>
              <w:pStyle w:val="Tabledivuseonly"/>
            </w:pPr>
            <w:r w:rsidRPr="00D8019C">
              <w:t>Major</w:t>
            </w:r>
          </w:p>
        </w:tc>
        <w:tc>
          <w:tcPr>
            <w:tcW w:w="2256" w:type="dxa"/>
          </w:tcPr>
          <w:p w14:paraId="675F0479" w14:textId="28075290" w:rsidR="00D8019C" w:rsidRPr="00D8019C" w:rsidRDefault="00223E4A" w:rsidP="00D8019C">
            <w:pPr>
              <w:pStyle w:val="Tabledivuseonly"/>
            </w:pPr>
            <w:r>
              <w:t xml:space="preserve">September </w:t>
            </w:r>
            <w:r w:rsidR="00D8019C" w:rsidRPr="00D8019C">
              <w:t>2023</w:t>
            </w:r>
          </w:p>
        </w:tc>
        <w:tc>
          <w:tcPr>
            <w:tcW w:w="2077" w:type="dxa"/>
          </w:tcPr>
          <w:p w14:paraId="433B7797" w14:textId="47EA4782" w:rsidR="00D8019C" w:rsidRPr="00D8019C" w:rsidRDefault="008850BE" w:rsidP="00D8019C">
            <w:pPr>
              <w:pStyle w:val="Tabledivuseonly"/>
            </w:pPr>
            <w:r w:rsidRPr="008850BE">
              <w:t>6,</w:t>
            </w:r>
            <w:r w:rsidR="006F1BCA">
              <w:t xml:space="preserve"> 7,</w:t>
            </w:r>
            <w:r w:rsidRPr="008850BE">
              <w:t xml:space="preserve"> 10, 12, 13, 15, 17</w:t>
            </w:r>
          </w:p>
        </w:tc>
        <w:tc>
          <w:tcPr>
            <w:tcW w:w="1892" w:type="dxa"/>
          </w:tcPr>
          <w:p w14:paraId="5B67A954" w14:textId="16FE11DA" w:rsidR="00D8019C" w:rsidRPr="00D8019C" w:rsidRDefault="00D8019C" w:rsidP="00D8019C">
            <w:pPr>
              <w:pStyle w:val="Tabledivuseonly"/>
            </w:pPr>
            <w:r w:rsidRPr="00D8019C">
              <w:t>No</w:t>
            </w:r>
          </w:p>
        </w:tc>
      </w:tr>
    </w:tbl>
    <w:p w14:paraId="21D25FAD" w14:textId="77777777" w:rsidR="00D8019C" w:rsidRDefault="00D8019C" w:rsidP="00D8019C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bookmarkEnd w:id="4"/>
    <w:sectPr w:rsidR="00D8019C" w:rsidSect="00B801FD">
      <w:headerReference w:type="default" r:id="rId12"/>
      <w:footerReference w:type="default" r:id="rId13"/>
      <w:headerReference w:type="first" r:id="rId14"/>
      <w:pgSz w:w="11906" w:h="16838" w:code="9"/>
      <w:pgMar w:top="720" w:right="1134" w:bottom="1134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7E05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0A85AB17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5ED118FF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782C3193" w14:textId="7777777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0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76BCC7" w14:textId="1C4C9227" w:rsidR="008B2543" w:rsidRPr="007B7724" w:rsidRDefault="008B2543" w:rsidP="00B801FD">
    <w:pPr>
      <w:pStyle w:val="Footer"/>
      <w:spacing w:before="0" w:after="0"/>
      <w:ind w:right="-329"/>
      <w:rPr>
        <w:sz w:val="18"/>
      </w:rPr>
    </w:pPr>
    <w:r w:rsidRPr="007B7724">
      <w:rPr>
        <w:sz w:val="18"/>
      </w:rPr>
      <w:t>Module Specification</w:t>
    </w:r>
    <w:r w:rsidR="00B801FD">
      <w:rPr>
        <w:sz w:val="18"/>
      </w:rPr>
      <w:t xml:space="preserve">: </w:t>
    </w:r>
    <w:r w:rsidR="00B801FD" w:rsidRPr="00B801FD">
      <w:rPr>
        <w:sz w:val="18"/>
      </w:rPr>
      <w:t>POLI6740 Politics and International Relations Year Abroad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BE8C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4247A0C9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2812E948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4179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198B737" wp14:editId="2AB975C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70BAE3A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627B6CC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403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7E70624" wp14:editId="64E3602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</w:t>
    </w:r>
    <w:r w:rsidR="00C960CD">
      <w:rPr>
        <w:rFonts w:ascii="Arial" w:hAnsi="Arial" w:cs="Arial"/>
        <w:b/>
        <w:sz w:val="28"/>
        <w:szCs w:val="28"/>
      </w:rPr>
      <w:t xml:space="preserve"> SPECIFICATION</w:t>
    </w:r>
  </w:p>
  <w:p w14:paraId="1DD4440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C4B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EE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F28A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b w:val="0"/>
        <w:bCs/>
        <w:i w:val="0"/>
        <w:iCs/>
      </w:rPr>
    </w:lvl>
  </w:abstractNum>
  <w:abstractNum w:abstractNumId="3" w15:restartNumberingAfterBreak="0">
    <w:nsid w:val="FFFFFF7F"/>
    <w:multiLevelType w:val="singleLevel"/>
    <w:tmpl w:val="EE328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E6D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C2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0C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929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E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45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730FE8"/>
    <w:multiLevelType w:val="hybridMultilevel"/>
    <w:tmpl w:val="0C986340"/>
    <w:lvl w:ilvl="0" w:tplc="11BA5FFE">
      <w:start w:val="1"/>
      <w:numFmt w:val="decimal"/>
      <w:pStyle w:val="header2"/>
      <w:lvlText w:val="%1."/>
      <w:lvlJc w:val="left"/>
      <w:pPr>
        <w:ind w:left="1637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8C628D"/>
    <w:multiLevelType w:val="hybridMultilevel"/>
    <w:tmpl w:val="228EF518"/>
    <w:lvl w:ilvl="0" w:tplc="5A20F55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963974">
    <w:abstractNumId w:val="11"/>
  </w:num>
  <w:num w:numId="2" w16cid:durableId="44449827">
    <w:abstractNumId w:val="9"/>
  </w:num>
  <w:num w:numId="3" w16cid:durableId="1839222762">
    <w:abstractNumId w:val="12"/>
  </w:num>
  <w:num w:numId="4" w16cid:durableId="1747071300">
    <w:abstractNumId w:val="10"/>
  </w:num>
  <w:num w:numId="5" w16cid:durableId="1552882312">
    <w:abstractNumId w:val="17"/>
  </w:num>
  <w:num w:numId="6" w16cid:durableId="1446729184">
    <w:abstractNumId w:val="15"/>
  </w:num>
  <w:num w:numId="7" w16cid:durableId="165898741">
    <w:abstractNumId w:val="18"/>
  </w:num>
  <w:num w:numId="8" w16cid:durableId="924147333">
    <w:abstractNumId w:val="16"/>
  </w:num>
  <w:num w:numId="9" w16cid:durableId="337199848">
    <w:abstractNumId w:val="13"/>
  </w:num>
  <w:num w:numId="10" w16cid:durableId="1775320628">
    <w:abstractNumId w:val="14"/>
  </w:num>
  <w:num w:numId="11" w16cid:durableId="1568569297">
    <w:abstractNumId w:val="7"/>
  </w:num>
  <w:num w:numId="12" w16cid:durableId="939070556">
    <w:abstractNumId w:val="6"/>
  </w:num>
  <w:num w:numId="13" w16cid:durableId="111366265">
    <w:abstractNumId w:val="5"/>
  </w:num>
  <w:num w:numId="14" w16cid:durableId="1153907735">
    <w:abstractNumId w:val="4"/>
  </w:num>
  <w:num w:numId="15" w16cid:durableId="1798135671">
    <w:abstractNumId w:val="8"/>
  </w:num>
  <w:num w:numId="16" w16cid:durableId="1441951057">
    <w:abstractNumId w:val="3"/>
  </w:num>
  <w:num w:numId="17" w16cid:durableId="1616596290">
    <w:abstractNumId w:val="2"/>
  </w:num>
  <w:num w:numId="18" w16cid:durableId="339703005">
    <w:abstractNumId w:val="1"/>
  </w:num>
  <w:num w:numId="19" w16cid:durableId="181434556">
    <w:abstractNumId w:val="0"/>
  </w:num>
  <w:num w:numId="20" w16cid:durableId="574821361">
    <w:abstractNumId w:val="11"/>
  </w:num>
  <w:num w:numId="21" w16cid:durableId="800534447">
    <w:abstractNumId w:val="11"/>
  </w:num>
  <w:num w:numId="22" w16cid:durableId="350759543">
    <w:abstractNumId w:val="9"/>
  </w:num>
  <w:num w:numId="23" w16cid:durableId="491414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D65DC"/>
    <w:rsid w:val="000E20C1"/>
    <w:rsid w:val="000E3B73"/>
    <w:rsid w:val="000F0D2C"/>
    <w:rsid w:val="000F521F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D7DE1"/>
    <w:rsid w:val="001E1F45"/>
    <w:rsid w:val="001E62C1"/>
    <w:rsid w:val="001F0779"/>
    <w:rsid w:val="001F3C3E"/>
    <w:rsid w:val="00201C5F"/>
    <w:rsid w:val="0020243A"/>
    <w:rsid w:val="00204081"/>
    <w:rsid w:val="0021578E"/>
    <w:rsid w:val="00223E4A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1D6E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1BCA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3FA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0B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1B04"/>
    <w:rsid w:val="00977632"/>
    <w:rsid w:val="00982A8E"/>
    <w:rsid w:val="00987DB4"/>
    <w:rsid w:val="0099029D"/>
    <w:rsid w:val="00995B4A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3C83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1F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960CD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CF324C"/>
    <w:rsid w:val="00D02E99"/>
    <w:rsid w:val="00D13357"/>
    <w:rsid w:val="00D13A13"/>
    <w:rsid w:val="00D2689A"/>
    <w:rsid w:val="00D65506"/>
    <w:rsid w:val="00D773CF"/>
    <w:rsid w:val="00D8019C"/>
    <w:rsid w:val="00D83563"/>
    <w:rsid w:val="00D8448F"/>
    <w:rsid w:val="00DA64B6"/>
    <w:rsid w:val="00DB5C9D"/>
    <w:rsid w:val="00DB7444"/>
    <w:rsid w:val="00DC2B37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34E4"/>
    <w:rsid w:val="00EB1C2D"/>
    <w:rsid w:val="00EC1810"/>
    <w:rsid w:val="00EC3FCC"/>
    <w:rsid w:val="00ED32FF"/>
    <w:rsid w:val="00EF039B"/>
    <w:rsid w:val="00EF2074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3613EFA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F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01FD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header2"/>
    <w:next w:val="BodyText"/>
    <w:link w:val="Heading2Char"/>
    <w:uiPriority w:val="9"/>
    <w:unhideWhenUsed/>
    <w:qFormat/>
    <w:rsid w:val="00B801FD"/>
    <w:p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ListBullet"/>
    <w:link w:val="Heading4Char"/>
    <w:uiPriority w:val="9"/>
    <w:unhideWhenUsed/>
    <w:qFormat/>
    <w:rsid w:val="00B801FD"/>
    <w:pPr>
      <w:keepNext/>
      <w:keepLines/>
      <w:spacing w:before="120" w:after="120" w:line="240" w:lineRule="auto"/>
      <w:ind w:left="567"/>
      <w:outlineLvl w:val="3"/>
    </w:pPr>
    <w:rPr>
      <w:rFonts w:ascii="Arial" w:eastAsiaTheme="majorEastAsia" w:hAnsi="Arial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1FD"/>
    <w:rPr>
      <w:color w:val="0000FF"/>
      <w:u w:val="single"/>
    </w:rPr>
  </w:style>
  <w:style w:type="paragraph" w:customStyle="1" w:styleId="Default">
    <w:name w:val="Default"/>
    <w:rsid w:val="00B801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F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01FD"/>
    <w:pPr>
      <w:tabs>
        <w:tab w:val="center" w:pos="4513"/>
        <w:tab w:val="right" w:pos="9026"/>
      </w:tabs>
      <w:spacing w:before="120" w:after="12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801FD"/>
    <w:rPr>
      <w:rFonts w:ascii="Arial" w:eastAsiaTheme="minorEastAsia" w:hAnsi="Arial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B801FD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B801FD"/>
    <w:pPr>
      <w:numPr>
        <w:numId w:val="22"/>
      </w:numPr>
      <w:spacing w:before="120" w:after="120" w:line="240" w:lineRule="auto"/>
      <w:ind w:left="1066" w:hanging="357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801F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801FD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801FD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B8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801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801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F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01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F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F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8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B801FD"/>
  </w:style>
  <w:style w:type="paragraph" w:styleId="PlainText">
    <w:name w:val="Plain Text"/>
    <w:basedOn w:val="Normal"/>
    <w:link w:val="PlainTextChar"/>
    <w:uiPriority w:val="99"/>
    <w:unhideWhenUsed/>
    <w:rsid w:val="00B801F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01FD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81D6E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801FD"/>
    <w:rPr>
      <w:rFonts w:ascii="Arial" w:eastAsiaTheme="minorEastAsia" w:hAnsi="Arial" w:cs="Arial"/>
      <w:b/>
      <w:sz w:val="24"/>
      <w:szCs w:val="24"/>
      <w:lang w:eastAsia="en-GB"/>
    </w:rPr>
  </w:style>
  <w:style w:type="paragraph" w:customStyle="1" w:styleId="Tableanswer">
    <w:name w:val="Table answer"/>
    <w:basedOn w:val="Normal"/>
    <w:qFormat/>
    <w:rsid w:val="00B801FD"/>
    <w:pPr>
      <w:spacing w:before="40" w:after="40" w:line="240" w:lineRule="auto"/>
    </w:pPr>
    <w:rPr>
      <w:rFonts w:ascii="Arial" w:eastAsiaTheme="minorHAnsi" w:hAnsi="Arial" w:cs="Arial"/>
      <w:bCs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01FD"/>
    <w:pPr>
      <w:spacing w:after="120" w:line="240" w:lineRule="auto"/>
      <w:ind w:left="567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01FD"/>
    <w:rPr>
      <w:rFonts w:ascii="Arial" w:eastAsiaTheme="minorEastAsia" w:hAnsi="Arial"/>
      <w:sz w:val="24"/>
      <w:lang w:eastAsia="en-GB"/>
    </w:rPr>
  </w:style>
  <w:style w:type="paragraph" w:customStyle="1" w:styleId="header2">
    <w:name w:val="header 2"/>
    <w:basedOn w:val="Normal"/>
    <w:next w:val="BodyText"/>
    <w:link w:val="header2Char"/>
    <w:qFormat/>
    <w:rsid w:val="00B801FD"/>
    <w:pPr>
      <w:numPr>
        <w:numId w:val="21"/>
      </w:numPr>
      <w:spacing w:before="60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B801FD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80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801FD"/>
    <w:rPr>
      <w:rFonts w:ascii="Arial" w:eastAsiaTheme="majorEastAsia" w:hAnsi="Arial" w:cstheme="majorBidi"/>
      <w:b/>
      <w:i/>
      <w:iCs/>
      <w:lang w:eastAsia="en-GB"/>
    </w:rPr>
  </w:style>
  <w:style w:type="table" w:styleId="LightList">
    <w:name w:val="Light List"/>
    <w:basedOn w:val="TableNormal"/>
    <w:uiPriority w:val="61"/>
    <w:rsid w:val="00B8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Number2">
    <w:name w:val="List Number 2"/>
    <w:basedOn w:val="BodyText"/>
    <w:uiPriority w:val="99"/>
    <w:unhideWhenUsed/>
    <w:rsid w:val="00B801FD"/>
    <w:pPr>
      <w:ind w:left="1021" w:hanging="454"/>
    </w:pPr>
  </w:style>
  <w:style w:type="paragraph" w:styleId="ListNumber3">
    <w:name w:val="List Number 3"/>
    <w:basedOn w:val="Normal"/>
    <w:uiPriority w:val="99"/>
    <w:unhideWhenUsed/>
    <w:rsid w:val="00B801FD"/>
    <w:pPr>
      <w:numPr>
        <w:numId w:val="23"/>
      </w:numPr>
      <w:spacing w:before="120" w:after="24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B801FD"/>
    <w:rPr>
      <w:b/>
      <w:bCs/>
    </w:rPr>
  </w:style>
  <w:style w:type="paragraph" w:customStyle="1" w:styleId="Tabledivuseonly">
    <w:name w:val="Table div use only"/>
    <w:basedOn w:val="Normal"/>
    <w:qFormat/>
    <w:rsid w:val="00B801FD"/>
    <w:pPr>
      <w:spacing w:after="120" w:line="240" w:lineRule="auto"/>
    </w:pPr>
    <w:rPr>
      <w:rFonts w:ascii="Arial" w:hAnsi="Arial" w:cs="Arial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B8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utcomecrosses">
    <w:name w:val="Table outcome crosses"/>
    <w:basedOn w:val="Normal"/>
    <w:qFormat/>
    <w:rsid w:val="00B801FD"/>
    <w:pPr>
      <w:spacing w:before="60" w:after="6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outcomesideheadings">
    <w:name w:val="Table outcome side headings"/>
    <w:basedOn w:val="Normal"/>
    <w:qFormat/>
    <w:rsid w:val="00B801FD"/>
    <w:pPr>
      <w:spacing w:before="60" w:after="60" w:line="240" w:lineRule="auto"/>
      <w:ind w:left="34"/>
    </w:pPr>
    <w:rPr>
      <w:rFonts w:ascii="Arial" w:hAnsi="Arial" w:cs="Arial"/>
      <w:b/>
      <w:sz w:val="20"/>
      <w:szCs w:val="20"/>
    </w:rPr>
  </w:style>
  <w:style w:type="paragraph" w:customStyle="1" w:styleId="Tableoutcomeshead">
    <w:name w:val="Table outcomes head"/>
    <w:basedOn w:val="Normal"/>
    <w:qFormat/>
    <w:rsid w:val="00B801FD"/>
    <w:pPr>
      <w:spacing w:after="120" w:line="240" w:lineRule="auto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t.rl.talis.com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03D70-6A16-4364-8CC2-F877DA107456}"/>
</file>

<file path=customXml/itemProps2.xml><?xml version="1.0" encoding="utf-8"?>
<ds:datastoreItem xmlns:ds="http://schemas.openxmlformats.org/officeDocument/2006/customXml" ds:itemID="{600A565C-559B-448D-961C-EEA187ECB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C2845-7F7A-464D-9524-A9CFD71E3E56}">
  <ds:schemaRefs>
    <ds:schemaRef ds:uri="http://schemas.microsoft.com/office/2006/metadata/properties"/>
    <ds:schemaRef ds:uri="http://schemas.microsoft.com/office/infopath/2007/PartnerControls"/>
    <ds:schemaRef ds:uri="38c837cb-b56f-40c5-bbb0-effb01650ca7"/>
  </ds:schemaRefs>
</ds:datastoreItem>
</file>

<file path=customXml/itemProps4.xml><?xml version="1.0" encoding="utf-8"?>
<ds:datastoreItem xmlns:ds="http://schemas.openxmlformats.org/officeDocument/2006/customXml" ds:itemID="{5BB14491-7E7D-44B9-BA73-31193952B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Karen Khan</cp:lastModifiedBy>
  <cp:revision>6</cp:revision>
  <cp:lastPrinted>2015-09-09T08:37:00Z</cp:lastPrinted>
  <dcterms:created xsi:type="dcterms:W3CDTF">2022-12-06T13:26:00Z</dcterms:created>
  <dcterms:modified xsi:type="dcterms:W3CDTF">2023-01-04T09:32:00Z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