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8745C3">
      <w:pPr>
        <w:pStyle w:val="Heading2"/>
        <w:spacing w:before="0"/>
      </w:pPr>
      <w:r>
        <w:t>KentVision Code and t</w:t>
      </w:r>
      <w:r w:rsidR="009A2D37" w:rsidRPr="00072357">
        <w:t>itle of the module</w:t>
      </w:r>
    </w:p>
    <w:p w14:paraId="4AE52586" w14:textId="5533CD7C" w:rsidR="009A2D37" w:rsidRPr="00694B52" w:rsidRDefault="00D1213D" w:rsidP="008745C3">
      <w:pPr>
        <w:pStyle w:val="BodyText"/>
        <w:ind w:left="0" w:firstLine="454"/>
      </w:pPr>
      <w:r w:rsidRPr="2D7A211E">
        <w:t>POLI</w:t>
      </w:r>
      <w:r w:rsidR="008A1752">
        <w:t>6006</w:t>
      </w:r>
      <w:r w:rsidRPr="2D7A211E">
        <w:t xml:space="preserve"> </w:t>
      </w:r>
      <w:r w:rsidR="00240B83" w:rsidRPr="2D7A211E">
        <w:t>The Public in Politics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42C79B7" w:rsidR="009A2D37" w:rsidRDefault="007F5053" w:rsidP="008745C3">
      <w:pPr>
        <w:pStyle w:val="BodyText"/>
        <w:ind w:left="0" w:firstLine="454"/>
      </w:pPr>
      <w:r>
        <w:t xml:space="preserve">Division of </w:t>
      </w:r>
      <w:r w:rsidR="00240B83">
        <w:t>H</w:t>
      </w:r>
      <w:r>
        <w:t xml:space="preserve">uman and </w:t>
      </w:r>
      <w:r w:rsidR="00240B83">
        <w:t>S</w:t>
      </w:r>
      <w:r>
        <w:t xml:space="preserve">ocial </w:t>
      </w:r>
      <w:r w:rsidR="00240B83">
        <w:t>S</w:t>
      </w:r>
      <w:r>
        <w:t>ciences</w:t>
      </w:r>
      <w:r w:rsidR="00240B83">
        <w:t xml:space="preserve">; </w:t>
      </w:r>
      <w:r>
        <w:t xml:space="preserve">School of </w:t>
      </w:r>
      <w:r w:rsidR="00240B83">
        <w:t>Politics and International Relations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62FE1F84" w:rsidR="009A2D37" w:rsidRDefault="00240B83" w:rsidP="008745C3">
      <w:pPr>
        <w:pStyle w:val="BodyText"/>
        <w:ind w:left="0" w:firstLine="454"/>
      </w:pPr>
      <w:r>
        <w:t>Level 6</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A0BEC36" w:rsidR="009A2D37" w:rsidRDefault="00DC3CB1" w:rsidP="008745C3">
      <w:pPr>
        <w:pStyle w:val="BodyText"/>
        <w:ind w:left="0" w:firstLine="454"/>
      </w:pPr>
      <w:r>
        <w:t>15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5418E09A" w:rsidR="009A2D37" w:rsidRDefault="00240B83" w:rsidP="008745C3">
      <w:pPr>
        <w:pStyle w:val="BodyText"/>
        <w:ind w:left="0" w:firstLine="454"/>
      </w:pPr>
      <w:r w:rsidRPr="0296790D">
        <w:t xml:space="preserve">Autumn </w:t>
      </w:r>
      <w:r w:rsidR="7A10BF57" w:rsidRPr="0296790D">
        <w:t>or Spring</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4671A49D" w:rsidR="00687284" w:rsidRPr="00240B83" w:rsidRDefault="00240B83" w:rsidP="008745C3">
      <w:pPr>
        <w:pStyle w:val="BodyText"/>
      </w:pPr>
      <w:r>
        <w:t>None</w:t>
      </w:r>
    </w:p>
    <w:p w14:paraId="65457720" w14:textId="77777777" w:rsidR="009A2D37" w:rsidRPr="009D52D0" w:rsidRDefault="009A2D37" w:rsidP="00072357">
      <w:pPr>
        <w:pStyle w:val="Heading2"/>
      </w:pPr>
      <w:r>
        <w:t xml:space="preserve">The </w:t>
      </w:r>
      <w:r w:rsidR="007A49C1">
        <w:t>course(s)</w:t>
      </w:r>
      <w:r>
        <w:t xml:space="preserve"> of study to which the module contributes</w:t>
      </w:r>
    </w:p>
    <w:p w14:paraId="7DD168F6" w14:textId="1A2AB0AB" w:rsidR="00694B52" w:rsidRPr="008745C3" w:rsidRDefault="4325421F" w:rsidP="008745C3">
      <w:pPr>
        <w:pStyle w:val="BodyText"/>
        <w:rPr>
          <w:b/>
          <w:bCs/>
          <w:i/>
          <w:iCs/>
          <w:sz w:val="22"/>
        </w:rPr>
      </w:pPr>
      <w:r w:rsidRPr="008745C3">
        <w:rPr>
          <w:b/>
          <w:bCs/>
          <w:i/>
          <w:iCs/>
          <w:sz w:val="22"/>
        </w:rPr>
        <w:t xml:space="preserve">Optional to the following courses: </w:t>
      </w:r>
    </w:p>
    <w:p w14:paraId="2EA19DC9" w14:textId="0AC543E4" w:rsidR="00694B52" w:rsidRPr="00694B52" w:rsidRDefault="4325421F" w:rsidP="008745C3">
      <w:pPr>
        <w:pStyle w:val="ListBullet"/>
        <w:rPr>
          <w:bCs/>
        </w:rPr>
      </w:pPr>
      <w:r w:rsidRPr="162B30F9">
        <w:t>BA (Hons) Politics and International Relations</w:t>
      </w:r>
    </w:p>
    <w:p w14:paraId="70424885" w14:textId="65A5D9BA" w:rsidR="00694B52" w:rsidRPr="00694B52" w:rsidRDefault="4325421F" w:rsidP="008745C3">
      <w:pPr>
        <w:pStyle w:val="ListBullet"/>
        <w:rPr>
          <w:bCs/>
        </w:rPr>
      </w:pPr>
      <w:r w:rsidRPr="162B30F9">
        <w:t>BA (Hons) Politics and International Relations (Bidiplôme)</w:t>
      </w:r>
    </w:p>
    <w:p w14:paraId="545F5855" w14:textId="0E6A4E93" w:rsidR="00694B52" w:rsidRPr="00694B52" w:rsidRDefault="4325421F" w:rsidP="008745C3">
      <w:pPr>
        <w:pStyle w:val="ListBullet"/>
        <w:rPr>
          <w:bCs/>
        </w:rPr>
      </w:pPr>
      <w:r w:rsidRPr="162B30F9">
        <w:t>BA (Hons) Politics and International Relations with a Placement Year</w:t>
      </w:r>
    </w:p>
    <w:p w14:paraId="36FBA724" w14:textId="20534730" w:rsidR="00694B52" w:rsidRPr="00694B52" w:rsidRDefault="4325421F" w:rsidP="008745C3">
      <w:pPr>
        <w:pStyle w:val="ListBullet"/>
        <w:rPr>
          <w:bCs/>
        </w:rPr>
      </w:pPr>
      <w:r w:rsidRPr="162B30F9">
        <w:t>BA (Hons) Politics and International Relations with a Foundation Year</w:t>
      </w:r>
    </w:p>
    <w:p w14:paraId="46F85779" w14:textId="470A3508" w:rsidR="00694B52" w:rsidRPr="00694B52" w:rsidRDefault="4325421F" w:rsidP="008745C3">
      <w:pPr>
        <w:pStyle w:val="ListBullet"/>
        <w:rPr>
          <w:bCs/>
        </w:rPr>
      </w:pPr>
      <w:r w:rsidRPr="162B30F9">
        <w:t>BA (Hons) Politics and International Relations with a Year in Continental Europe or North America</w:t>
      </w:r>
    </w:p>
    <w:p w14:paraId="7D10C594" w14:textId="43D0ACE4" w:rsidR="00694B52" w:rsidRPr="00694B52" w:rsidRDefault="4325421F" w:rsidP="008745C3">
      <w:pPr>
        <w:pStyle w:val="ListBullet"/>
        <w:rPr>
          <w:bCs/>
        </w:rPr>
      </w:pPr>
      <w:r w:rsidRPr="162B30F9">
        <w:t>BA (Hons) Politics and International Relations with a Language</w:t>
      </w:r>
    </w:p>
    <w:p w14:paraId="2A84D35D" w14:textId="41A6B86A" w:rsidR="00694B52" w:rsidRPr="00694B52" w:rsidRDefault="4325421F" w:rsidP="008745C3">
      <w:pPr>
        <w:pStyle w:val="ListBullet"/>
        <w:rPr>
          <w:bCs/>
        </w:rPr>
      </w:pPr>
      <w:r w:rsidRPr="162B30F9">
        <w:t>BA (Hons) Politics and International Relations with a Year in Asia-Pacific</w:t>
      </w:r>
    </w:p>
    <w:p w14:paraId="63C2A5B3" w14:textId="7730C4FE" w:rsidR="00694B52" w:rsidRPr="00694B52" w:rsidRDefault="4325421F" w:rsidP="008745C3">
      <w:pPr>
        <w:pStyle w:val="ListBullet"/>
        <w:rPr>
          <w:bCs/>
        </w:rPr>
      </w:pPr>
      <w:r w:rsidRPr="162B30F9">
        <w:t>BA (Hons) Politics and International Relations with Quantitative Research</w:t>
      </w:r>
    </w:p>
    <w:p w14:paraId="6310EFA4" w14:textId="3DE67E3D" w:rsidR="00694B52" w:rsidRPr="00694B52" w:rsidRDefault="4325421F" w:rsidP="008745C3">
      <w:pPr>
        <w:pStyle w:val="ListBullet"/>
        <w:rPr>
          <w:bCs/>
        </w:rPr>
      </w:pPr>
      <w:r w:rsidRPr="162B30F9">
        <w:t>BA (Hons) Economics and Politics</w:t>
      </w:r>
    </w:p>
    <w:p w14:paraId="3C542853" w14:textId="63A7B3C6" w:rsidR="00694B52" w:rsidRPr="00694B52" w:rsidRDefault="4325421F" w:rsidP="008745C3">
      <w:pPr>
        <w:pStyle w:val="ListBullet"/>
        <w:rPr>
          <w:bCs/>
        </w:rPr>
      </w:pPr>
      <w:r w:rsidRPr="162B30F9">
        <w:t>BA (Hons) History and Politics</w:t>
      </w:r>
    </w:p>
    <w:p w14:paraId="3C17833C" w14:textId="190A21DE" w:rsidR="00694B52" w:rsidRPr="00694B52" w:rsidRDefault="4325421F" w:rsidP="008745C3">
      <w:pPr>
        <w:pStyle w:val="ListBullet"/>
        <w:rPr>
          <w:bCs/>
        </w:rPr>
      </w:pPr>
      <w:r w:rsidRPr="162B30F9">
        <w:t>BA (Hons) Philosophy and Politics</w:t>
      </w:r>
    </w:p>
    <w:p w14:paraId="1A024E0E" w14:textId="2B58247F" w:rsidR="00694B52" w:rsidRPr="00694B52" w:rsidRDefault="4325421F" w:rsidP="008745C3">
      <w:pPr>
        <w:pStyle w:val="ListBullet"/>
        <w:rPr>
          <w:bCs/>
        </w:rPr>
      </w:pPr>
      <w:r w:rsidRPr="162B30F9">
        <w:t>BA (Hons) Sociology and Politics</w:t>
      </w:r>
    </w:p>
    <w:p w14:paraId="49C74A6F" w14:textId="5D1DAA41" w:rsidR="00694B52" w:rsidRPr="00694B52" w:rsidRDefault="4325421F" w:rsidP="008745C3">
      <w:pPr>
        <w:pStyle w:val="ListBullet"/>
        <w:rPr>
          <w:bCs/>
        </w:rPr>
      </w:pPr>
      <w:r w:rsidRPr="162B30F9">
        <w:lastRenderedPageBreak/>
        <w:t>LLB (Hons) Law and Politics</w:t>
      </w:r>
    </w:p>
    <w:p w14:paraId="19C411D6" w14:textId="4B34EDBB" w:rsidR="00694B52" w:rsidRPr="00694B52" w:rsidRDefault="4325421F" w:rsidP="008745C3">
      <w:pPr>
        <w:pStyle w:val="BodyText"/>
        <w:spacing w:before="360"/>
        <w:rPr>
          <w:bCs/>
        </w:rPr>
      </w:pPr>
      <w:r w:rsidRPr="162B30F9">
        <w:t>Also available as an elective module</w:t>
      </w:r>
      <w:r w:rsidR="007F5053">
        <w:t xml:space="preserve"> and to short-term credit students</w:t>
      </w:r>
    </w:p>
    <w:p w14:paraId="457A7699" w14:textId="68C83EF3" w:rsidR="00240B83" w:rsidRDefault="009A2D37" w:rsidP="008745C3">
      <w:pPr>
        <w:pStyle w:val="Heading2"/>
        <w:spacing w:after="0"/>
        <w:rPr>
          <w:b w:val="0"/>
        </w:rPr>
      </w:pPr>
      <w:r>
        <w:t>The intended subject specific learning outcomes</w:t>
      </w:r>
      <w:r w:rsidR="00C729D7">
        <w:t>.</w:t>
      </w:r>
    </w:p>
    <w:p w14:paraId="3839F6AB" w14:textId="062498B0" w:rsidR="009A2D37" w:rsidRPr="008745C3" w:rsidRDefault="00C729D7" w:rsidP="008745C3">
      <w:pPr>
        <w:pStyle w:val="Heading2"/>
        <w:numPr>
          <w:ilvl w:val="0"/>
          <w:numId w:val="0"/>
        </w:numPr>
        <w:spacing w:before="0" w:after="240"/>
        <w:ind w:left="454"/>
        <w:rPr>
          <w:bCs/>
        </w:rPr>
      </w:pPr>
      <w:r w:rsidRPr="008745C3">
        <w:rPr>
          <w:bCs/>
        </w:rPr>
        <w:t>On successfully completing the module students will be able to:</w:t>
      </w:r>
    </w:p>
    <w:p w14:paraId="5AA6676F" w14:textId="342C9FFE" w:rsidR="00240B83" w:rsidRPr="00240B83" w:rsidRDefault="00240B83" w:rsidP="008745C3">
      <w:pPr>
        <w:pStyle w:val="ListNumber2"/>
        <w:numPr>
          <w:ilvl w:val="0"/>
          <w:numId w:val="0"/>
        </w:numPr>
        <w:ind w:left="1134" w:hanging="567"/>
      </w:pPr>
      <w:r>
        <w:t>8.1</w:t>
      </w:r>
      <w:r w:rsidR="008745C3">
        <w:tab/>
      </w:r>
      <w:r>
        <w:t xml:space="preserve">Demonstrate </w:t>
      </w:r>
      <w:r w:rsidRPr="00240B83">
        <w:t>a detailed understanding of the requirements on citizens for the effective operation of modern democratic systems.</w:t>
      </w:r>
    </w:p>
    <w:p w14:paraId="3CDAF4E0" w14:textId="1059D585" w:rsidR="00240B83" w:rsidRPr="00240B83" w:rsidRDefault="00240B83" w:rsidP="008745C3">
      <w:pPr>
        <w:pStyle w:val="ListNumber2"/>
        <w:numPr>
          <w:ilvl w:val="0"/>
          <w:numId w:val="0"/>
        </w:numPr>
        <w:ind w:left="1134" w:hanging="567"/>
      </w:pPr>
      <w:r>
        <w:t>8.2</w:t>
      </w:r>
      <w:r w:rsidR="008745C3">
        <w:tab/>
      </w:r>
      <w:r>
        <w:t xml:space="preserve">Demonstrate </w:t>
      </w:r>
      <w:r w:rsidRPr="00240B83">
        <w:t>a detailed understanding of the ways in which individuals process information and the implications of these for the effective role of citizens within the political system.</w:t>
      </w:r>
    </w:p>
    <w:p w14:paraId="36F11044" w14:textId="606A664A" w:rsidR="00240B83" w:rsidRPr="00240B83" w:rsidRDefault="00240B83" w:rsidP="008745C3">
      <w:pPr>
        <w:pStyle w:val="ListNumber2"/>
        <w:numPr>
          <w:ilvl w:val="0"/>
          <w:numId w:val="0"/>
        </w:numPr>
        <w:ind w:left="1134" w:hanging="567"/>
      </w:pPr>
      <w:r>
        <w:t>8.3</w:t>
      </w:r>
      <w:r w:rsidR="008745C3">
        <w:tab/>
      </w:r>
      <w:r>
        <w:t xml:space="preserve">Show </w:t>
      </w:r>
      <w:r w:rsidRPr="00240B83">
        <w:t>an ability to identify conditions in which individual information processing might be subject to shortcomings, and in which improvements in this processing might be induced.</w:t>
      </w:r>
    </w:p>
    <w:p w14:paraId="5909C0D7" w14:textId="5D49DA3F" w:rsidR="00240B83" w:rsidRPr="00240B83" w:rsidRDefault="00240B83" w:rsidP="008745C3">
      <w:pPr>
        <w:pStyle w:val="ListNumber2"/>
        <w:numPr>
          <w:ilvl w:val="0"/>
          <w:numId w:val="0"/>
        </w:numPr>
        <w:ind w:left="1134" w:hanging="567"/>
      </w:pPr>
      <w:r>
        <w:t>8.4</w:t>
      </w:r>
      <w:r w:rsidR="008745C3">
        <w:tab/>
      </w:r>
      <w:r>
        <w:t xml:space="preserve">Demonstrate </w:t>
      </w:r>
      <w:r w:rsidRPr="00240B83">
        <w:t>a critical understanding of the different ways in which individual and collective attitudes within a society are measured.</w:t>
      </w:r>
    </w:p>
    <w:p w14:paraId="256A8AC3" w14:textId="2D457092" w:rsidR="008D4447" w:rsidRPr="00240B83" w:rsidRDefault="00240B83" w:rsidP="008745C3">
      <w:pPr>
        <w:pStyle w:val="ListNumber2"/>
        <w:numPr>
          <w:ilvl w:val="0"/>
          <w:numId w:val="0"/>
        </w:numPr>
        <w:ind w:left="1134" w:hanging="567"/>
      </w:pPr>
      <w:r>
        <w:t>8.5</w:t>
      </w:r>
      <w:r w:rsidR="008745C3">
        <w:tab/>
      </w:r>
      <w:r>
        <w:t>D</w:t>
      </w:r>
      <w:r w:rsidRPr="00240B83">
        <w:t xml:space="preserve">esign a methodologically rigorous approach to the measurement of </w:t>
      </w:r>
      <w:r w:rsidR="00F17FD6">
        <w:t xml:space="preserve">public opinion on </w:t>
      </w:r>
      <w:r w:rsidRPr="00240B83">
        <w:t>policy or social issues.</w:t>
      </w:r>
    </w:p>
    <w:p w14:paraId="56D6BA83" w14:textId="0F27C297" w:rsidR="00240B83" w:rsidRDefault="009A2D37" w:rsidP="00EF302F">
      <w:pPr>
        <w:pStyle w:val="Heading2"/>
        <w:spacing w:after="0"/>
        <w:rPr>
          <w:b w:val="0"/>
        </w:rPr>
      </w:pPr>
      <w:r>
        <w:t>The intended generic learning outcomes</w:t>
      </w:r>
      <w:r w:rsidR="00C729D7">
        <w:t>.</w:t>
      </w:r>
    </w:p>
    <w:p w14:paraId="035A14B0" w14:textId="06BE16B9" w:rsidR="00C729D7" w:rsidRPr="00EF302F" w:rsidRDefault="00C729D7" w:rsidP="00EF302F">
      <w:pPr>
        <w:pStyle w:val="Heading2"/>
        <w:numPr>
          <w:ilvl w:val="0"/>
          <w:numId w:val="0"/>
        </w:numPr>
        <w:spacing w:before="0" w:after="240"/>
        <w:ind w:left="567"/>
        <w:rPr>
          <w:bCs/>
        </w:rPr>
      </w:pPr>
      <w:r w:rsidRPr="00EF302F">
        <w:rPr>
          <w:bCs/>
        </w:rPr>
        <w:t>On successfully completing the module students will be able to:</w:t>
      </w:r>
    </w:p>
    <w:p w14:paraId="116E3D20" w14:textId="037C3C81" w:rsidR="00240B83" w:rsidRPr="00240B83" w:rsidRDefault="00240B83" w:rsidP="00EF302F">
      <w:pPr>
        <w:pStyle w:val="ListNumber2"/>
        <w:numPr>
          <w:ilvl w:val="0"/>
          <w:numId w:val="0"/>
        </w:numPr>
        <w:ind w:left="1134" w:hanging="567"/>
      </w:pPr>
      <w:r>
        <w:t xml:space="preserve">9.1 </w:t>
      </w:r>
      <w:r w:rsidR="00EF302F">
        <w:tab/>
      </w:r>
      <w:r w:rsidRPr="00240B83">
        <w:t>Gather, organize and deploy evidence, data an</w:t>
      </w:r>
      <w:r>
        <w:t xml:space="preserve">d information from a variety of </w:t>
      </w:r>
      <w:r w:rsidRPr="00240B83">
        <w:t xml:space="preserve">secondary and some primary sources </w:t>
      </w:r>
    </w:p>
    <w:p w14:paraId="4D2BA4E1" w14:textId="6F3CC55A" w:rsidR="00240B83" w:rsidRPr="00240B83" w:rsidRDefault="00240B83" w:rsidP="00EF302F">
      <w:pPr>
        <w:pStyle w:val="ListNumber2"/>
        <w:numPr>
          <w:ilvl w:val="0"/>
          <w:numId w:val="0"/>
        </w:numPr>
        <w:ind w:left="1134" w:hanging="567"/>
      </w:pPr>
      <w:r w:rsidRPr="00240B83">
        <w:t>9.2</w:t>
      </w:r>
      <w:r>
        <w:t xml:space="preserve"> </w:t>
      </w:r>
      <w:r w:rsidR="00EF302F">
        <w:tab/>
      </w:r>
      <w:r w:rsidRPr="00240B83">
        <w:t>Identify, investigate, analyse, formulate and advocate solutions to problems</w:t>
      </w:r>
    </w:p>
    <w:p w14:paraId="1E6124AE" w14:textId="11949FEC" w:rsidR="00240B83" w:rsidRPr="00240B83" w:rsidRDefault="00240B83" w:rsidP="00EF302F">
      <w:pPr>
        <w:pStyle w:val="ListNumber2"/>
        <w:numPr>
          <w:ilvl w:val="0"/>
          <w:numId w:val="0"/>
        </w:numPr>
        <w:ind w:left="1134" w:hanging="567"/>
      </w:pPr>
      <w:r>
        <w:t xml:space="preserve">9.3 </w:t>
      </w:r>
      <w:r w:rsidR="00EF302F">
        <w:tab/>
      </w:r>
      <w:r w:rsidRPr="00240B83">
        <w:t>Develop reasoned arguments, synthesise relevant in</w:t>
      </w:r>
      <w:r>
        <w:t xml:space="preserve">formation and exercise critical </w:t>
      </w:r>
      <w:r w:rsidRPr="00240B83">
        <w:t>judgement</w:t>
      </w:r>
    </w:p>
    <w:p w14:paraId="0FC8F1FE" w14:textId="47EDF8BA" w:rsidR="00240B83" w:rsidRPr="00240B83" w:rsidRDefault="00240B83" w:rsidP="00EF302F">
      <w:pPr>
        <w:pStyle w:val="ListNumber2"/>
        <w:numPr>
          <w:ilvl w:val="0"/>
          <w:numId w:val="0"/>
        </w:numPr>
        <w:ind w:left="1134" w:hanging="567"/>
      </w:pPr>
      <w:r w:rsidRPr="00240B83">
        <w:t>9.4</w:t>
      </w:r>
      <w:r>
        <w:t xml:space="preserve"> </w:t>
      </w:r>
      <w:r w:rsidR="00EF302F">
        <w:tab/>
      </w:r>
      <w:r w:rsidRPr="00240B83">
        <w:t>Reflect on, and manage, their own learning and seek to make use of constructive feedback from peers and staff to enhance their performance and personal skills</w:t>
      </w:r>
    </w:p>
    <w:p w14:paraId="31D8601B" w14:textId="16800C75" w:rsidR="00273CF0" w:rsidRDefault="00240B83" w:rsidP="00EF302F">
      <w:pPr>
        <w:pStyle w:val="ListNumber2"/>
        <w:numPr>
          <w:ilvl w:val="0"/>
          <w:numId w:val="0"/>
        </w:numPr>
        <w:ind w:left="1134" w:hanging="567"/>
      </w:pPr>
      <w:r w:rsidRPr="00240B83">
        <w:t>9.5</w:t>
      </w:r>
      <w:r w:rsidR="00EF302F">
        <w:tab/>
      </w:r>
      <w:r w:rsidR="00756BB1">
        <w:t>C</w:t>
      </w:r>
      <w:r w:rsidRPr="00240B83">
        <w:t>ommunicate effectively and fluently organise information clearly and coherently; use communication and information technology for the retrieval and presentation of information, including, where appropriate, statistical or numerical information</w:t>
      </w:r>
    </w:p>
    <w:p w14:paraId="73386C6A" w14:textId="77777777" w:rsidR="009A2D37" w:rsidRPr="009D52D0" w:rsidRDefault="009A2D37" w:rsidP="00072357">
      <w:pPr>
        <w:pStyle w:val="Heading2"/>
      </w:pPr>
      <w:r>
        <w:t>A synopsis of the curriculum</w:t>
      </w:r>
    </w:p>
    <w:p w14:paraId="56A41831" w14:textId="31F3C692" w:rsidR="009A2D37" w:rsidRDefault="003A42D1" w:rsidP="008745C3">
      <w:pPr>
        <w:pStyle w:val="BodyText"/>
      </w:pPr>
      <w:r w:rsidRPr="0296790D">
        <w:t xml:space="preserve">In democratic systems, </w:t>
      </w:r>
      <w:r w:rsidR="00083947" w:rsidRPr="0296790D">
        <w:t xml:space="preserve">citizens are </w:t>
      </w:r>
      <w:r w:rsidRPr="0296790D">
        <w:t xml:space="preserve">the ultimate source of political authority. Yet </w:t>
      </w:r>
      <w:r w:rsidR="00083947" w:rsidRPr="0296790D">
        <w:t xml:space="preserve">citizens’ </w:t>
      </w:r>
      <w:r w:rsidRPr="0296790D">
        <w:t xml:space="preserve">place in modern democracies raises two key questions. First, how equipped are citizens to play </w:t>
      </w:r>
      <w:r w:rsidR="00083947" w:rsidRPr="0296790D">
        <w:t xml:space="preserve">their </w:t>
      </w:r>
      <w:r w:rsidRPr="0296790D">
        <w:t xml:space="preserve">key </w:t>
      </w:r>
      <w:r w:rsidR="00083947" w:rsidRPr="0296790D">
        <w:t xml:space="preserve">democratic </w:t>
      </w:r>
      <w:r w:rsidRPr="0296790D">
        <w:t>role? Second, how do we know what citizens want from politics and politicians</w:t>
      </w:r>
      <w:r w:rsidR="00083947" w:rsidRPr="0296790D">
        <w:t xml:space="preserve">? </w:t>
      </w:r>
      <w:r w:rsidRPr="0296790D">
        <w:t xml:space="preserve">This course explores these two issues. It examines the </w:t>
      </w:r>
      <w:r w:rsidR="00083947" w:rsidRPr="0296790D">
        <w:t xml:space="preserve">nature and </w:t>
      </w:r>
      <w:r w:rsidRPr="0296790D">
        <w:t xml:space="preserve">role of public opinion, focusing </w:t>
      </w:r>
      <w:r w:rsidR="00083947" w:rsidRPr="0296790D">
        <w:t xml:space="preserve">on how </w:t>
      </w:r>
      <w:r w:rsidRPr="0296790D">
        <w:t xml:space="preserve">biases in individual information processing, and the provision of misinformation and disinformation, can impede individuals’ citizenship role. </w:t>
      </w:r>
      <w:r w:rsidR="00083947" w:rsidRPr="0296790D">
        <w:t>In</w:t>
      </w:r>
      <w:r w:rsidRPr="0296790D">
        <w:t xml:space="preserve"> today’s world of social media and fake news, </w:t>
      </w:r>
      <w:r w:rsidR="00083947" w:rsidRPr="0296790D">
        <w:t xml:space="preserve">can </w:t>
      </w:r>
      <w:r w:rsidRPr="0296790D">
        <w:t xml:space="preserve">individuals form views and judgements in a way that contributes to the effective functioning of the </w:t>
      </w:r>
      <w:r w:rsidRPr="0296790D">
        <w:lastRenderedPageBreak/>
        <w:t xml:space="preserve">democratic system? </w:t>
      </w:r>
      <w:r w:rsidR="00083947" w:rsidRPr="0296790D">
        <w:t xml:space="preserve">The course </w:t>
      </w:r>
      <w:r w:rsidRPr="0296790D">
        <w:t xml:space="preserve">also examines the principal ways in which citizens’ views and judgements are </w:t>
      </w:r>
      <w:r w:rsidR="00083947" w:rsidRPr="0296790D">
        <w:t>identified</w:t>
      </w:r>
      <w:r w:rsidRPr="0296790D">
        <w:t xml:space="preserve">. How are individual attitudes </w:t>
      </w:r>
      <w:r w:rsidR="00083947" w:rsidRPr="0296790D">
        <w:t>appraised</w:t>
      </w:r>
      <w:r w:rsidRPr="0296790D">
        <w:t xml:space="preserve">, and what approaches and practices are </w:t>
      </w:r>
      <w:r w:rsidR="00083947" w:rsidRPr="0296790D">
        <w:t xml:space="preserve">best </w:t>
      </w:r>
      <w:r w:rsidRPr="0296790D">
        <w:t xml:space="preserve">suited </w:t>
      </w:r>
      <w:r w:rsidR="00083947" w:rsidRPr="0296790D">
        <w:t xml:space="preserve">for measuring </w:t>
      </w:r>
      <w:r w:rsidRPr="0296790D">
        <w:t>what the public wants</w:t>
      </w:r>
      <w:r w:rsidR="00083947" w:rsidRPr="0296790D">
        <w:t xml:space="preserve"> of politics</w:t>
      </w:r>
      <w:r w:rsidRPr="0296790D">
        <w:t>?</w:t>
      </w:r>
      <w:r w:rsidR="00083947" w:rsidRPr="0296790D">
        <w:t xml:space="preserve"> </w:t>
      </w:r>
      <w:r w:rsidRPr="0296790D">
        <w:t>Overall, t</w:t>
      </w:r>
      <w:r w:rsidR="46C90A5E" w:rsidRPr="0296790D">
        <w:t>his module</w:t>
      </w:r>
      <w:r w:rsidRPr="0296790D">
        <w:t xml:space="preserve"> enables students to explore how public attitudes are measured and some of the principal challenges to the role of citizens in modern democratic systems</w:t>
      </w:r>
      <w:r w:rsidR="00BF32CF" w:rsidRPr="0296790D">
        <w:t>. The module enhance</w:t>
      </w:r>
      <w:r w:rsidR="00F17FD6" w:rsidRPr="0296790D">
        <w:t>s</w:t>
      </w:r>
      <w:r w:rsidR="00BF32CF" w:rsidRPr="0296790D">
        <w:t xml:space="preserve"> students’ </w:t>
      </w:r>
      <w:r w:rsidR="00F17FD6" w:rsidRPr="0296790D">
        <w:t>conceptual and empirical capacities, and develops</w:t>
      </w:r>
      <w:r w:rsidR="00BF32CF" w:rsidRPr="0296790D">
        <w:t xml:space="preserve"> their skills and abilities for a range of careers, particularly those invol</w:t>
      </w:r>
      <w:r w:rsidR="00F17FD6" w:rsidRPr="0296790D">
        <w:t>ving the measurement of citizen</w:t>
      </w:r>
      <w:r w:rsidR="00503F03">
        <w:t>, public</w:t>
      </w:r>
      <w:r w:rsidR="00F17FD6" w:rsidRPr="0296790D">
        <w:t xml:space="preserve"> or </w:t>
      </w:r>
      <w:r w:rsidR="00BF32CF" w:rsidRPr="0296790D">
        <w:t>consumer opinion.</w:t>
      </w:r>
    </w:p>
    <w:p w14:paraId="05E3877E" w14:textId="77777777" w:rsidR="00636058" w:rsidRDefault="00883204" w:rsidP="00895D3C">
      <w:pPr>
        <w:pStyle w:val="Heading2"/>
      </w:pPr>
      <w:r>
        <w:t>Reading l</w:t>
      </w:r>
      <w:r w:rsidR="009A2D37">
        <w:t xml:space="preserve">ist </w:t>
      </w:r>
    </w:p>
    <w:p w14:paraId="6574CE52" w14:textId="4D1C00BF" w:rsidR="00636058" w:rsidRDefault="00636058" w:rsidP="008745C3">
      <w:pPr>
        <w:pStyle w:val="BodyText"/>
        <w:rPr>
          <w:b/>
        </w:rPr>
      </w:pPr>
      <w:r w:rsidRPr="00636058">
        <w:t xml:space="preserve">The University is committed to ensuring that core reading materials are in accessible electronic format in line with the Kent Inclusive Practices. </w:t>
      </w:r>
    </w:p>
    <w:p w14:paraId="6A052CDF" w14:textId="0B3AB175" w:rsidR="00636058" w:rsidRDefault="00636058" w:rsidP="008745C3">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263D843E" w:rsidR="00636058" w:rsidRPr="00636058" w:rsidRDefault="00636058" w:rsidP="008745C3">
      <w:pPr>
        <w:pStyle w:val="BodyText"/>
      </w:pPr>
      <w:r w:rsidRPr="00636058">
        <w:t>Private Study</w:t>
      </w:r>
      <w:r w:rsidR="007A3F31">
        <w:t>:</w:t>
      </w:r>
      <w:r w:rsidR="00EF302F">
        <w:tab/>
      </w:r>
      <w:r w:rsidR="00240B83">
        <w:t>128</w:t>
      </w:r>
    </w:p>
    <w:p w14:paraId="3BE5E6D9" w14:textId="210702A3" w:rsidR="00636058" w:rsidRPr="00636058" w:rsidRDefault="00636058" w:rsidP="008745C3">
      <w:pPr>
        <w:pStyle w:val="BodyText"/>
      </w:pPr>
      <w:r w:rsidRPr="00636058">
        <w:t>Contact Hours</w:t>
      </w:r>
      <w:r w:rsidR="007A3F31">
        <w:t>:</w:t>
      </w:r>
      <w:r w:rsidR="00240B83">
        <w:t xml:space="preserve"> </w:t>
      </w:r>
      <w:r w:rsidR="00EF302F">
        <w:t xml:space="preserve"> </w:t>
      </w:r>
      <w:r w:rsidR="00240B83">
        <w:t>22</w:t>
      </w:r>
    </w:p>
    <w:p w14:paraId="260000FF" w14:textId="1402629B" w:rsidR="00636058" w:rsidRPr="00636058" w:rsidRDefault="00636058" w:rsidP="008745C3">
      <w:pPr>
        <w:pStyle w:val="BodyText"/>
      </w:pPr>
      <w:r w:rsidRPr="00636058">
        <w:t>Total</w:t>
      </w:r>
      <w:r w:rsidR="007A3F31">
        <w:t>:</w:t>
      </w:r>
      <w:r w:rsidR="00240B83">
        <w:t xml:space="preserve"> </w:t>
      </w:r>
      <w:r w:rsidR="00EF302F">
        <w:tab/>
      </w:r>
      <w:r w:rsidR="00EF302F">
        <w:tab/>
      </w:r>
      <w:r w:rsidR="00240B83">
        <w:t>150</w:t>
      </w:r>
    </w:p>
    <w:p w14:paraId="1C49B47B" w14:textId="77777777" w:rsidR="00B2615D" w:rsidRPr="00B2615D" w:rsidRDefault="00EF4933" w:rsidP="00072357">
      <w:pPr>
        <w:pStyle w:val="Heading2"/>
        <w:rPr>
          <w:i/>
          <w:iCs/>
        </w:rPr>
      </w:pPr>
      <w:r>
        <w:t>Assessment methods</w:t>
      </w:r>
    </w:p>
    <w:p w14:paraId="7F14E902" w14:textId="5AF82D4F" w:rsidR="00696FF5" w:rsidRPr="00B2615D" w:rsidRDefault="00696FF5" w:rsidP="00EF302F">
      <w:pPr>
        <w:pStyle w:val="header2"/>
        <w:numPr>
          <w:ilvl w:val="1"/>
          <w:numId w:val="11"/>
        </w:numPr>
        <w:ind w:left="567" w:hanging="567"/>
        <w:rPr>
          <w:b w:val="0"/>
          <w:bCs/>
          <w:i/>
          <w:iCs/>
        </w:rPr>
      </w:pPr>
      <w:r w:rsidRPr="00B2615D">
        <w:rPr>
          <w:b w:val="0"/>
          <w:bCs/>
          <w:iCs/>
        </w:rPr>
        <w:t>Main assessment methods</w:t>
      </w:r>
    </w:p>
    <w:p w14:paraId="603BE617" w14:textId="6C97C2CD" w:rsidR="003F3578" w:rsidRDefault="00C06E16" w:rsidP="008745C3">
      <w:pPr>
        <w:pStyle w:val="BodyText"/>
      </w:pPr>
      <w:r w:rsidRPr="2D7A211E">
        <w:t xml:space="preserve">Policy </w:t>
      </w:r>
      <w:r w:rsidR="684F047E" w:rsidRPr="2D7A211E">
        <w:t>b</w:t>
      </w:r>
      <w:r w:rsidRPr="2D7A211E">
        <w:t xml:space="preserve">rief </w:t>
      </w:r>
      <w:r w:rsidR="2B2A2C04" w:rsidRPr="2D7A211E">
        <w:t>(</w:t>
      </w:r>
      <w:r w:rsidR="30D3F7DD" w:rsidRPr="2D7A211E">
        <w:t>1</w:t>
      </w:r>
      <w:r w:rsidR="2B2A2C04" w:rsidRPr="2D7A211E">
        <w:t>,</w:t>
      </w:r>
      <w:r w:rsidR="4AE49BB3" w:rsidRPr="2D7A211E">
        <w:t>5</w:t>
      </w:r>
      <w:r w:rsidR="2B2A2C04" w:rsidRPr="2D7A211E">
        <w:t>00 words)</w:t>
      </w:r>
      <w:r w:rsidRPr="2D7A211E">
        <w:t xml:space="preserve"> (</w:t>
      </w:r>
      <w:r w:rsidR="065D5240" w:rsidRPr="2D7A211E">
        <w:t>4</w:t>
      </w:r>
      <w:r w:rsidRPr="2D7A211E">
        <w:t>0%)</w:t>
      </w:r>
      <w:r w:rsidR="00581464">
        <w:t>*</w:t>
      </w:r>
    </w:p>
    <w:p w14:paraId="0DD2B605" w14:textId="15191DB3" w:rsidR="00C06E16" w:rsidRDefault="77ED49B6" w:rsidP="008745C3">
      <w:pPr>
        <w:pStyle w:val="BodyText"/>
      </w:pPr>
      <w:r w:rsidRPr="2D7A211E">
        <w:t>Methodology o</w:t>
      </w:r>
      <w:r w:rsidR="00C06E16" w:rsidRPr="2D7A211E">
        <w:t xml:space="preserve">utline </w:t>
      </w:r>
      <w:r w:rsidR="4131587E" w:rsidRPr="2D7A211E">
        <w:t>(2,500 words)</w:t>
      </w:r>
      <w:r w:rsidR="00F17FD6" w:rsidRPr="2D7A211E">
        <w:t xml:space="preserve"> </w:t>
      </w:r>
      <w:r w:rsidR="00C06E16" w:rsidRPr="2D7A211E">
        <w:t>(</w:t>
      </w:r>
      <w:r w:rsidR="57CDDE57" w:rsidRPr="2D7A211E">
        <w:t>6</w:t>
      </w:r>
      <w:r w:rsidR="00C06E16" w:rsidRPr="2D7A211E">
        <w:t>0%)</w:t>
      </w:r>
      <w:r w:rsidR="00581464">
        <w:t>*</w:t>
      </w:r>
    </w:p>
    <w:p w14:paraId="74F6DDA3" w14:textId="33CAC7F3" w:rsidR="008D4447" w:rsidRPr="00EF302F" w:rsidRDefault="00581464" w:rsidP="008745C3">
      <w:pPr>
        <w:pStyle w:val="BodyText"/>
        <w:rPr>
          <w:b/>
          <w:i/>
          <w:iCs/>
        </w:rPr>
      </w:pPr>
      <w:r>
        <w:tab/>
      </w:r>
      <w:r w:rsidRPr="00EF302F">
        <w:rPr>
          <w:i/>
          <w:iCs/>
        </w:rPr>
        <w:t>*this element is pass compulsory and must be passed to achieved the learning outcomes of the module</w:t>
      </w:r>
    </w:p>
    <w:p w14:paraId="3DA1BBE3" w14:textId="75473169" w:rsidR="00696FF5" w:rsidRPr="009D52D0" w:rsidRDefault="00B2615D" w:rsidP="00EF302F">
      <w:pPr>
        <w:spacing w:before="360" w:after="120" w:line="240" w:lineRule="auto"/>
        <w:ind w:left="567" w:right="544"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2BC413C6" w:rsidR="00B72470" w:rsidRDefault="00503F03" w:rsidP="008745C3">
      <w:pPr>
        <w:pStyle w:val="BodyText"/>
      </w:pPr>
      <w:r>
        <w:t>Like for like</w:t>
      </w:r>
    </w:p>
    <w:p w14:paraId="2FCD427F" w14:textId="795693E7" w:rsidR="00274ED7" w:rsidRPr="009D52D0" w:rsidRDefault="006F3F8B" w:rsidP="00072357">
      <w:pPr>
        <w:pStyle w:val="Heading2"/>
      </w:pPr>
      <w:r>
        <w:t xml:space="preserve">Map of </w:t>
      </w:r>
      <w:r w:rsidR="00883204">
        <w:t xml:space="preserve">module learning outcomes </w:t>
      </w:r>
      <w:r w:rsidR="00B30E07">
        <w:t xml:space="preserve">(sections </w:t>
      </w:r>
      <w:r w:rsidR="00542219">
        <w:t>8</w:t>
      </w:r>
      <w:r w:rsidR="00B30E07">
        <w:t xml:space="preserve"> &amp; </w:t>
      </w:r>
      <w:r w:rsidR="00542219">
        <w:t>9</w:t>
      </w:r>
      <w:r w:rsidR="00B30E07">
        <w:t>)</w:t>
      </w:r>
      <w:r w:rsidR="00883204">
        <w:t xml:space="preserve"> to l</w:t>
      </w:r>
      <w:r>
        <w:t>earning</w:t>
      </w:r>
      <w:r w:rsidR="00B30E07">
        <w:t xml:space="preserve"> and </w:t>
      </w:r>
      <w:r w:rsidR="00883204">
        <w:t>teaching m</w:t>
      </w:r>
      <w:r w:rsidR="00B30E07">
        <w:t>ethods (section</w:t>
      </w:r>
      <w:r w:rsidR="00B2615D">
        <w:t xml:space="preserve"> </w:t>
      </w:r>
      <w:r w:rsidR="00B30E07">
        <w:t>1</w:t>
      </w:r>
      <w:r w:rsidR="00542219">
        <w:t>2</w:t>
      </w:r>
      <w:r>
        <w:t>) and m</w:t>
      </w:r>
      <w:r w:rsidR="00883204">
        <w:t>ethods of a</w:t>
      </w:r>
      <w:r w:rsidR="00B30E07">
        <w:t>ssessment (section 1</w:t>
      </w:r>
      <w:r w:rsidR="00542219">
        <w:t>3</w:t>
      </w:r>
      <w:r w:rsidR="00EF4933">
        <w:t>)</w:t>
      </w:r>
    </w:p>
    <w:p w14:paraId="61E16E57" w14:textId="77777777" w:rsidR="00DC3CB1" w:rsidRDefault="00DC3CB1" w:rsidP="00DC3CB1">
      <w:pPr>
        <w:spacing w:after="0" w:line="240" w:lineRule="auto"/>
        <w:ind w:left="567" w:right="544"/>
        <w:jc w:val="both"/>
        <w:rPr>
          <w:rFonts w:ascii="Arial" w:hAnsi="Arial" w:cs="Arial"/>
          <w:b/>
          <w:b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EF302F">
            <w:pPr>
              <w:spacing w:before="60" w:after="60"/>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EF302F">
            <w:pPr>
              <w:spacing w:before="60" w:after="60"/>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EF302F">
            <w:pPr>
              <w:spacing w:before="60" w:after="60"/>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EF302F">
            <w:pPr>
              <w:spacing w:before="60" w:after="60"/>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EF302F">
            <w:pPr>
              <w:spacing w:before="60" w:after="60"/>
              <w:rPr>
                <w:rFonts w:ascii="Arial" w:hAnsi="Arial" w:cs="Arial"/>
                <w:sz w:val="20"/>
                <w:szCs w:val="20"/>
              </w:rPr>
            </w:pPr>
            <w:r w:rsidRPr="009D52D0">
              <w:rPr>
                <w:rFonts w:ascii="Arial" w:hAnsi="Arial" w:cs="Arial"/>
                <w:sz w:val="20"/>
                <w:szCs w:val="20"/>
              </w:rPr>
              <w:t>8.4</w:t>
            </w:r>
          </w:p>
        </w:tc>
        <w:tc>
          <w:tcPr>
            <w:tcW w:w="567" w:type="dxa"/>
          </w:tcPr>
          <w:p w14:paraId="6C66B5C0" w14:textId="31BB0FAB" w:rsidR="00636058" w:rsidRPr="009D52D0" w:rsidRDefault="00636058" w:rsidP="00EF302F">
            <w:pPr>
              <w:spacing w:before="60" w:after="60"/>
              <w:rPr>
                <w:rFonts w:ascii="Arial" w:hAnsi="Arial" w:cs="Arial"/>
                <w:sz w:val="20"/>
                <w:szCs w:val="20"/>
              </w:rPr>
            </w:pPr>
            <w:r w:rsidRPr="009D52D0">
              <w:rPr>
                <w:rFonts w:ascii="Arial" w:hAnsi="Arial" w:cs="Arial"/>
                <w:sz w:val="20"/>
                <w:szCs w:val="20"/>
              </w:rPr>
              <w:t>8.5</w:t>
            </w:r>
          </w:p>
        </w:tc>
        <w:tc>
          <w:tcPr>
            <w:tcW w:w="567" w:type="dxa"/>
          </w:tcPr>
          <w:p w14:paraId="3B577D4A" w14:textId="77777777" w:rsidR="00636058" w:rsidRPr="009D52D0" w:rsidRDefault="00636058" w:rsidP="00EF302F">
            <w:pPr>
              <w:spacing w:before="60" w:after="60"/>
              <w:rPr>
                <w:rFonts w:ascii="Arial" w:hAnsi="Arial" w:cs="Arial"/>
                <w:sz w:val="20"/>
                <w:szCs w:val="20"/>
              </w:rPr>
            </w:pPr>
            <w:r w:rsidRPr="009D52D0">
              <w:rPr>
                <w:rFonts w:ascii="Arial" w:hAnsi="Arial" w:cs="Arial"/>
                <w:sz w:val="20"/>
                <w:szCs w:val="20"/>
              </w:rPr>
              <w:t>9.1</w:t>
            </w:r>
          </w:p>
        </w:tc>
        <w:tc>
          <w:tcPr>
            <w:tcW w:w="567" w:type="dxa"/>
          </w:tcPr>
          <w:p w14:paraId="266E4126" w14:textId="77777777" w:rsidR="00636058" w:rsidRPr="009D52D0" w:rsidRDefault="00636058" w:rsidP="00EF302F">
            <w:pPr>
              <w:spacing w:before="60" w:after="60"/>
              <w:rPr>
                <w:rFonts w:ascii="Arial" w:hAnsi="Arial" w:cs="Arial"/>
                <w:sz w:val="20"/>
                <w:szCs w:val="20"/>
              </w:rPr>
            </w:pPr>
            <w:r w:rsidRPr="009D52D0">
              <w:rPr>
                <w:rFonts w:ascii="Arial" w:hAnsi="Arial" w:cs="Arial"/>
                <w:sz w:val="20"/>
                <w:szCs w:val="20"/>
              </w:rPr>
              <w:t>9.2</w:t>
            </w:r>
          </w:p>
        </w:tc>
        <w:tc>
          <w:tcPr>
            <w:tcW w:w="567" w:type="dxa"/>
          </w:tcPr>
          <w:p w14:paraId="6EC60A4C" w14:textId="77777777" w:rsidR="00636058" w:rsidRPr="009D52D0" w:rsidRDefault="00636058" w:rsidP="00EF302F">
            <w:pPr>
              <w:spacing w:before="60" w:after="60"/>
              <w:rPr>
                <w:rFonts w:ascii="Arial" w:hAnsi="Arial" w:cs="Arial"/>
                <w:sz w:val="20"/>
                <w:szCs w:val="20"/>
              </w:rPr>
            </w:pPr>
            <w:r w:rsidRPr="009D52D0">
              <w:rPr>
                <w:rFonts w:ascii="Arial" w:hAnsi="Arial" w:cs="Arial"/>
                <w:sz w:val="20"/>
                <w:szCs w:val="20"/>
              </w:rPr>
              <w:t>9.3</w:t>
            </w:r>
          </w:p>
        </w:tc>
        <w:tc>
          <w:tcPr>
            <w:tcW w:w="567" w:type="dxa"/>
          </w:tcPr>
          <w:p w14:paraId="3E85E7FE" w14:textId="77777777" w:rsidR="00636058" w:rsidRPr="009D52D0" w:rsidRDefault="00636058" w:rsidP="00EF302F">
            <w:pPr>
              <w:spacing w:before="60" w:after="60"/>
              <w:rPr>
                <w:rFonts w:ascii="Arial" w:hAnsi="Arial" w:cs="Arial"/>
                <w:sz w:val="20"/>
                <w:szCs w:val="20"/>
              </w:rPr>
            </w:pPr>
            <w:r w:rsidRPr="009D52D0">
              <w:rPr>
                <w:rFonts w:ascii="Arial" w:hAnsi="Arial" w:cs="Arial"/>
                <w:sz w:val="20"/>
                <w:szCs w:val="20"/>
              </w:rPr>
              <w:t>9.4</w:t>
            </w:r>
          </w:p>
        </w:tc>
        <w:tc>
          <w:tcPr>
            <w:tcW w:w="567" w:type="dxa"/>
          </w:tcPr>
          <w:p w14:paraId="3221C1C8" w14:textId="77777777" w:rsidR="00636058" w:rsidRPr="009D52D0" w:rsidRDefault="00636058" w:rsidP="00EF302F">
            <w:pPr>
              <w:spacing w:before="60" w:after="60"/>
              <w:rPr>
                <w:rFonts w:ascii="Arial" w:hAnsi="Arial" w:cs="Arial"/>
                <w:sz w:val="20"/>
                <w:szCs w:val="20"/>
              </w:rPr>
            </w:pPr>
            <w:r w:rsidRPr="009D52D0">
              <w:rPr>
                <w:rFonts w:ascii="Arial" w:hAnsi="Arial" w:cs="Arial"/>
                <w:sz w:val="20"/>
                <w:szCs w:val="20"/>
              </w:rPr>
              <w:t>9.5</w:t>
            </w:r>
          </w:p>
        </w:tc>
      </w:tr>
      <w:tr w:rsidR="00636058" w:rsidRPr="009D52D0" w14:paraId="780DC4A5" w14:textId="77777777" w:rsidTr="00636058">
        <w:tc>
          <w:tcPr>
            <w:tcW w:w="2439" w:type="dxa"/>
          </w:tcPr>
          <w:p w14:paraId="16F79E00" w14:textId="77777777" w:rsidR="00636058" w:rsidRPr="003A42D1" w:rsidRDefault="00636058" w:rsidP="00EF302F">
            <w:pPr>
              <w:spacing w:before="60" w:after="60"/>
              <w:rPr>
                <w:rFonts w:ascii="Arial" w:hAnsi="Arial" w:cs="Arial"/>
                <w:sz w:val="20"/>
                <w:szCs w:val="20"/>
              </w:rPr>
            </w:pPr>
            <w:r w:rsidRPr="003A42D1">
              <w:rPr>
                <w:rFonts w:ascii="Arial" w:hAnsi="Arial" w:cs="Arial"/>
                <w:sz w:val="20"/>
                <w:szCs w:val="20"/>
              </w:rPr>
              <w:t>Private Study</w:t>
            </w:r>
          </w:p>
        </w:tc>
        <w:tc>
          <w:tcPr>
            <w:tcW w:w="567" w:type="dxa"/>
          </w:tcPr>
          <w:p w14:paraId="34752F0E" w14:textId="1EE543ED"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0E9B09C0" w14:textId="5C6B9B3C"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6CD1C02C" w14:textId="272F3938"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45C64561" w14:textId="59B2ECD0"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62607B91" w14:textId="4033CEBD"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2A716802" w14:textId="1E8F0712"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5BAFD1A4" w14:textId="700F1248"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030A7445" w14:textId="0D3D3EB5"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431B3FED" w14:textId="019B649F"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07703E2C" w14:textId="416FEA73"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r>
      <w:tr w:rsidR="00DC3CB1" w:rsidRPr="009D52D0" w14:paraId="5C50A519" w14:textId="77777777" w:rsidTr="00636058">
        <w:tc>
          <w:tcPr>
            <w:tcW w:w="2439" w:type="dxa"/>
          </w:tcPr>
          <w:p w14:paraId="433DE3A7" w14:textId="5440AB38" w:rsidR="00DC3CB1" w:rsidRPr="003A42D1" w:rsidRDefault="00DC3CB1" w:rsidP="00EF302F">
            <w:pPr>
              <w:spacing w:before="60" w:after="60"/>
              <w:rPr>
                <w:rFonts w:ascii="Arial" w:hAnsi="Arial" w:cs="Arial"/>
                <w:sz w:val="20"/>
                <w:szCs w:val="20"/>
              </w:rPr>
            </w:pPr>
            <w:r>
              <w:rPr>
                <w:rFonts w:ascii="Arial" w:hAnsi="Arial" w:cs="Arial"/>
                <w:sz w:val="20"/>
                <w:szCs w:val="20"/>
              </w:rPr>
              <w:t>Lecture/seminars</w:t>
            </w:r>
          </w:p>
        </w:tc>
        <w:tc>
          <w:tcPr>
            <w:tcW w:w="567" w:type="dxa"/>
          </w:tcPr>
          <w:p w14:paraId="3853654B" w14:textId="6FCD7F98" w:rsidR="00DC3CB1"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7261D01A" w14:textId="39A4CEFF" w:rsidR="00DC3CB1"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2D7957D4" w14:textId="02A5F252" w:rsidR="00DC3CB1"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232B2686" w14:textId="334DD38F" w:rsidR="00DC3CB1"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4971B999" w14:textId="6D965A51" w:rsidR="00DC3CB1"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2AE9F109" w14:textId="3721A306" w:rsidR="00DC3CB1"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6BD0A090" w14:textId="2077F2E6" w:rsidR="00DC3CB1"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3DAC9A4A" w14:textId="34AE339A" w:rsidR="00DC3CB1"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21A7EAF7" w14:textId="19FE70D1" w:rsidR="00DC3CB1"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41EDD6A7" w14:textId="513ABB8B" w:rsidR="00DC3CB1"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EF302F">
      <w:pPr>
        <w:spacing w:after="120" w:line="240" w:lineRule="auto"/>
        <w:ind w:left="567" w:right="54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tblGrid>
      <w:tr w:rsidR="00636058" w:rsidRPr="009D52D0" w14:paraId="7367825C" w14:textId="77777777" w:rsidTr="00EF302F">
        <w:trPr>
          <w:tblHeader/>
        </w:trPr>
        <w:tc>
          <w:tcPr>
            <w:tcW w:w="2405" w:type="dxa"/>
            <w:shd w:val="clear" w:color="auto" w:fill="D9D9D9" w:themeFill="background1" w:themeFillShade="D9"/>
          </w:tcPr>
          <w:p w14:paraId="4E99BFB5" w14:textId="77777777" w:rsidR="00636058" w:rsidRPr="009D52D0" w:rsidRDefault="00636058" w:rsidP="00EF302F">
            <w:pPr>
              <w:spacing w:before="60" w:after="60"/>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636058" w:rsidRPr="009D52D0" w:rsidRDefault="00636058" w:rsidP="00EF302F">
            <w:pPr>
              <w:spacing w:before="60" w:after="60"/>
              <w:rPr>
                <w:rFonts w:ascii="Arial" w:hAnsi="Arial" w:cs="Arial"/>
                <w:sz w:val="20"/>
                <w:szCs w:val="20"/>
              </w:rPr>
            </w:pPr>
            <w:r w:rsidRPr="009D52D0">
              <w:rPr>
                <w:rFonts w:ascii="Arial" w:hAnsi="Arial" w:cs="Arial"/>
                <w:sz w:val="20"/>
                <w:szCs w:val="20"/>
              </w:rPr>
              <w:t>8.1</w:t>
            </w:r>
          </w:p>
        </w:tc>
        <w:tc>
          <w:tcPr>
            <w:tcW w:w="567" w:type="dxa"/>
          </w:tcPr>
          <w:p w14:paraId="2210FC9E" w14:textId="77777777" w:rsidR="00636058" w:rsidRPr="009D52D0" w:rsidRDefault="00636058" w:rsidP="00EF302F">
            <w:pPr>
              <w:spacing w:before="60" w:after="60"/>
              <w:rPr>
                <w:rFonts w:ascii="Arial" w:hAnsi="Arial" w:cs="Arial"/>
                <w:sz w:val="20"/>
                <w:szCs w:val="20"/>
              </w:rPr>
            </w:pPr>
            <w:r w:rsidRPr="009D52D0">
              <w:rPr>
                <w:rFonts w:ascii="Arial" w:hAnsi="Arial" w:cs="Arial"/>
                <w:sz w:val="20"/>
                <w:szCs w:val="20"/>
              </w:rPr>
              <w:t>8.2</w:t>
            </w:r>
          </w:p>
        </w:tc>
        <w:tc>
          <w:tcPr>
            <w:tcW w:w="709" w:type="dxa"/>
          </w:tcPr>
          <w:p w14:paraId="00B7F160" w14:textId="77777777" w:rsidR="00636058" w:rsidRPr="009D52D0" w:rsidRDefault="00636058" w:rsidP="00EF302F">
            <w:pPr>
              <w:spacing w:before="60" w:after="60"/>
              <w:rPr>
                <w:rFonts w:ascii="Arial" w:hAnsi="Arial" w:cs="Arial"/>
                <w:sz w:val="20"/>
                <w:szCs w:val="20"/>
              </w:rPr>
            </w:pPr>
            <w:r w:rsidRPr="009D52D0">
              <w:rPr>
                <w:rFonts w:ascii="Arial" w:hAnsi="Arial" w:cs="Arial"/>
                <w:sz w:val="20"/>
                <w:szCs w:val="20"/>
              </w:rPr>
              <w:t>8.3</w:t>
            </w:r>
          </w:p>
        </w:tc>
        <w:tc>
          <w:tcPr>
            <w:tcW w:w="567" w:type="dxa"/>
          </w:tcPr>
          <w:p w14:paraId="2BB3974A" w14:textId="77777777" w:rsidR="00636058" w:rsidRPr="009D52D0" w:rsidRDefault="00636058" w:rsidP="00EF302F">
            <w:pPr>
              <w:spacing w:before="60" w:after="60"/>
              <w:rPr>
                <w:rFonts w:ascii="Arial" w:hAnsi="Arial" w:cs="Arial"/>
                <w:sz w:val="20"/>
                <w:szCs w:val="20"/>
              </w:rPr>
            </w:pPr>
            <w:r w:rsidRPr="009D52D0">
              <w:rPr>
                <w:rFonts w:ascii="Arial" w:hAnsi="Arial" w:cs="Arial"/>
                <w:sz w:val="20"/>
                <w:szCs w:val="20"/>
              </w:rPr>
              <w:t>8.4</w:t>
            </w:r>
          </w:p>
        </w:tc>
        <w:tc>
          <w:tcPr>
            <w:tcW w:w="567" w:type="dxa"/>
          </w:tcPr>
          <w:p w14:paraId="23BFBA31" w14:textId="255FB96A" w:rsidR="00636058" w:rsidRPr="009D52D0" w:rsidRDefault="00636058" w:rsidP="00EF302F">
            <w:pPr>
              <w:spacing w:before="60" w:after="60"/>
              <w:rPr>
                <w:rFonts w:ascii="Arial" w:hAnsi="Arial" w:cs="Arial"/>
                <w:sz w:val="20"/>
                <w:szCs w:val="20"/>
              </w:rPr>
            </w:pPr>
            <w:r w:rsidRPr="009D52D0">
              <w:rPr>
                <w:rFonts w:ascii="Arial" w:hAnsi="Arial" w:cs="Arial"/>
                <w:sz w:val="20"/>
                <w:szCs w:val="20"/>
              </w:rPr>
              <w:t>8.5</w:t>
            </w:r>
          </w:p>
        </w:tc>
        <w:tc>
          <w:tcPr>
            <w:tcW w:w="567" w:type="dxa"/>
          </w:tcPr>
          <w:p w14:paraId="0D56B3A5" w14:textId="77777777" w:rsidR="00636058" w:rsidRPr="009D52D0" w:rsidRDefault="00636058" w:rsidP="00EF302F">
            <w:pPr>
              <w:spacing w:before="60" w:after="60"/>
              <w:rPr>
                <w:rFonts w:ascii="Arial" w:hAnsi="Arial" w:cs="Arial"/>
                <w:sz w:val="20"/>
                <w:szCs w:val="20"/>
              </w:rPr>
            </w:pPr>
            <w:r w:rsidRPr="009D52D0">
              <w:rPr>
                <w:rFonts w:ascii="Arial" w:hAnsi="Arial" w:cs="Arial"/>
                <w:sz w:val="20"/>
                <w:szCs w:val="20"/>
              </w:rPr>
              <w:t>9.1</w:t>
            </w:r>
          </w:p>
        </w:tc>
        <w:tc>
          <w:tcPr>
            <w:tcW w:w="567" w:type="dxa"/>
          </w:tcPr>
          <w:p w14:paraId="523687DC" w14:textId="77777777" w:rsidR="00636058" w:rsidRPr="009D52D0" w:rsidRDefault="00636058" w:rsidP="00EF302F">
            <w:pPr>
              <w:spacing w:before="60" w:after="60"/>
              <w:rPr>
                <w:rFonts w:ascii="Arial" w:hAnsi="Arial" w:cs="Arial"/>
                <w:sz w:val="20"/>
                <w:szCs w:val="20"/>
              </w:rPr>
            </w:pPr>
            <w:r w:rsidRPr="009D52D0">
              <w:rPr>
                <w:rFonts w:ascii="Arial" w:hAnsi="Arial" w:cs="Arial"/>
                <w:sz w:val="20"/>
                <w:szCs w:val="20"/>
              </w:rPr>
              <w:t>9.2</w:t>
            </w:r>
          </w:p>
        </w:tc>
        <w:tc>
          <w:tcPr>
            <w:tcW w:w="567" w:type="dxa"/>
          </w:tcPr>
          <w:p w14:paraId="1106ECFC" w14:textId="77777777" w:rsidR="00636058" w:rsidRPr="009D52D0" w:rsidRDefault="00636058" w:rsidP="00EF302F">
            <w:pPr>
              <w:spacing w:before="60" w:after="60"/>
              <w:rPr>
                <w:rFonts w:ascii="Arial" w:hAnsi="Arial" w:cs="Arial"/>
                <w:sz w:val="20"/>
                <w:szCs w:val="20"/>
              </w:rPr>
            </w:pPr>
            <w:r w:rsidRPr="009D52D0">
              <w:rPr>
                <w:rFonts w:ascii="Arial" w:hAnsi="Arial" w:cs="Arial"/>
                <w:sz w:val="20"/>
                <w:szCs w:val="20"/>
              </w:rPr>
              <w:t>9.3</w:t>
            </w:r>
          </w:p>
        </w:tc>
        <w:tc>
          <w:tcPr>
            <w:tcW w:w="567" w:type="dxa"/>
          </w:tcPr>
          <w:p w14:paraId="51BE4A79" w14:textId="77777777" w:rsidR="00636058" w:rsidRPr="009D52D0" w:rsidRDefault="00636058" w:rsidP="00EF302F">
            <w:pPr>
              <w:spacing w:before="60" w:after="60"/>
              <w:rPr>
                <w:rFonts w:ascii="Arial" w:hAnsi="Arial" w:cs="Arial"/>
                <w:sz w:val="20"/>
                <w:szCs w:val="20"/>
              </w:rPr>
            </w:pPr>
            <w:r w:rsidRPr="009D52D0">
              <w:rPr>
                <w:rFonts w:ascii="Arial" w:hAnsi="Arial" w:cs="Arial"/>
                <w:sz w:val="20"/>
                <w:szCs w:val="20"/>
              </w:rPr>
              <w:t>9.4</w:t>
            </w:r>
          </w:p>
        </w:tc>
        <w:tc>
          <w:tcPr>
            <w:tcW w:w="567" w:type="dxa"/>
          </w:tcPr>
          <w:p w14:paraId="0C3BF660" w14:textId="77777777" w:rsidR="00636058" w:rsidRPr="009D52D0" w:rsidRDefault="00636058" w:rsidP="00EF302F">
            <w:pPr>
              <w:spacing w:before="60" w:after="60"/>
              <w:rPr>
                <w:rFonts w:ascii="Arial" w:hAnsi="Arial" w:cs="Arial"/>
                <w:sz w:val="20"/>
                <w:szCs w:val="20"/>
              </w:rPr>
            </w:pPr>
            <w:r w:rsidRPr="009D52D0">
              <w:rPr>
                <w:rFonts w:ascii="Arial" w:hAnsi="Arial" w:cs="Arial"/>
                <w:sz w:val="20"/>
                <w:szCs w:val="20"/>
              </w:rPr>
              <w:t>9.5</w:t>
            </w:r>
          </w:p>
        </w:tc>
      </w:tr>
      <w:tr w:rsidR="00636058" w:rsidRPr="009D52D0" w14:paraId="6D8FD37D" w14:textId="77777777" w:rsidTr="00EF302F">
        <w:trPr>
          <w:tblHeader/>
        </w:trPr>
        <w:tc>
          <w:tcPr>
            <w:tcW w:w="2405" w:type="dxa"/>
          </w:tcPr>
          <w:p w14:paraId="6500FA2E" w14:textId="2240F0C8" w:rsidR="00636058" w:rsidRPr="00DC3CB1" w:rsidRDefault="00DC3CB1" w:rsidP="00EF302F">
            <w:pPr>
              <w:spacing w:before="60" w:after="60"/>
              <w:rPr>
                <w:rFonts w:ascii="Arial" w:hAnsi="Arial" w:cs="Arial"/>
                <w:sz w:val="20"/>
                <w:szCs w:val="20"/>
              </w:rPr>
            </w:pPr>
            <w:r>
              <w:rPr>
                <w:rFonts w:ascii="Arial" w:hAnsi="Arial" w:cs="Arial"/>
                <w:sz w:val="20"/>
                <w:szCs w:val="20"/>
              </w:rPr>
              <w:t>Policy brief</w:t>
            </w:r>
          </w:p>
        </w:tc>
        <w:tc>
          <w:tcPr>
            <w:tcW w:w="567" w:type="dxa"/>
          </w:tcPr>
          <w:p w14:paraId="718AB32A" w14:textId="51B0F7B0"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71084725" w14:textId="0D1AFBF9"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709" w:type="dxa"/>
          </w:tcPr>
          <w:p w14:paraId="659E3E11" w14:textId="5F413B8C"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02BFF41C" w14:textId="4CEE283C" w:rsidR="00636058" w:rsidRPr="009D52D0" w:rsidRDefault="00636058" w:rsidP="00EF302F">
            <w:pPr>
              <w:spacing w:before="60" w:after="60"/>
              <w:jc w:val="center"/>
              <w:rPr>
                <w:rFonts w:ascii="Arial" w:hAnsi="Arial" w:cs="Arial"/>
                <w:b/>
                <w:sz w:val="20"/>
                <w:szCs w:val="20"/>
              </w:rPr>
            </w:pPr>
          </w:p>
        </w:tc>
        <w:tc>
          <w:tcPr>
            <w:tcW w:w="567" w:type="dxa"/>
          </w:tcPr>
          <w:p w14:paraId="19049929" w14:textId="77777777" w:rsidR="00636058" w:rsidRPr="009D52D0" w:rsidRDefault="00636058" w:rsidP="00EF302F">
            <w:pPr>
              <w:spacing w:before="60" w:after="60"/>
              <w:jc w:val="center"/>
              <w:rPr>
                <w:rFonts w:ascii="Arial" w:hAnsi="Arial" w:cs="Arial"/>
                <w:b/>
                <w:sz w:val="20"/>
                <w:szCs w:val="20"/>
              </w:rPr>
            </w:pPr>
          </w:p>
        </w:tc>
        <w:tc>
          <w:tcPr>
            <w:tcW w:w="567" w:type="dxa"/>
          </w:tcPr>
          <w:p w14:paraId="60747C35" w14:textId="4C82F996"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6FCDE494" w14:textId="41848E61"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48C6EE1D" w14:textId="42D81A5F"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12A99B31" w14:textId="65DA38F4"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0FB35350" w14:textId="2E4BB10C"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r>
      <w:tr w:rsidR="00636058" w:rsidRPr="009D52D0" w14:paraId="33EAAC8E" w14:textId="77777777" w:rsidTr="00EF302F">
        <w:trPr>
          <w:tblHeader/>
        </w:trPr>
        <w:tc>
          <w:tcPr>
            <w:tcW w:w="2405" w:type="dxa"/>
          </w:tcPr>
          <w:p w14:paraId="41B161CA" w14:textId="3823D50C" w:rsidR="00636058" w:rsidRPr="00DC3CB1" w:rsidRDefault="00DC3CB1" w:rsidP="00EF302F">
            <w:pPr>
              <w:spacing w:before="60" w:after="60"/>
              <w:rPr>
                <w:rFonts w:ascii="Arial" w:hAnsi="Arial" w:cs="Arial"/>
                <w:sz w:val="20"/>
                <w:szCs w:val="20"/>
              </w:rPr>
            </w:pPr>
            <w:r>
              <w:rPr>
                <w:rFonts w:ascii="Arial" w:hAnsi="Arial" w:cs="Arial"/>
                <w:sz w:val="20"/>
                <w:szCs w:val="20"/>
              </w:rPr>
              <w:t>Data gathering proposal</w:t>
            </w:r>
          </w:p>
        </w:tc>
        <w:tc>
          <w:tcPr>
            <w:tcW w:w="567" w:type="dxa"/>
          </w:tcPr>
          <w:p w14:paraId="4D015421" w14:textId="77777777" w:rsidR="00636058" w:rsidRPr="009D52D0" w:rsidRDefault="00636058" w:rsidP="00EF302F">
            <w:pPr>
              <w:spacing w:before="60" w:after="60"/>
              <w:jc w:val="center"/>
              <w:rPr>
                <w:rFonts w:ascii="Arial" w:hAnsi="Arial" w:cs="Arial"/>
                <w:b/>
                <w:sz w:val="20"/>
                <w:szCs w:val="20"/>
              </w:rPr>
            </w:pPr>
          </w:p>
        </w:tc>
        <w:tc>
          <w:tcPr>
            <w:tcW w:w="567" w:type="dxa"/>
          </w:tcPr>
          <w:p w14:paraId="47055659" w14:textId="77777777" w:rsidR="00636058" w:rsidRPr="009D52D0" w:rsidRDefault="00636058" w:rsidP="00EF302F">
            <w:pPr>
              <w:spacing w:before="60" w:after="60"/>
              <w:jc w:val="center"/>
              <w:rPr>
                <w:rFonts w:ascii="Arial" w:hAnsi="Arial" w:cs="Arial"/>
                <w:b/>
                <w:sz w:val="20"/>
                <w:szCs w:val="20"/>
              </w:rPr>
            </w:pPr>
          </w:p>
        </w:tc>
        <w:tc>
          <w:tcPr>
            <w:tcW w:w="709" w:type="dxa"/>
          </w:tcPr>
          <w:p w14:paraId="32CE5E70" w14:textId="77777777" w:rsidR="00636058" w:rsidRPr="009D52D0" w:rsidRDefault="00636058" w:rsidP="00EF302F">
            <w:pPr>
              <w:spacing w:before="60" w:after="60"/>
              <w:jc w:val="center"/>
              <w:rPr>
                <w:rFonts w:ascii="Arial" w:hAnsi="Arial" w:cs="Arial"/>
                <w:b/>
                <w:sz w:val="20"/>
                <w:szCs w:val="20"/>
              </w:rPr>
            </w:pPr>
          </w:p>
        </w:tc>
        <w:tc>
          <w:tcPr>
            <w:tcW w:w="567" w:type="dxa"/>
          </w:tcPr>
          <w:p w14:paraId="3209BAD1" w14:textId="64965D9F"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3A50AC62" w14:textId="77928EF3"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43F1F7E1" w14:textId="57ADCC54"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34BF4922" w14:textId="1556ED3E"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29656163" w14:textId="777886D9"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3155EA1C" w14:textId="7FC7C7DF"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c>
          <w:tcPr>
            <w:tcW w:w="567" w:type="dxa"/>
          </w:tcPr>
          <w:p w14:paraId="4802F12A" w14:textId="28D3D6BA" w:rsidR="00636058" w:rsidRPr="009D52D0" w:rsidRDefault="00DC3CB1" w:rsidP="00EF302F">
            <w:pPr>
              <w:spacing w:before="60" w:after="60"/>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EF302F">
      <w:pPr>
        <w:pStyle w:val="Heading2"/>
        <w:rPr>
          <w:iCs/>
        </w:rPr>
      </w:pPr>
      <w:r>
        <w:t xml:space="preserve">Inclusive module design </w:t>
      </w:r>
    </w:p>
    <w:p w14:paraId="39DA4ADC" w14:textId="2ED36D3C" w:rsidR="00883204" w:rsidRPr="009D52D0" w:rsidRDefault="00883204" w:rsidP="00EF302F">
      <w:pPr>
        <w:pStyle w:val="BodyText"/>
        <w:ind w:left="426"/>
      </w:pPr>
      <w:r w:rsidRPr="009D52D0">
        <w:t xml:space="preserve">The </w:t>
      </w:r>
      <w:r w:rsidR="003A42D1">
        <w:t xml:space="preserve">Division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EF302F">
      <w:pPr>
        <w:pStyle w:val="BodyText"/>
        <w:ind w:left="426"/>
      </w:pPr>
      <w:r w:rsidRPr="009D52D0">
        <w:t>The inclusive practices in the guidance (see Annex B Appendix A) have been considered in order to support all students in the following areas:</w:t>
      </w:r>
    </w:p>
    <w:p w14:paraId="12A1AB1B" w14:textId="77777777" w:rsidR="00883204" w:rsidRPr="009D52D0" w:rsidRDefault="00883204" w:rsidP="00EF302F">
      <w:pPr>
        <w:pStyle w:val="BodyText"/>
        <w:ind w:left="426"/>
        <w:rPr>
          <w:bCs/>
        </w:rPr>
      </w:pPr>
      <w:r w:rsidRPr="009D52D0">
        <w:t xml:space="preserve">a) </w:t>
      </w:r>
      <w:r w:rsidRPr="009D52D0">
        <w:rPr>
          <w:bCs/>
        </w:rPr>
        <w:t>Accessible resources and curriculum</w:t>
      </w:r>
    </w:p>
    <w:p w14:paraId="5F2DDA76" w14:textId="77777777" w:rsidR="00883204" w:rsidRPr="009D52D0" w:rsidRDefault="00883204" w:rsidP="00EF302F">
      <w:pPr>
        <w:pStyle w:val="BodyText"/>
        <w:ind w:left="426"/>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t>Campus(es) or c</w:t>
      </w:r>
      <w:r w:rsidR="009A2D37">
        <w:t>entre(s)</w:t>
      </w:r>
      <w:r>
        <w:t xml:space="preserve"> where module will be delivered</w:t>
      </w:r>
    </w:p>
    <w:p w14:paraId="3CD0FF38" w14:textId="00125584" w:rsidR="009A2D37" w:rsidRDefault="003A42D1" w:rsidP="00EF302F">
      <w:pPr>
        <w:pStyle w:val="BodyText"/>
        <w:ind w:left="426"/>
      </w:pPr>
      <w:r>
        <w:t>Canterbury</w:t>
      </w:r>
    </w:p>
    <w:p w14:paraId="654C7CE7" w14:textId="77777777" w:rsidR="00883204" w:rsidRDefault="00883204" w:rsidP="00072357">
      <w:pPr>
        <w:pStyle w:val="Heading2"/>
      </w:pPr>
      <w:r>
        <w:t xml:space="preserve">Internationalisation </w:t>
      </w:r>
    </w:p>
    <w:p w14:paraId="3F5B9073" w14:textId="492D555F" w:rsidR="009D52D0" w:rsidRDefault="003A42D1" w:rsidP="00EF302F">
      <w:pPr>
        <w:pStyle w:val="BodyText"/>
        <w:ind w:left="426"/>
      </w:pPr>
      <w:r>
        <w:t>The course considers perspectives from, and draws on studies conducted in, a range of non-UK countries, and so locates the core themes within a wider international perspective.</w:t>
      </w:r>
    </w:p>
    <w:p w14:paraId="6B30F9BF" w14:textId="50EA053A" w:rsidR="008745C3" w:rsidRPr="008745C3" w:rsidRDefault="008745C3" w:rsidP="008745C3">
      <w:pPr>
        <w:pStyle w:val="BodyText"/>
        <w:rPr>
          <w:sz w:val="22"/>
        </w:rPr>
      </w:pPr>
    </w:p>
    <w:p w14:paraId="3CD77131" w14:textId="77777777" w:rsidR="008745C3" w:rsidRPr="008745C3" w:rsidRDefault="008745C3" w:rsidP="008745C3">
      <w:pPr>
        <w:pStyle w:val="BodyText"/>
        <w:rPr>
          <w:sz w:val="22"/>
        </w:rPr>
      </w:pPr>
    </w:p>
    <w:p w14:paraId="36C1544F" w14:textId="77777777" w:rsidR="00641D6D" w:rsidRPr="008745C3" w:rsidRDefault="00641D6D" w:rsidP="009D52D0">
      <w:pPr>
        <w:pBdr>
          <w:bottom w:val="single" w:sz="6" w:space="1" w:color="auto"/>
        </w:pBdr>
        <w:spacing w:after="120" w:line="240" w:lineRule="auto"/>
        <w:ind w:right="543"/>
        <w:rPr>
          <w:rFonts w:ascii="Arial" w:hAnsi="Arial" w:cs="Arial"/>
        </w:rPr>
      </w:pPr>
    </w:p>
    <w:p w14:paraId="31CC2DF2" w14:textId="77777777" w:rsidR="00441E76" w:rsidRPr="008745C3" w:rsidRDefault="009F5EA4" w:rsidP="009D52D0">
      <w:pPr>
        <w:spacing w:after="120" w:line="240" w:lineRule="auto"/>
        <w:ind w:right="543"/>
        <w:rPr>
          <w:rFonts w:ascii="Arial" w:hAnsi="Arial" w:cs="Arial"/>
          <w:b/>
        </w:rPr>
      </w:pPr>
      <w:r w:rsidRPr="008745C3">
        <w:rPr>
          <w:rFonts w:ascii="Arial" w:hAnsi="Arial" w:cs="Arial"/>
          <w:b/>
        </w:rPr>
        <w:t xml:space="preserve">DIVISIONAL </w:t>
      </w:r>
      <w:r w:rsidR="00441E76" w:rsidRPr="008745C3">
        <w:rPr>
          <w:rFonts w:ascii="Arial" w:hAnsi="Arial" w:cs="Arial"/>
          <w:b/>
        </w:rPr>
        <w:t>USE ONLY</w:t>
      </w:r>
      <w:r w:rsidR="00C612A8" w:rsidRPr="008745C3">
        <w:rPr>
          <w:rFonts w:ascii="Arial" w:hAnsi="Arial" w:cs="Arial"/>
          <w:b/>
        </w:rPr>
        <w:t xml:space="preserve"> </w:t>
      </w:r>
    </w:p>
    <w:p w14:paraId="010B6F31" w14:textId="359B19D8" w:rsidR="00D83563" w:rsidRPr="008745C3" w:rsidRDefault="00E1736E" w:rsidP="009D52D0">
      <w:pPr>
        <w:spacing w:after="120" w:line="240" w:lineRule="auto"/>
        <w:ind w:right="543"/>
        <w:rPr>
          <w:rFonts w:ascii="Arial" w:hAnsi="Arial" w:cs="Arial"/>
          <w:b/>
        </w:rPr>
      </w:pPr>
      <w:r w:rsidRPr="008745C3">
        <w:rPr>
          <w:rFonts w:ascii="Arial" w:hAnsi="Arial" w:cs="Arial"/>
          <w:b/>
        </w:rPr>
        <w:t xml:space="preserve">Module </w:t>
      </w:r>
      <w:r w:rsidR="00D83563" w:rsidRPr="008745C3">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9918" w:type="dxa"/>
        <w:tblLook w:val="04A0" w:firstRow="1" w:lastRow="0" w:firstColumn="1" w:lastColumn="0" w:noHBand="0" w:noVBand="1"/>
      </w:tblPr>
      <w:tblGrid>
        <w:gridCol w:w="1593"/>
        <w:gridCol w:w="1817"/>
        <w:gridCol w:w="2255"/>
        <w:gridCol w:w="2077"/>
        <w:gridCol w:w="2176"/>
      </w:tblGrid>
      <w:tr w:rsidR="00302082" w:rsidRPr="009D52D0" w14:paraId="52814657" w14:textId="77777777" w:rsidTr="00EF302F">
        <w:trPr>
          <w:trHeight w:val="317"/>
          <w:tblHeader/>
        </w:trPr>
        <w:tc>
          <w:tcPr>
            <w:tcW w:w="1593" w:type="dxa"/>
          </w:tcPr>
          <w:p w14:paraId="7BB88073" w14:textId="77777777" w:rsidR="00422B69" w:rsidRPr="008745C3" w:rsidRDefault="00422B69" w:rsidP="008745C3">
            <w:pPr>
              <w:spacing w:after="120"/>
              <w:rPr>
                <w:rFonts w:ascii="Arial" w:hAnsi="Arial" w:cs="Arial"/>
                <w:b/>
                <w:bCs/>
                <w:sz w:val="20"/>
                <w:szCs w:val="20"/>
              </w:rPr>
            </w:pPr>
            <w:r w:rsidRPr="008745C3">
              <w:rPr>
                <w:rFonts w:ascii="Arial" w:hAnsi="Arial" w:cs="Arial"/>
                <w:b/>
                <w:bCs/>
                <w:sz w:val="20"/>
                <w:szCs w:val="20"/>
              </w:rPr>
              <w:t>Date approved</w:t>
            </w:r>
          </w:p>
        </w:tc>
        <w:tc>
          <w:tcPr>
            <w:tcW w:w="1817" w:type="dxa"/>
          </w:tcPr>
          <w:p w14:paraId="7024BC64" w14:textId="0FBB34C4" w:rsidR="00422B69" w:rsidRPr="008745C3" w:rsidRDefault="00E1736E" w:rsidP="008745C3">
            <w:pPr>
              <w:spacing w:after="120"/>
              <w:rPr>
                <w:rFonts w:ascii="Arial" w:hAnsi="Arial" w:cs="Arial"/>
                <w:b/>
                <w:bCs/>
                <w:sz w:val="20"/>
                <w:szCs w:val="20"/>
              </w:rPr>
            </w:pPr>
            <w:r w:rsidRPr="008745C3">
              <w:rPr>
                <w:rFonts w:ascii="Arial" w:hAnsi="Arial" w:cs="Arial"/>
                <w:b/>
                <w:bCs/>
                <w:sz w:val="20"/>
                <w:szCs w:val="20"/>
              </w:rPr>
              <w:t>New/</w:t>
            </w:r>
            <w:r w:rsidR="00422B69" w:rsidRPr="008745C3">
              <w:rPr>
                <w:rFonts w:ascii="Arial" w:hAnsi="Arial" w:cs="Arial"/>
                <w:b/>
                <w:bCs/>
                <w:sz w:val="20"/>
                <w:szCs w:val="20"/>
              </w:rPr>
              <w:t>Major/</w:t>
            </w:r>
            <w:r w:rsidR="008745C3" w:rsidRPr="008745C3">
              <w:rPr>
                <w:rFonts w:ascii="Arial" w:hAnsi="Arial" w:cs="Arial"/>
                <w:b/>
                <w:bCs/>
                <w:sz w:val="20"/>
                <w:szCs w:val="20"/>
              </w:rPr>
              <w:t>M</w:t>
            </w:r>
            <w:r w:rsidR="00422B69" w:rsidRPr="008745C3">
              <w:rPr>
                <w:rFonts w:ascii="Arial" w:hAnsi="Arial" w:cs="Arial"/>
                <w:b/>
                <w:bCs/>
                <w:sz w:val="20"/>
                <w:szCs w:val="20"/>
              </w:rPr>
              <w:t>inor revision</w:t>
            </w:r>
          </w:p>
        </w:tc>
        <w:tc>
          <w:tcPr>
            <w:tcW w:w="2255" w:type="dxa"/>
          </w:tcPr>
          <w:p w14:paraId="4C5C2D42" w14:textId="10367DF0" w:rsidR="00422B69" w:rsidRPr="008745C3" w:rsidRDefault="00422B69" w:rsidP="008745C3">
            <w:pPr>
              <w:spacing w:after="120"/>
              <w:rPr>
                <w:rFonts w:ascii="Arial" w:hAnsi="Arial" w:cs="Arial"/>
                <w:b/>
                <w:bCs/>
                <w:sz w:val="20"/>
                <w:szCs w:val="20"/>
              </w:rPr>
            </w:pPr>
            <w:r w:rsidRPr="008745C3">
              <w:rPr>
                <w:rFonts w:ascii="Arial" w:hAnsi="Arial" w:cs="Arial"/>
                <w:b/>
                <w:bCs/>
                <w:sz w:val="20"/>
                <w:szCs w:val="20"/>
              </w:rPr>
              <w:t>Start date of</w:t>
            </w:r>
            <w:r w:rsidR="00710647" w:rsidRPr="008745C3">
              <w:rPr>
                <w:rFonts w:ascii="Arial" w:hAnsi="Arial" w:cs="Arial"/>
                <w:b/>
                <w:bCs/>
                <w:sz w:val="20"/>
                <w:szCs w:val="20"/>
              </w:rPr>
              <w:t xml:space="preserve"> </w:t>
            </w:r>
            <w:r w:rsidR="008745C3">
              <w:rPr>
                <w:rFonts w:ascii="Arial" w:hAnsi="Arial" w:cs="Arial"/>
                <w:b/>
                <w:bCs/>
                <w:sz w:val="20"/>
                <w:szCs w:val="20"/>
              </w:rPr>
              <w:t>d</w:t>
            </w:r>
            <w:r w:rsidR="00710647" w:rsidRPr="008745C3">
              <w:rPr>
                <w:rFonts w:ascii="Arial" w:hAnsi="Arial" w:cs="Arial"/>
                <w:b/>
                <w:bCs/>
                <w:sz w:val="20"/>
                <w:szCs w:val="20"/>
              </w:rPr>
              <w:t xml:space="preserve">elivery of </w:t>
            </w:r>
            <w:r w:rsidR="00E1736E" w:rsidRPr="008745C3">
              <w:rPr>
                <w:rFonts w:ascii="Arial" w:hAnsi="Arial" w:cs="Arial"/>
                <w:b/>
                <w:bCs/>
                <w:sz w:val="20"/>
                <w:szCs w:val="20"/>
              </w:rPr>
              <w:t>(</w:t>
            </w:r>
            <w:r w:rsidRPr="008745C3">
              <w:rPr>
                <w:rFonts w:ascii="Arial" w:hAnsi="Arial" w:cs="Arial"/>
                <w:b/>
                <w:bCs/>
                <w:sz w:val="20"/>
                <w:szCs w:val="20"/>
              </w:rPr>
              <w:t>revised</w:t>
            </w:r>
            <w:r w:rsidR="00E1736E" w:rsidRPr="008745C3">
              <w:rPr>
                <w:rFonts w:ascii="Arial" w:hAnsi="Arial" w:cs="Arial"/>
                <w:b/>
                <w:bCs/>
                <w:sz w:val="20"/>
                <w:szCs w:val="20"/>
              </w:rPr>
              <w:t>)</w:t>
            </w:r>
            <w:r w:rsidRPr="008745C3">
              <w:rPr>
                <w:rFonts w:ascii="Arial" w:hAnsi="Arial" w:cs="Arial"/>
                <w:b/>
                <w:bCs/>
                <w:sz w:val="20"/>
                <w:szCs w:val="20"/>
              </w:rPr>
              <w:t xml:space="preserve"> version</w:t>
            </w:r>
          </w:p>
        </w:tc>
        <w:tc>
          <w:tcPr>
            <w:tcW w:w="2077" w:type="dxa"/>
          </w:tcPr>
          <w:p w14:paraId="07410A3B" w14:textId="2976BC59" w:rsidR="00E1736E" w:rsidRPr="008745C3" w:rsidRDefault="00422B69" w:rsidP="008745C3">
            <w:pPr>
              <w:spacing w:after="120"/>
              <w:rPr>
                <w:rFonts w:ascii="Arial" w:hAnsi="Arial" w:cs="Arial"/>
                <w:b/>
                <w:bCs/>
                <w:sz w:val="20"/>
                <w:szCs w:val="20"/>
              </w:rPr>
            </w:pPr>
            <w:r w:rsidRPr="008745C3">
              <w:rPr>
                <w:rFonts w:ascii="Arial" w:hAnsi="Arial" w:cs="Arial"/>
                <w:b/>
                <w:bCs/>
                <w:sz w:val="20"/>
                <w:szCs w:val="20"/>
              </w:rPr>
              <w:t>Section revised</w:t>
            </w:r>
            <w:r w:rsidR="008745C3">
              <w:rPr>
                <w:rFonts w:ascii="Arial" w:hAnsi="Arial" w:cs="Arial"/>
                <w:b/>
                <w:bCs/>
                <w:sz w:val="20"/>
                <w:szCs w:val="20"/>
              </w:rPr>
              <w:t xml:space="preserve"> </w:t>
            </w:r>
            <w:r w:rsidR="00E1736E" w:rsidRPr="008745C3">
              <w:rPr>
                <w:rFonts w:ascii="Arial" w:hAnsi="Arial" w:cs="Arial"/>
                <w:b/>
                <w:bCs/>
                <w:sz w:val="20"/>
                <w:szCs w:val="20"/>
              </w:rPr>
              <w:t>(if applicable)</w:t>
            </w:r>
          </w:p>
        </w:tc>
        <w:tc>
          <w:tcPr>
            <w:tcW w:w="2176" w:type="dxa"/>
          </w:tcPr>
          <w:p w14:paraId="65323753" w14:textId="02A440EB" w:rsidR="00422B69" w:rsidRPr="008745C3" w:rsidRDefault="00422B69" w:rsidP="008745C3">
            <w:pPr>
              <w:spacing w:after="120"/>
              <w:rPr>
                <w:rFonts w:ascii="Arial" w:hAnsi="Arial" w:cs="Arial"/>
                <w:b/>
                <w:bCs/>
                <w:sz w:val="20"/>
                <w:szCs w:val="20"/>
              </w:rPr>
            </w:pPr>
            <w:r w:rsidRPr="008745C3">
              <w:rPr>
                <w:rFonts w:ascii="Arial" w:hAnsi="Arial" w:cs="Arial"/>
                <w:b/>
                <w:bCs/>
                <w:sz w:val="20"/>
                <w:szCs w:val="20"/>
              </w:rPr>
              <w:t>Impacts PLOs</w:t>
            </w:r>
            <w:r w:rsidR="00694309" w:rsidRPr="008745C3">
              <w:rPr>
                <w:rFonts w:ascii="Arial" w:hAnsi="Arial" w:cs="Arial"/>
                <w:b/>
                <w:bCs/>
                <w:sz w:val="20"/>
                <w:szCs w:val="20"/>
              </w:rPr>
              <w:t xml:space="preserve"> (</w:t>
            </w:r>
            <w:r w:rsidR="001A425B" w:rsidRPr="008745C3">
              <w:rPr>
                <w:rFonts w:ascii="Arial" w:hAnsi="Arial" w:cs="Arial"/>
                <w:b/>
                <w:bCs/>
                <w:sz w:val="20"/>
                <w:szCs w:val="20"/>
              </w:rPr>
              <w:t>Q6</w:t>
            </w:r>
            <w:r w:rsidR="00EF302F">
              <w:rPr>
                <w:rFonts w:ascii="Arial" w:hAnsi="Arial" w:cs="Arial"/>
                <w:b/>
                <w:bCs/>
                <w:sz w:val="20"/>
                <w:szCs w:val="20"/>
              </w:rPr>
              <w:t xml:space="preserve"> </w:t>
            </w:r>
            <w:r w:rsidR="001A425B" w:rsidRPr="008745C3">
              <w:rPr>
                <w:rFonts w:ascii="Arial" w:hAnsi="Arial" w:cs="Arial"/>
                <w:b/>
                <w:bCs/>
                <w:sz w:val="20"/>
                <w:szCs w:val="20"/>
              </w:rPr>
              <w:t>&amp;</w:t>
            </w:r>
            <w:r w:rsidR="00EF302F">
              <w:rPr>
                <w:rFonts w:ascii="Arial" w:hAnsi="Arial" w:cs="Arial"/>
                <w:b/>
                <w:bCs/>
                <w:sz w:val="20"/>
                <w:szCs w:val="20"/>
              </w:rPr>
              <w:t xml:space="preserve"> </w:t>
            </w:r>
            <w:r w:rsidR="001A425B" w:rsidRPr="008745C3">
              <w:rPr>
                <w:rFonts w:ascii="Arial" w:hAnsi="Arial" w:cs="Arial"/>
                <w:b/>
                <w:bCs/>
                <w:sz w:val="20"/>
                <w:szCs w:val="20"/>
              </w:rPr>
              <w:t>7 cover sheet)</w:t>
            </w:r>
          </w:p>
        </w:tc>
      </w:tr>
      <w:tr w:rsidR="00302082" w:rsidRPr="009D52D0" w14:paraId="29EF87B4" w14:textId="77777777" w:rsidTr="00EF302F">
        <w:trPr>
          <w:trHeight w:val="305"/>
        </w:trPr>
        <w:tc>
          <w:tcPr>
            <w:tcW w:w="1593" w:type="dxa"/>
          </w:tcPr>
          <w:p w14:paraId="4474539E" w14:textId="2AFD79F4" w:rsidR="00422B69" w:rsidRPr="009D52D0" w:rsidRDefault="00F6733E" w:rsidP="009D52D0">
            <w:pPr>
              <w:spacing w:after="120"/>
              <w:ind w:right="543"/>
              <w:rPr>
                <w:rFonts w:ascii="Arial" w:hAnsi="Arial" w:cs="Arial"/>
                <w:sz w:val="20"/>
                <w:szCs w:val="20"/>
              </w:rPr>
            </w:pPr>
            <w:r>
              <w:rPr>
                <w:rFonts w:ascii="Arial" w:hAnsi="Arial" w:cs="Arial"/>
                <w:sz w:val="20"/>
                <w:szCs w:val="20"/>
              </w:rPr>
              <w:t>17.11.22</w:t>
            </w:r>
          </w:p>
        </w:tc>
        <w:tc>
          <w:tcPr>
            <w:tcW w:w="1817" w:type="dxa"/>
          </w:tcPr>
          <w:p w14:paraId="3DB8B056" w14:textId="78FC8407" w:rsidR="00422B69" w:rsidRPr="009D52D0" w:rsidRDefault="00F6733E" w:rsidP="009D52D0">
            <w:pPr>
              <w:spacing w:after="120"/>
              <w:ind w:right="543"/>
              <w:rPr>
                <w:rFonts w:ascii="Arial" w:hAnsi="Arial" w:cs="Arial"/>
                <w:sz w:val="20"/>
                <w:szCs w:val="20"/>
              </w:rPr>
            </w:pPr>
            <w:r>
              <w:rPr>
                <w:rFonts w:ascii="Arial" w:hAnsi="Arial" w:cs="Arial"/>
                <w:sz w:val="20"/>
                <w:szCs w:val="20"/>
              </w:rPr>
              <w:t>New</w:t>
            </w:r>
          </w:p>
        </w:tc>
        <w:tc>
          <w:tcPr>
            <w:tcW w:w="2255" w:type="dxa"/>
          </w:tcPr>
          <w:p w14:paraId="7151A835" w14:textId="6FDB2E6E" w:rsidR="00422B69" w:rsidRPr="009D52D0" w:rsidRDefault="00F6733E" w:rsidP="009D52D0">
            <w:pPr>
              <w:spacing w:after="120"/>
              <w:ind w:right="543"/>
              <w:rPr>
                <w:rFonts w:ascii="Arial" w:hAnsi="Arial" w:cs="Arial"/>
                <w:sz w:val="20"/>
                <w:szCs w:val="20"/>
              </w:rPr>
            </w:pPr>
            <w:r>
              <w:rPr>
                <w:rFonts w:ascii="Arial" w:hAnsi="Arial" w:cs="Arial"/>
                <w:sz w:val="20"/>
                <w:szCs w:val="20"/>
              </w:rPr>
              <w:t>September 2023</w:t>
            </w:r>
          </w:p>
        </w:tc>
        <w:tc>
          <w:tcPr>
            <w:tcW w:w="2077" w:type="dxa"/>
          </w:tcPr>
          <w:p w14:paraId="64AEF8B4" w14:textId="77777777" w:rsidR="00422B69" w:rsidRPr="009D52D0" w:rsidRDefault="00422B69" w:rsidP="009D52D0">
            <w:pPr>
              <w:spacing w:after="120"/>
              <w:ind w:right="543"/>
              <w:rPr>
                <w:rFonts w:ascii="Arial" w:hAnsi="Arial" w:cs="Arial"/>
                <w:sz w:val="20"/>
                <w:szCs w:val="20"/>
              </w:rPr>
            </w:pPr>
          </w:p>
        </w:tc>
        <w:tc>
          <w:tcPr>
            <w:tcW w:w="2176"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EF302F">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7" w:type="dxa"/>
          </w:tcPr>
          <w:p w14:paraId="5BAFF0BB" w14:textId="77777777" w:rsidR="00422B69" w:rsidRPr="009D52D0" w:rsidRDefault="00422B69" w:rsidP="009D52D0">
            <w:pPr>
              <w:spacing w:after="120"/>
              <w:ind w:right="543"/>
              <w:rPr>
                <w:rFonts w:ascii="Arial" w:hAnsi="Arial" w:cs="Arial"/>
                <w:sz w:val="20"/>
                <w:szCs w:val="20"/>
              </w:rPr>
            </w:pPr>
          </w:p>
        </w:tc>
        <w:tc>
          <w:tcPr>
            <w:tcW w:w="2255" w:type="dxa"/>
          </w:tcPr>
          <w:p w14:paraId="07B30CA1" w14:textId="77777777" w:rsidR="00422B69" w:rsidRPr="009D52D0" w:rsidRDefault="00422B69" w:rsidP="009D52D0">
            <w:pPr>
              <w:spacing w:after="120"/>
              <w:ind w:right="543"/>
              <w:rPr>
                <w:rFonts w:ascii="Arial" w:hAnsi="Arial" w:cs="Arial"/>
                <w:sz w:val="20"/>
                <w:szCs w:val="20"/>
              </w:rPr>
            </w:pPr>
          </w:p>
        </w:tc>
        <w:tc>
          <w:tcPr>
            <w:tcW w:w="2077" w:type="dxa"/>
          </w:tcPr>
          <w:p w14:paraId="7AF83608" w14:textId="77777777" w:rsidR="00422B69" w:rsidRPr="009D52D0" w:rsidRDefault="00422B69" w:rsidP="009D52D0">
            <w:pPr>
              <w:spacing w:after="120"/>
              <w:ind w:right="543"/>
              <w:rPr>
                <w:rFonts w:ascii="Arial" w:hAnsi="Arial" w:cs="Arial"/>
                <w:sz w:val="20"/>
                <w:szCs w:val="20"/>
              </w:rPr>
            </w:pPr>
          </w:p>
        </w:tc>
        <w:tc>
          <w:tcPr>
            <w:tcW w:w="2176"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8745C3">
      <w:headerReference w:type="default" r:id="rId12"/>
      <w:footerReference w:type="default" r:id="rId13"/>
      <w:headerReference w:type="first" r:id="rId14"/>
      <w:footerReference w:type="first" r:id="rId15"/>
      <w:pgSz w:w="11906" w:h="16838" w:code="9"/>
      <w:pgMar w:top="720" w:right="1134" w:bottom="1134"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3B11" w14:textId="77777777" w:rsidR="00235137" w:rsidRDefault="00235137" w:rsidP="009A2D37">
      <w:pPr>
        <w:spacing w:after="0" w:line="240" w:lineRule="auto"/>
      </w:pPr>
      <w:r>
        <w:separator/>
      </w:r>
    </w:p>
  </w:endnote>
  <w:endnote w:type="continuationSeparator" w:id="0">
    <w:p w14:paraId="23512166" w14:textId="77777777" w:rsidR="00235137" w:rsidRDefault="00235137" w:rsidP="009A2D37">
      <w:pPr>
        <w:spacing w:after="0" w:line="240" w:lineRule="auto"/>
      </w:pPr>
      <w:r>
        <w:continuationSeparator/>
      </w:r>
    </w:p>
  </w:endnote>
  <w:endnote w:type="continuationNotice" w:id="1">
    <w:p w14:paraId="5BA6BDDC" w14:textId="77777777" w:rsidR="00235137" w:rsidRDefault="002351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756BB1">
          <w:rPr>
            <w:noProof/>
          </w:rPr>
          <w:t>6</w:t>
        </w:r>
        <w:r>
          <w:rPr>
            <w:noProof/>
          </w:rPr>
          <w:fldChar w:fldCharType="end"/>
        </w:r>
      </w:p>
    </w:sdtContent>
  </w:sdt>
  <w:p w14:paraId="26569854" w14:textId="3C0249A6" w:rsidR="008B2543" w:rsidRPr="007B7724" w:rsidRDefault="008B2543" w:rsidP="007F5053">
    <w:pPr>
      <w:spacing w:after="120" w:line="240" w:lineRule="auto"/>
      <w:ind w:left="567" w:right="543"/>
      <w:jc w:val="both"/>
      <w:rPr>
        <w:rFonts w:ascii="Arial" w:hAnsi="Arial"/>
        <w:sz w:val="18"/>
      </w:rPr>
    </w:pPr>
    <w:r w:rsidRPr="007B7724">
      <w:rPr>
        <w:rFonts w:ascii="Arial" w:hAnsi="Arial"/>
        <w:sz w:val="18"/>
      </w:rPr>
      <w:t>Module Specification</w:t>
    </w:r>
    <w:r w:rsidR="007F5053">
      <w:rPr>
        <w:rFonts w:ascii="Arial" w:hAnsi="Arial"/>
        <w:sz w:val="18"/>
      </w:rPr>
      <w:t xml:space="preserve">: </w:t>
    </w:r>
    <w:r w:rsidR="007F5053" w:rsidRPr="007F5053">
      <w:rPr>
        <w:rFonts w:ascii="Arial" w:hAnsi="Arial"/>
        <w:sz w:val="18"/>
      </w:rPr>
      <w:t>POLI6006 The Public in Politics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4D420B">
      <w:rPr>
        <w:noProof/>
      </w:rPr>
      <w:t>1</w:t>
    </w:r>
    <w:r>
      <w:rPr>
        <w:noProof/>
      </w:rPr>
      <w:fldChar w:fldCharType="end"/>
    </w:r>
  </w:p>
  <w:p w14:paraId="08119116" w14:textId="6422E71F"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w:t>
    </w:r>
    <w:r w:rsidR="00125087">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B0A2" w14:textId="77777777" w:rsidR="00235137" w:rsidRDefault="00235137" w:rsidP="009A2D37">
      <w:pPr>
        <w:spacing w:after="0" w:line="240" w:lineRule="auto"/>
      </w:pPr>
      <w:r>
        <w:separator/>
      </w:r>
    </w:p>
  </w:footnote>
  <w:footnote w:type="continuationSeparator" w:id="0">
    <w:p w14:paraId="5728EF25" w14:textId="77777777" w:rsidR="00235137" w:rsidRDefault="00235137" w:rsidP="009A2D37">
      <w:pPr>
        <w:spacing w:after="0" w:line="240" w:lineRule="auto"/>
      </w:pPr>
      <w:r>
        <w:continuationSeparator/>
      </w:r>
    </w:p>
  </w:footnote>
  <w:footnote w:type="continuationNotice" w:id="1">
    <w:p w14:paraId="23CE1A2B" w14:textId="77777777" w:rsidR="00235137" w:rsidRDefault="002351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4191E3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38A1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88A6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B63D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76C6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D107C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30BF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BA9F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243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B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09467F6B"/>
    <w:multiLevelType w:val="hybridMultilevel"/>
    <w:tmpl w:val="0B5AB8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4730FE8"/>
    <w:multiLevelType w:val="hybridMultilevel"/>
    <w:tmpl w:val="515CD0F8"/>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6AD4ABB4">
      <w:numFmt w:val="bullet"/>
      <w:lvlText w:val=""/>
      <w:lvlJc w:val="left"/>
      <w:pPr>
        <w:ind w:left="2340" w:hanging="360"/>
      </w:pPr>
      <w:rPr>
        <w:rFonts w:ascii="Symbol" w:eastAsiaTheme="minorEastAsia" w:hAnsi="Symbo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1174341618">
    <w:abstractNumId w:val="12"/>
  </w:num>
  <w:num w:numId="2" w16cid:durableId="770971700">
    <w:abstractNumId w:val="9"/>
  </w:num>
  <w:num w:numId="3" w16cid:durableId="1560432785">
    <w:abstractNumId w:val="13"/>
  </w:num>
  <w:num w:numId="4" w16cid:durableId="1324428168">
    <w:abstractNumId w:val="10"/>
  </w:num>
  <w:num w:numId="5" w16cid:durableId="1969968036">
    <w:abstractNumId w:val="18"/>
  </w:num>
  <w:num w:numId="6" w16cid:durableId="458767807">
    <w:abstractNumId w:val="16"/>
  </w:num>
  <w:num w:numId="7" w16cid:durableId="1942645178">
    <w:abstractNumId w:val="19"/>
  </w:num>
  <w:num w:numId="8" w16cid:durableId="1205370072">
    <w:abstractNumId w:val="17"/>
  </w:num>
  <w:num w:numId="9" w16cid:durableId="920260758">
    <w:abstractNumId w:val="14"/>
  </w:num>
  <w:num w:numId="10" w16cid:durableId="399791997">
    <w:abstractNumId w:val="15"/>
  </w:num>
  <w:num w:numId="11" w16cid:durableId="1282880039">
    <w:abstractNumId w:val="20"/>
  </w:num>
  <w:num w:numId="12" w16cid:durableId="379135231">
    <w:abstractNumId w:val="11"/>
  </w:num>
  <w:num w:numId="13" w16cid:durableId="1384061646">
    <w:abstractNumId w:val="7"/>
  </w:num>
  <w:num w:numId="14" w16cid:durableId="1078526379">
    <w:abstractNumId w:val="6"/>
  </w:num>
  <w:num w:numId="15" w16cid:durableId="1538201585">
    <w:abstractNumId w:val="5"/>
  </w:num>
  <w:num w:numId="16" w16cid:durableId="292103980">
    <w:abstractNumId w:val="4"/>
  </w:num>
  <w:num w:numId="17" w16cid:durableId="1686635384">
    <w:abstractNumId w:val="8"/>
  </w:num>
  <w:num w:numId="18" w16cid:durableId="1777677635">
    <w:abstractNumId w:val="3"/>
  </w:num>
  <w:num w:numId="19" w16cid:durableId="847018259">
    <w:abstractNumId w:val="2"/>
  </w:num>
  <w:num w:numId="20" w16cid:durableId="810364813">
    <w:abstractNumId w:val="1"/>
  </w:num>
  <w:num w:numId="21" w16cid:durableId="1230380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37"/>
    <w:rsid w:val="00000806"/>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3947"/>
    <w:rsid w:val="00094810"/>
    <w:rsid w:val="00094825"/>
    <w:rsid w:val="00096DA4"/>
    <w:rsid w:val="000A0E79"/>
    <w:rsid w:val="000C0294"/>
    <w:rsid w:val="000C3A7E"/>
    <w:rsid w:val="000C7A1C"/>
    <w:rsid w:val="000D2A8A"/>
    <w:rsid w:val="000D32AC"/>
    <w:rsid w:val="000E20C1"/>
    <w:rsid w:val="000E3B4F"/>
    <w:rsid w:val="000E3B73"/>
    <w:rsid w:val="000F6C56"/>
    <w:rsid w:val="000F7FBF"/>
    <w:rsid w:val="00106BE5"/>
    <w:rsid w:val="00110947"/>
    <w:rsid w:val="00111906"/>
    <w:rsid w:val="00111CB3"/>
    <w:rsid w:val="00117577"/>
    <w:rsid w:val="00117793"/>
    <w:rsid w:val="001206E4"/>
    <w:rsid w:val="001214D3"/>
    <w:rsid w:val="00121BFC"/>
    <w:rsid w:val="00125087"/>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5A66"/>
    <w:rsid w:val="001D6398"/>
    <w:rsid w:val="001E1F45"/>
    <w:rsid w:val="001E62C1"/>
    <w:rsid w:val="001F0779"/>
    <w:rsid w:val="001F3C3E"/>
    <w:rsid w:val="00201C5F"/>
    <w:rsid w:val="0020243A"/>
    <w:rsid w:val="00204081"/>
    <w:rsid w:val="0021578E"/>
    <w:rsid w:val="0022570F"/>
    <w:rsid w:val="00227582"/>
    <w:rsid w:val="002302FD"/>
    <w:rsid w:val="002308BE"/>
    <w:rsid w:val="00235137"/>
    <w:rsid w:val="002407C0"/>
    <w:rsid w:val="00240B83"/>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6888"/>
    <w:rsid w:val="002E71C0"/>
    <w:rsid w:val="002F05F4"/>
    <w:rsid w:val="002F0CE4"/>
    <w:rsid w:val="002F23EF"/>
    <w:rsid w:val="002F2626"/>
    <w:rsid w:val="00302082"/>
    <w:rsid w:val="00306620"/>
    <w:rsid w:val="003124F6"/>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42D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2A6"/>
    <w:rsid w:val="00497C98"/>
    <w:rsid w:val="004A39D7"/>
    <w:rsid w:val="004A3C23"/>
    <w:rsid w:val="004A55FA"/>
    <w:rsid w:val="004B5D03"/>
    <w:rsid w:val="004C1EC4"/>
    <w:rsid w:val="004D035C"/>
    <w:rsid w:val="004D420B"/>
    <w:rsid w:val="004F3C18"/>
    <w:rsid w:val="004F4328"/>
    <w:rsid w:val="005005E4"/>
    <w:rsid w:val="00500B56"/>
    <w:rsid w:val="00503F03"/>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1464"/>
    <w:rsid w:val="0058743D"/>
    <w:rsid w:val="00587BF7"/>
    <w:rsid w:val="00592034"/>
    <w:rsid w:val="0059477B"/>
    <w:rsid w:val="00596884"/>
    <w:rsid w:val="005A14B5"/>
    <w:rsid w:val="005B2F01"/>
    <w:rsid w:val="005B48E6"/>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3E95"/>
    <w:rsid w:val="00754069"/>
    <w:rsid w:val="00756BB1"/>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7F5053"/>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45C3"/>
    <w:rsid w:val="008778CB"/>
    <w:rsid w:val="00881545"/>
    <w:rsid w:val="00883204"/>
    <w:rsid w:val="00883A3E"/>
    <w:rsid w:val="0088428D"/>
    <w:rsid w:val="0089148D"/>
    <w:rsid w:val="00891E0D"/>
    <w:rsid w:val="008A0F36"/>
    <w:rsid w:val="008A1752"/>
    <w:rsid w:val="008B2543"/>
    <w:rsid w:val="008B4B6E"/>
    <w:rsid w:val="008D4447"/>
    <w:rsid w:val="008D7401"/>
    <w:rsid w:val="00903DF6"/>
    <w:rsid w:val="00921CF6"/>
    <w:rsid w:val="00922E9E"/>
    <w:rsid w:val="00924EF0"/>
    <w:rsid w:val="00934D7B"/>
    <w:rsid w:val="009430CE"/>
    <w:rsid w:val="009450FD"/>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0D71"/>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32CF"/>
    <w:rsid w:val="00BF51AB"/>
    <w:rsid w:val="00BF716B"/>
    <w:rsid w:val="00BF7233"/>
    <w:rsid w:val="00C02AA2"/>
    <w:rsid w:val="00C04C95"/>
    <w:rsid w:val="00C06E16"/>
    <w:rsid w:val="00C12613"/>
    <w:rsid w:val="00C16DEF"/>
    <w:rsid w:val="00C2492F"/>
    <w:rsid w:val="00C3744A"/>
    <w:rsid w:val="00C4002A"/>
    <w:rsid w:val="00C46912"/>
    <w:rsid w:val="00C47477"/>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213D"/>
    <w:rsid w:val="00D13357"/>
    <w:rsid w:val="00D13A13"/>
    <w:rsid w:val="00D2689A"/>
    <w:rsid w:val="00D65506"/>
    <w:rsid w:val="00D773CF"/>
    <w:rsid w:val="00D83563"/>
    <w:rsid w:val="00D8448F"/>
    <w:rsid w:val="00DA64B6"/>
    <w:rsid w:val="00DB2B91"/>
    <w:rsid w:val="00DB5C9D"/>
    <w:rsid w:val="00DC3CB1"/>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302F"/>
    <w:rsid w:val="00EF4933"/>
    <w:rsid w:val="00EF5044"/>
    <w:rsid w:val="00EF5DCE"/>
    <w:rsid w:val="00F01956"/>
    <w:rsid w:val="00F042FD"/>
    <w:rsid w:val="00F04D2D"/>
    <w:rsid w:val="00F06FE2"/>
    <w:rsid w:val="00F116CE"/>
    <w:rsid w:val="00F16F93"/>
    <w:rsid w:val="00F176DE"/>
    <w:rsid w:val="00F17B94"/>
    <w:rsid w:val="00F17FD6"/>
    <w:rsid w:val="00F21C47"/>
    <w:rsid w:val="00F244E2"/>
    <w:rsid w:val="00F311A2"/>
    <w:rsid w:val="00F317D7"/>
    <w:rsid w:val="00F340DE"/>
    <w:rsid w:val="00F34ED0"/>
    <w:rsid w:val="00F43542"/>
    <w:rsid w:val="00F44BAB"/>
    <w:rsid w:val="00F454E2"/>
    <w:rsid w:val="00F527CB"/>
    <w:rsid w:val="00F562AA"/>
    <w:rsid w:val="00F66975"/>
    <w:rsid w:val="00F6733E"/>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01CB4A4B"/>
    <w:rsid w:val="0296790D"/>
    <w:rsid w:val="0611E1CE"/>
    <w:rsid w:val="065D5240"/>
    <w:rsid w:val="0B24DFC8"/>
    <w:rsid w:val="0DB8990F"/>
    <w:rsid w:val="0FBDBDE4"/>
    <w:rsid w:val="157FF82A"/>
    <w:rsid w:val="162B30F9"/>
    <w:rsid w:val="1779EEE0"/>
    <w:rsid w:val="17B1C7D6"/>
    <w:rsid w:val="17CE2C61"/>
    <w:rsid w:val="1A01BCF0"/>
    <w:rsid w:val="1E94B238"/>
    <w:rsid w:val="2B2A2C04"/>
    <w:rsid w:val="2CC5FC65"/>
    <w:rsid w:val="2D7A211E"/>
    <w:rsid w:val="30D3F7DD"/>
    <w:rsid w:val="330E9CF4"/>
    <w:rsid w:val="39C0A11D"/>
    <w:rsid w:val="4131587E"/>
    <w:rsid w:val="4325421F"/>
    <w:rsid w:val="452509FB"/>
    <w:rsid w:val="46C90A5E"/>
    <w:rsid w:val="4786DED3"/>
    <w:rsid w:val="4AE49BB3"/>
    <w:rsid w:val="5135AC51"/>
    <w:rsid w:val="51AEE3B4"/>
    <w:rsid w:val="5358BAB4"/>
    <w:rsid w:val="57CDDE57"/>
    <w:rsid w:val="5D5DD6B3"/>
    <w:rsid w:val="5E24A56D"/>
    <w:rsid w:val="61DEE5E5"/>
    <w:rsid w:val="62E142CA"/>
    <w:rsid w:val="684F047E"/>
    <w:rsid w:val="69601DC6"/>
    <w:rsid w:val="727085F5"/>
    <w:rsid w:val="750CD99C"/>
    <w:rsid w:val="77ED49B6"/>
    <w:rsid w:val="7A10BF57"/>
    <w:rsid w:val="7F9DDE2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1D0648DA-F123-476F-91FC-B0B9FA29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5C3"/>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8745C3"/>
    <w:pPr>
      <w:spacing w:before="600"/>
      <w:ind w:left="454" w:right="0" w:hanging="454"/>
      <w:jc w:val="lef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8745C3"/>
    <w:pPr>
      <w:numPr>
        <w:numId w:val="2"/>
      </w:numPr>
      <w:spacing w:after="120" w:line="240" w:lineRule="auto"/>
      <w:ind w:left="1163" w:hanging="454"/>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8745C3"/>
    <w:rPr>
      <w:rFonts w:ascii="Arial" w:eastAsiaTheme="minorEastAsia" w:hAnsi="Arial" w:cs="Arial"/>
      <w:b/>
      <w:sz w:val="24"/>
      <w:szCs w:val="24"/>
      <w:lang w:eastAsia="en-GB"/>
    </w:rPr>
  </w:style>
  <w:style w:type="paragraph" w:styleId="Revision">
    <w:name w:val="Revision"/>
    <w:hidden/>
    <w:uiPriority w:val="99"/>
    <w:semiHidden/>
    <w:rsid w:val="007F5053"/>
    <w:pPr>
      <w:spacing w:after="0" w:line="240" w:lineRule="auto"/>
    </w:pPr>
    <w:rPr>
      <w:rFonts w:eastAsiaTheme="minorEastAsia"/>
      <w:lang w:eastAsia="en-GB"/>
    </w:rPr>
  </w:style>
  <w:style w:type="paragraph" w:styleId="BodyText">
    <w:name w:val="Body Text"/>
    <w:basedOn w:val="Normal"/>
    <w:link w:val="BodyTextChar"/>
    <w:uiPriority w:val="99"/>
    <w:unhideWhenUsed/>
    <w:rsid w:val="008745C3"/>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8745C3"/>
    <w:rPr>
      <w:rFonts w:ascii="Arial" w:eastAsiaTheme="minorEastAsia" w:hAnsi="Arial"/>
      <w:sz w:val="24"/>
      <w:lang w:eastAsia="en-GB"/>
    </w:rPr>
  </w:style>
  <w:style w:type="paragraph" w:styleId="ListNumber2">
    <w:name w:val="List Number 2"/>
    <w:basedOn w:val="Normal"/>
    <w:uiPriority w:val="99"/>
    <w:unhideWhenUsed/>
    <w:rsid w:val="008745C3"/>
    <w:pPr>
      <w:numPr>
        <w:numId w:val="18"/>
      </w:numPr>
      <w:spacing w:after="120" w:line="240" w:lineRule="auto"/>
      <w:ind w:left="1134" w:hanging="567"/>
    </w:pPr>
    <w:rPr>
      <w:rFonts w:ascii="Arial" w:hAnsi="Arial"/>
      <w:sz w:val="24"/>
    </w:rPr>
  </w:style>
  <w:style w:type="paragraph" w:styleId="Caption">
    <w:name w:val="caption"/>
    <w:basedOn w:val="Normal"/>
    <w:next w:val="Normal"/>
    <w:uiPriority w:val="35"/>
    <w:unhideWhenUsed/>
    <w:qFormat/>
    <w:rsid w:val="00EF302F"/>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41120744">
      <w:bodyDiv w:val="1"/>
      <w:marLeft w:val="0"/>
      <w:marRight w:val="0"/>
      <w:marTop w:val="0"/>
      <w:marBottom w:val="0"/>
      <w:divBdr>
        <w:top w:val="none" w:sz="0" w:space="0" w:color="auto"/>
        <w:left w:val="none" w:sz="0" w:space="0" w:color="auto"/>
        <w:bottom w:val="none" w:sz="0" w:space="0" w:color="auto"/>
        <w:right w:val="none" w:sz="0" w:space="0" w:color="auto"/>
      </w:divBdr>
      <w:divsChild>
        <w:div w:id="657659391">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3A62A-6D4D-4DA6-8A09-D3D2B5870B4D}"/>
</file>

<file path=customXml/itemProps2.xml><?xml version="1.0" encoding="utf-8"?>
<ds:datastoreItem xmlns:ds="http://schemas.openxmlformats.org/officeDocument/2006/customXml" ds:itemID="{AAA5964B-7304-411D-869B-886D8612D0DF}">
  <ds:schemaRefs>
    <ds:schemaRef ds:uri="http://schemas.microsoft.com/sharepoint/v3/contenttype/forms"/>
  </ds:schemaRefs>
</ds:datastoreItem>
</file>

<file path=customXml/itemProps3.xml><?xml version="1.0" encoding="utf-8"?>
<ds:datastoreItem xmlns:ds="http://schemas.openxmlformats.org/officeDocument/2006/customXml" ds:itemID="{9D2DE6FF-5BF3-431E-87D5-87A8F78D20DD}">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4.xml><?xml version="1.0" encoding="utf-8"?>
<ds:datastoreItem xmlns:ds="http://schemas.openxmlformats.org/officeDocument/2006/customXml" ds:itemID="{B143BD9C-DB27-412F-901E-36A5009E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2022-11-23T13:58:00Z</dcterms:created>
  <dcterms:modified xsi:type="dcterms:W3CDTF">2022-12-19T17:33:00Z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