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5F4FF8">
      <w:pPr>
        <w:pStyle w:val="Heading2"/>
      </w:pPr>
      <w:r>
        <w:t>KentVision Code and t</w:t>
      </w:r>
      <w:r w:rsidR="009A2D37" w:rsidRPr="00072357">
        <w:t>itle of the module</w:t>
      </w:r>
    </w:p>
    <w:p w14:paraId="4AE52586" w14:textId="302828F3" w:rsidR="009A2D37" w:rsidRPr="00694B52" w:rsidRDefault="006046D7" w:rsidP="00C76420">
      <w:pPr>
        <w:pStyle w:val="BodyText"/>
      </w:pPr>
      <w:r>
        <w:t>POLI5003 The Politics of China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2007035" w:rsidR="009A2D37" w:rsidRDefault="006046D7" w:rsidP="00C76420">
      <w:pPr>
        <w:pStyle w:val="BodyText"/>
      </w:pPr>
      <w:r>
        <w:t>Division of Human and Social Sciences, School of Politics and International Relations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2EE2ABD" w:rsidR="009A2D37" w:rsidRDefault="006046D7" w:rsidP="00C76420">
      <w:pPr>
        <w:pStyle w:val="BodyText"/>
      </w:pPr>
      <w:r>
        <w:t>Level 5</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EF232DE" w:rsidR="009A2D37" w:rsidRDefault="006046D7" w:rsidP="00C76420">
      <w:pPr>
        <w:pStyle w:val="BodyText"/>
      </w:pPr>
      <w: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65EB22E" w:rsidR="009A2D37" w:rsidRDefault="006046D7" w:rsidP="00C76420">
      <w:pPr>
        <w:pStyle w:val="BodyText"/>
      </w:pPr>
      <w: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3B78031A" w:rsidR="009A2D37" w:rsidRPr="006046D7" w:rsidRDefault="006046D7" w:rsidP="00C76420">
      <w:pPr>
        <w:pStyle w:val="BodyText"/>
        <w:rPr>
          <w:iCs/>
        </w:rPr>
      </w:pPr>
      <w:r w:rsidRPr="006046D7">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1A2C699" w:rsidR="009A2D37" w:rsidRPr="00C76420" w:rsidRDefault="00E1736E" w:rsidP="00C76420">
      <w:pPr>
        <w:pStyle w:val="BodyText"/>
        <w:rPr>
          <w:b/>
          <w:bCs/>
          <w:i/>
          <w:iCs/>
          <w:sz w:val="22"/>
        </w:rPr>
      </w:pPr>
      <w:r w:rsidRPr="00C76420">
        <w:rPr>
          <w:b/>
          <w:bCs/>
          <w:i/>
          <w:iCs/>
          <w:sz w:val="22"/>
        </w:rPr>
        <w:t>Compulsory to the following courses:</w:t>
      </w:r>
    </w:p>
    <w:p w14:paraId="6AC366CD" w14:textId="77777777" w:rsidR="006046D7" w:rsidRPr="0014448B" w:rsidRDefault="006046D7" w:rsidP="00C76420">
      <w:pPr>
        <w:pStyle w:val="ListBullet"/>
        <w:rPr>
          <w:rStyle w:val="normaltextrun"/>
          <w:rFonts w:eastAsia="Arial" w:cs="Arial"/>
          <w:color w:val="000000" w:themeColor="text1"/>
          <w:szCs w:val="24"/>
        </w:rPr>
      </w:pPr>
      <w:r w:rsidRPr="0014448B">
        <w:rPr>
          <w:rStyle w:val="normaltextrun"/>
          <w:rFonts w:eastAsia="Arial" w:cs="Arial"/>
          <w:color w:val="000000" w:themeColor="text1"/>
          <w:szCs w:val="24"/>
        </w:rPr>
        <w:t>BA in Politics and International Relations with a Year in the Asia-Pacific</w:t>
      </w:r>
    </w:p>
    <w:p w14:paraId="49396994" w14:textId="5D5D0F26" w:rsidR="00E1736E" w:rsidRPr="00C76420" w:rsidRDefault="00E1736E" w:rsidP="00C76420">
      <w:pPr>
        <w:pStyle w:val="BodyText"/>
        <w:spacing w:before="360"/>
        <w:rPr>
          <w:b/>
          <w:bCs/>
          <w:i/>
          <w:iCs/>
          <w:sz w:val="22"/>
        </w:rPr>
      </w:pPr>
      <w:r w:rsidRPr="00C76420">
        <w:rPr>
          <w:b/>
          <w:bCs/>
          <w:i/>
          <w:iCs/>
          <w:sz w:val="22"/>
        </w:rPr>
        <w:t>Optional to the following courses:</w:t>
      </w:r>
    </w:p>
    <w:p w14:paraId="23268250" w14:textId="77777777" w:rsidR="006046D7" w:rsidRPr="00C76420" w:rsidRDefault="006046D7" w:rsidP="00C76420">
      <w:pPr>
        <w:pStyle w:val="ListBullet"/>
      </w:pPr>
      <w:r w:rsidRPr="006046D7">
        <w:rPr>
          <w:rStyle w:val="normaltextrun"/>
          <w:rFonts w:eastAsia="Arial" w:cs="Arial"/>
          <w:color w:val="000000" w:themeColor="text1"/>
          <w:szCs w:val="24"/>
        </w:rPr>
        <w:t>BA (</w:t>
      </w:r>
      <w:r w:rsidRPr="00C76420">
        <w:t>Hons) Politics and International Relations </w:t>
      </w:r>
    </w:p>
    <w:p w14:paraId="6120C084" w14:textId="66F6BFBC" w:rsidR="006046D7" w:rsidRPr="00C76420" w:rsidRDefault="006046D7" w:rsidP="00C76420">
      <w:pPr>
        <w:pStyle w:val="ListBullet"/>
      </w:pPr>
      <w:r w:rsidRPr="00C76420">
        <w:t>BA (Hons) Politics and International Relations (Bi-</w:t>
      </w:r>
      <w:proofErr w:type="spellStart"/>
      <w:r w:rsidRPr="00C76420">
        <w:t>diplôme</w:t>
      </w:r>
      <w:proofErr w:type="spellEnd"/>
      <w:r w:rsidRPr="00C76420">
        <w:t>)  </w:t>
      </w:r>
    </w:p>
    <w:p w14:paraId="408683CF" w14:textId="77777777" w:rsidR="006046D7" w:rsidRPr="00C76420" w:rsidRDefault="006046D7" w:rsidP="00C76420">
      <w:pPr>
        <w:pStyle w:val="ListBullet"/>
      </w:pPr>
      <w:r w:rsidRPr="00C76420">
        <w:t>BA (Hons) Politics and International Relations with a Language </w:t>
      </w:r>
    </w:p>
    <w:p w14:paraId="037B7FB5" w14:textId="77777777" w:rsidR="006046D7" w:rsidRPr="00C76420" w:rsidRDefault="006046D7" w:rsidP="00C76420">
      <w:pPr>
        <w:pStyle w:val="ListBullet"/>
      </w:pPr>
      <w:r w:rsidRPr="00C76420">
        <w:t>BA (Hons) Politics and International Relations with a Placement Year  </w:t>
      </w:r>
    </w:p>
    <w:p w14:paraId="33DEFE9F" w14:textId="77777777" w:rsidR="006046D7" w:rsidRPr="00C76420" w:rsidRDefault="006046D7" w:rsidP="00C76420">
      <w:pPr>
        <w:pStyle w:val="ListBullet"/>
      </w:pPr>
      <w:r w:rsidRPr="00C76420">
        <w:t>BA (Hons) Politics and International Relations with a Foundation Year </w:t>
      </w:r>
    </w:p>
    <w:p w14:paraId="0CDAF8A0" w14:textId="77777777" w:rsidR="006046D7" w:rsidRPr="00C76420" w:rsidRDefault="006046D7" w:rsidP="00C76420">
      <w:pPr>
        <w:pStyle w:val="ListBullet"/>
      </w:pPr>
      <w:r w:rsidRPr="00C76420">
        <w:t>BA (Hons) Politics and International Relations with a Year in North America  </w:t>
      </w:r>
    </w:p>
    <w:p w14:paraId="4780C3F4" w14:textId="77777777" w:rsidR="006046D7" w:rsidRPr="00C76420" w:rsidRDefault="006046D7" w:rsidP="00C76420">
      <w:pPr>
        <w:pStyle w:val="ListBullet"/>
      </w:pPr>
      <w:r w:rsidRPr="00C76420">
        <w:t>BA (Hons) Politics and International Relations with a Year in Continental Europe </w:t>
      </w:r>
    </w:p>
    <w:p w14:paraId="31EA3977" w14:textId="77777777" w:rsidR="006046D7" w:rsidRPr="00C76420" w:rsidRDefault="006046D7" w:rsidP="00C76420">
      <w:pPr>
        <w:pStyle w:val="ListBullet"/>
      </w:pPr>
      <w:r w:rsidRPr="00C76420">
        <w:t>BA (Hons) Politics and International Relations with Quantitative Research  </w:t>
      </w:r>
    </w:p>
    <w:p w14:paraId="01AB4B33" w14:textId="1AED93E6" w:rsidR="006046D7" w:rsidRPr="00C76420" w:rsidRDefault="006046D7" w:rsidP="00C76420">
      <w:pPr>
        <w:pStyle w:val="ListBullet"/>
      </w:pPr>
      <w:r w:rsidRPr="00C76420">
        <w:t>BA (Hons) Politics and International Relations with Quantitative Research With a Placement Year </w:t>
      </w:r>
    </w:p>
    <w:p w14:paraId="23708326" w14:textId="274F909C" w:rsidR="006046D7" w:rsidRPr="00C76420" w:rsidRDefault="006046D7" w:rsidP="00C76420">
      <w:pPr>
        <w:pStyle w:val="ListBullet"/>
      </w:pPr>
      <w:r w:rsidRPr="00C76420">
        <w:t>BA (Hons) Economics and Politics </w:t>
      </w:r>
    </w:p>
    <w:p w14:paraId="2E64154F" w14:textId="77777777" w:rsidR="006046D7" w:rsidRPr="0014448B" w:rsidRDefault="006046D7" w:rsidP="00C76420">
      <w:pPr>
        <w:pStyle w:val="ListBullet"/>
        <w:rPr>
          <w:rStyle w:val="normaltextrun"/>
        </w:rPr>
      </w:pPr>
      <w:r w:rsidRPr="00C76420">
        <w:t>BA (Hons) Philosophy</w:t>
      </w:r>
      <w:r w:rsidRPr="0014448B">
        <w:rPr>
          <w:rStyle w:val="normaltextrun"/>
          <w:rFonts w:eastAsia="Arial" w:cs="Arial"/>
          <w:color w:val="000000" w:themeColor="text1"/>
          <w:szCs w:val="24"/>
        </w:rPr>
        <w:t xml:space="preserve"> and Politics</w:t>
      </w:r>
    </w:p>
    <w:p w14:paraId="509253A3" w14:textId="77777777" w:rsidR="006046D7" w:rsidRPr="00C76420" w:rsidRDefault="006046D7" w:rsidP="00C76420">
      <w:pPr>
        <w:pStyle w:val="ListBullet"/>
      </w:pPr>
      <w:r w:rsidRPr="0014448B">
        <w:rPr>
          <w:rStyle w:val="normaltextrun"/>
          <w:rFonts w:eastAsia="Arial" w:cs="Arial"/>
          <w:color w:val="000000" w:themeColor="text1"/>
          <w:szCs w:val="24"/>
        </w:rPr>
        <w:lastRenderedPageBreak/>
        <w:t>BA (</w:t>
      </w:r>
      <w:r w:rsidRPr="00C76420">
        <w:t>Hons) History and Politics</w:t>
      </w:r>
    </w:p>
    <w:p w14:paraId="3693092A" w14:textId="77777777" w:rsidR="006046D7" w:rsidRPr="006046D7" w:rsidRDefault="006046D7" w:rsidP="00C76420">
      <w:pPr>
        <w:pStyle w:val="ListBullet"/>
        <w:rPr>
          <w:rStyle w:val="normaltextrun"/>
          <w:rFonts w:eastAsia="Arial" w:cs="Arial"/>
          <w:color w:val="000000" w:themeColor="text1"/>
          <w:szCs w:val="24"/>
        </w:rPr>
      </w:pPr>
      <w:r w:rsidRPr="00C76420">
        <w:t>BA (Hon</w:t>
      </w:r>
      <w:r w:rsidRPr="0014448B">
        <w:rPr>
          <w:rStyle w:val="normaltextrun"/>
          <w:rFonts w:eastAsia="Arial" w:cs="Arial"/>
          <w:color w:val="000000" w:themeColor="text1"/>
          <w:szCs w:val="24"/>
        </w:rPr>
        <w:t>s) Sociology and Politics</w:t>
      </w:r>
      <w:r w:rsidRPr="0014448B">
        <w:rPr>
          <w:rStyle w:val="normaltextrun"/>
          <w:rFonts w:eastAsia="Arial"/>
          <w:color w:val="000000" w:themeColor="text1"/>
        </w:rPr>
        <w:t xml:space="preserve"> </w:t>
      </w:r>
    </w:p>
    <w:p w14:paraId="28CC1478" w14:textId="6915E2A8" w:rsidR="00694B52" w:rsidRPr="00694B52" w:rsidRDefault="00E1736E" w:rsidP="00C76420">
      <w:pPr>
        <w:pStyle w:val="BodyText"/>
        <w:spacing w:before="360"/>
      </w:pPr>
      <w:r>
        <w:t>Also available as an elective module</w:t>
      </w:r>
      <w:r w:rsidR="006046D7">
        <w:t xml:space="preserve"> and to short term credit students</w:t>
      </w:r>
    </w:p>
    <w:p w14:paraId="3839F6AB" w14:textId="3901587A" w:rsidR="009A2D37" w:rsidRDefault="009A2D37" w:rsidP="00C76420">
      <w:pPr>
        <w:pStyle w:val="Heading2"/>
        <w:spacing w:before="600"/>
        <w:ind w:right="544"/>
        <w:jc w:val="left"/>
      </w:pPr>
      <w:r w:rsidRPr="009D52D0">
        <w:t>The intended subject specific learning outcomes</w:t>
      </w:r>
      <w:r w:rsidR="00C729D7" w:rsidRPr="009D52D0">
        <w:t>.</w:t>
      </w:r>
      <w:r w:rsidR="00C729D7" w:rsidRPr="009D52D0">
        <w:br/>
        <w:t>On successfully completing the module students will be able to:</w:t>
      </w:r>
    </w:p>
    <w:p w14:paraId="7B43B646" w14:textId="59C1F29A" w:rsidR="00C664D3" w:rsidRPr="008A1A4E" w:rsidRDefault="00C664D3" w:rsidP="00C664D3">
      <w:pPr>
        <w:pStyle w:val="ListNumber2"/>
      </w:pPr>
      <w:r>
        <w:t>8.1</w:t>
      </w:r>
      <w:r>
        <w:tab/>
      </w:r>
      <w:r w:rsidRPr="00C664D3">
        <w:t>Understand the influence of revolutions on the evolution of China’s political institutions</w:t>
      </w:r>
    </w:p>
    <w:p w14:paraId="6FB483A7" w14:textId="0084E43A" w:rsidR="00C664D3" w:rsidRDefault="00C664D3" w:rsidP="00C664D3">
      <w:pPr>
        <w:pStyle w:val="ListNumber2"/>
      </w:pPr>
      <w:r w:rsidRPr="008A1A4E">
        <w:t>8.2</w:t>
      </w:r>
      <w:r w:rsidRPr="008A1A4E">
        <w:tab/>
      </w:r>
      <w:r w:rsidRPr="00C664D3">
        <w:t>Understand the predominant role of the Communist Party in ruling the country</w:t>
      </w:r>
    </w:p>
    <w:p w14:paraId="7B2B90FB" w14:textId="0534363A" w:rsidR="00C664D3" w:rsidRDefault="00C664D3" w:rsidP="00C664D3">
      <w:pPr>
        <w:pStyle w:val="ListNumber2"/>
      </w:pPr>
      <w:r>
        <w:t>8.3</w:t>
      </w:r>
      <w:r>
        <w:tab/>
      </w:r>
      <w:r w:rsidRPr="00C664D3">
        <w:t>Analyse the pressing issues challenging the country in its path to development</w:t>
      </w:r>
    </w:p>
    <w:p w14:paraId="5165DC00" w14:textId="3F11088B" w:rsidR="00C664D3" w:rsidRDefault="00C664D3" w:rsidP="00C664D3">
      <w:pPr>
        <w:pStyle w:val="ListNumber2"/>
      </w:pPr>
      <w:r>
        <w:t>8.4</w:t>
      </w:r>
      <w:r>
        <w:tab/>
      </w:r>
      <w:r w:rsidRPr="00C664D3">
        <w:t>Understand China’s importance as a political power and a rising economic power in the emerging post-Cold War global order</w:t>
      </w:r>
    </w:p>
    <w:p w14:paraId="6864C71B" w14:textId="3DEA8FC9" w:rsidR="00C664D3" w:rsidRDefault="00C664D3" w:rsidP="00C664D3">
      <w:pPr>
        <w:pStyle w:val="ListNumber2"/>
      </w:pPr>
      <w:r>
        <w:t xml:space="preserve">8.5  </w:t>
      </w:r>
      <w:r w:rsidRPr="00C664D3">
        <w:t>Use the knowledge earned from the study of China to inform comparative political studies.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1B9F90E4" w14:textId="44677AAD" w:rsidR="006046D7" w:rsidRPr="006046D7" w:rsidRDefault="006046D7" w:rsidP="00C76420">
      <w:pPr>
        <w:pStyle w:val="ListNumber2"/>
        <w:rPr>
          <w:b/>
          <w:lang w:eastAsia="zh-CN"/>
        </w:rPr>
      </w:pPr>
      <w:r w:rsidRPr="006046D7">
        <w:t>9.1</w:t>
      </w:r>
      <w:r w:rsidR="00C76420">
        <w:tab/>
      </w:r>
      <w:r w:rsidRPr="006046D7">
        <w:t>Engage critically with political phenomena, including the vocabulary, concepts, theories and methods of political debate</w:t>
      </w:r>
    </w:p>
    <w:p w14:paraId="53863E30" w14:textId="50DA21D4" w:rsidR="006046D7" w:rsidRPr="006046D7" w:rsidRDefault="006046D7" w:rsidP="00C76420">
      <w:pPr>
        <w:pStyle w:val="ListNumber2"/>
        <w:rPr>
          <w:b/>
        </w:rPr>
      </w:pPr>
      <w:r w:rsidRPr="006046D7">
        <w:t>9.2</w:t>
      </w:r>
      <w:r w:rsidR="00C76420">
        <w:tab/>
      </w:r>
      <w:r w:rsidRPr="006046D7">
        <w:t>Examine and evaluate different interpretations of political issues, events and solutions to problems</w:t>
      </w:r>
    </w:p>
    <w:p w14:paraId="600C9C97" w14:textId="5B5099D5" w:rsidR="006046D7" w:rsidRPr="006046D7" w:rsidRDefault="006046D7" w:rsidP="00C76420">
      <w:pPr>
        <w:pStyle w:val="ListNumber2"/>
        <w:rPr>
          <w:b/>
        </w:rPr>
      </w:pPr>
      <w:r w:rsidRPr="006046D7">
        <w:t>9.3</w:t>
      </w:r>
      <w:r w:rsidR="00C76420">
        <w:tab/>
      </w:r>
      <w:r w:rsidRPr="006046D7">
        <w:t>Develop reasoned arguments, synthesise relevant information and exercise critical judgement</w:t>
      </w:r>
    </w:p>
    <w:p w14:paraId="5EE02EEF" w14:textId="7087FF7E" w:rsidR="006046D7" w:rsidRPr="006046D7" w:rsidRDefault="006046D7" w:rsidP="00C76420">
      <w:pPr>
        <w:pStyle w:val="ListNumber2"/>
        <w:rPr>
          <w:b/>
        </w:rPr>
      </w:pPr>
      <w:r w:rsidRPr="006046D7">
        <w:t>9.4</w:t>
      </w:r>
      <w:r w:rsidR="00F4043C">
        <w:tab/>
      </w:r>
      <w:r w:rsidRPr="006046D7">
        <w:t>Reflect on and manage their own learning and seek to make use of constructive feedback from peers and staff</w:t>
      </w:r>
    </w:p>
    <w:p w14:paraId="59757E1C" w14:textId="4E0A1613" w:rsidR="006046D7" w:rsidRPr="006046D7" w:rsidRDefault="006046D7" w:rsidP="00C76420">
      <w:pPr>
        <w:pStyle w:val="ListNumber2"/>
        <w:rPr>
          <w:b/>
        </w:rPr>
      </w:pPr>
      <w:r w:rsidRPr="006046D7">
        <w:t>9.5</w:t>
      </w:r>
      <w:r w:rsidR="00F4043C">
        <w:tab/>
      </w:r>
      <w:r w:rsidRPr="006046D7">
        <w:t>Communicate ideas and factual information effectively and fluently</w:t>
      </w:r>
    </w:p>
    <w:p w14:paraId="31D8601B" w14:textId="683E2600" w:rsidR="00273CF0" w:rsidRPr="00C664D3" w:rsidRDefault="006046D7" w:rsidP="00C76420">
      <w:pPr>
        <w:pStyle w:val="ListNumber2"/>
        <w:rPr>
          <w:b/>
        </w:rPr>
      </w:pPr>
      <w:r w:rsidRPr="006046D7">
        <w:t>9.6</w:t>
      </w:r>
      <w:r w:rsidR="00F4043C">
        <w:tab/>
      </w:r>
      <w:r w:rsidRPr="006046D7">
        <w:t>Work independently, demonstrating initiative, self-organisation and time-management</w:t>
      </w:r>
      <w:r w:rsidR="00C76420">
        <w: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B3E382E" w14:textId="56AD10AC" w:rsidR="006046D7" w:rsidRPr="006046D7" w:rsidRDefault="006046D7" w:rsidP="00D424E5">
      <w:pPr>
        <w:pStyle w:val="BodyText"/>
        <w:rPr>
          <w:b/>
          <w:lang w:eastAsia="zh-TW"/>
        </w:rPr>
      </w:pPr>
      <w:r w:rsidRPr="006046D7">
        <w:rPr>
          <w:lang w:eastAsia="en-US"/>
        </w:rPr>
        <w:t xml:space="preserve">This module aims to provide students with a </w:t>
      </w:r>
      <w:r w:rsidRPr="006046D7">
        <w:rPr>
          <w:lang w:eastAsia="zh-TW"/>
        </w:rPr>
        <w:t>critical introduction and review of China’s political development from 1949 to today.</w:t>
      </w:r>
      <w:r w:rsidRPr="006046D7">
        <w:rPr>
          <w:color w:val="000000"/>
        </w:rPr>
        <w:t xml:space="preserve"> </w:t>
      </w:r>
      <w:r w:rsidRPr="006046D7">
        <w:rPr>
          <w:lang w:eastAsia="zh-TW"/>
        </w:rPr>
        <w:t>This module is designed around two core blocks of study</w:t>
      </w:r>
      <w:r w:rsidR="00D47966">
        <w:rPr>
          <w:lang w:eastAsia="zh-TW"/>
        </w:rPr>
        <w:t>:</w:t>
      </w:r>
    </w:p>
    <w:p w14:paraId="26F6C46B" w14:textId="257D5434" w:rsidR="006046D7" w:rsidRPr="006046D7" w:rsidRDefault="006046D7" w:rsidP="00D424E5">
      <w:pPr>
        <w:pStyle w:val="BodyText"/>
        <w:rPr>
          <w:b/>
          <w:lang w:eastAsia="zh-TW"/>
        </w:rPr>
      </w:pPr>
      <w:r w:rsidRPr="006046D7">
        <w:rPr>
          <w:lang w:eastAsia="zh-TW"/>
        </w:rPr>
        <w:t xml:space="preserve">The first block looks at China’s principal political institutions. They include the Communist Party, the government (State Council), the legislature (the National People’s Congress) and the military (the People’s Liberation Army). </w:t>
      </w:r>
    </w:p>
    <w:p w14:paraId="63DA112A" w14:textId="436579F2" w:rsidR="006046D7" w:rsidRPr="006046D7" w:rsidRDefault="006046D7" w:rsidP="00D424E5">
      <w:pPr>
        <w:pStyle w:val="BodyText"/>
        <w:rPr>
          <w:b/>
          <w:lang w:eastAsia="zh-TW"/>
        </w:rPr>
      </w:pPr>
      <w:r w:rsidRPr="006046D7">
        <w:rPr>
          <w:lang w:eastAsia="zh-TW"/>
        </w:rPr>
        <w:t xml:space="preserve">The second block examines the socio-political issues and challenges the country is facing in its ongoing development. They range from the prospect of democratisation, the growth of civil society,  environmental degradation and public health policy, corruption, </w:t>
      </w:r>
      <w:r w:rsidRPr="006046D7">
        <w:rPr>
          <w:lang w:eastAsia="zh-TW"/>
        </w:rPr>
        <w:lastRenderedPageBreak/>
        <w:t>tensions with ethnic minorities nationalism and national reunification with Taiwan, irredentism and territorial disputes with neighbouring countries,</w:t>
      </w:r>
      <w:r w:rsidRPr="006046D7">
        <w:rPr>
          <w:color w:val="000000"/>
          <w:sz w:val="27"/>
          <w:szCs w:val="27"/>
        </w:rPr>
        <w:t>.</w:t>
      </w:r>
      <w:r w:rsidRPr="006046D7">
        <w:rPr>
          <w:lang w:eastAsia="zh-TW"/>
        </w:rPr>
        <w:t xml:space="preserve"> China’s Belt and Road Initiative (BRI) and the ‘new Cold War’ between China and the United States.</w:t>
      </w:r>
    </w:p>
    <w:p w14:paraId="56A41831" w14:textId="66B1083F" w:rsidR="009A2D37" w:rsidRPr="00C664D3" w:rsidRDefault="006046D7" w:rsidP="00D424E5">
      <w:pPr>
        <w:pStyle w:val="BodyText"/>
        <w:rPr>
          <w:b/>
          <w:iCs/>
        </w:rPr>
      </w:pPr>
      <w:r w:rsidRPr="006046D7">
        <w:rPr>
          <w:lang w:eastAsia="zh-TW"/>
        </w:rPr>
        <w:t>A theme running through various lectures of this module is to ask why post-Mao China has performed better than many other authoritarian regimes in achieving both economic growth and political stability and acquiring international influence, even though China faces numerous mounting development challenges and remains authoritarian.</w:t>
      </w:r>
    </w:p>
    <w:p w14:paraId="05E3877E" w14:textId="77777777" w:rsidR="00636058" w:rsidRDefault="00883204" w:rsidP="00D424E5">
      <w:pPr>
        <w:pStyle w:val="Heading2"/>
        <w:spacing w:before="600"/>
        <w:ind w:right="544"/>
      </w:pPr>
      <w:r w:rsidRPr="009D52D0">
        <w:t>Reading l</w:t>
      </w:r>
      <w:r w:rsidR="009A2D37" w:rsidRPr="009D52D0">
        <w:t xml:space="preserve">ist </w:t>
      </w:r>
    </w:p>
    <w:p w14:paraId="6574CE52" w14:textId="4D1C00BF" w:rsidR="00636058" w:rsidRDefault="00636058" w:rsidP="00D424E5">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D424E5">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3F70CAF" w:rsidR="00636058" w:rsidRPr="00636058" w:rsidRDefault="00636058" w:rsidP="00D424E5">
      <w:pPr>
        <w:pStyle w:val="BodyText"/>
      </w:pPr>
      <w:r w:rsidRPr="00636058">
        <w:t>Private Study</w:t>
      </w:r>
      <w:r w:rsidR="00D424E5">
        <w:tab/>
      </w:r>
      <w:r w:rsidR="00D47966">
        <w:t>128</w:t>
      </w:r>
    </w:p>
    <w:p w14:paraId="3BE5E6D9" w14:textId="40DF9751" w:rsidR="00636058" w:rsidRPr="00636058" w:rsidRDefault="00636058" w:rsidP="00D424E5">
      <w:pPr>
        <w:pStyle w:val="BodyText"/>
      </w:pPr>
      <w:r w:rsidRPr="00636058">
        <w:t>Contact Hours</w:t>
      </w:r>
      <w:r w:rsidR="007A3F31">
        <w:t>:</w:t>
      </w:r>
      <w:r w:rsidR="00D424E5">
        <w:t xml:space="preserve">  </w:t>
      </w:r>
      <w:r w:rsidR="00D47966">
        <w:t>22</w:t>
      </w:r>
    </w:p>
    <w:p w14:paraId="260000FF" w14:textId="55510866" w:rsidR="00636058" w:rsidRPr="00636058" w:rsidRDefault="00636058" w:rsidP="00D424E5">
      <w:pPr>
        <w:pStyle w:val="BodyText"/>
      </w:pPr>
      <w:r w:rsidRPr="00636058">
        <w:t>Total</w:t>
      </w:r>
      <w:r w:rsidR="007A3F31">
        <w:t>:</w:t>
      </w:r>
      <w:r w:rsidR="00D424E5">
        <w:tab/>
      </w:r>
      <w:r w:rsidR="00D424E5">
        <w:tab/>
      </w:r>
      <w:r w:rsidR="00D47966">
        <w:t>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D424E5">
      <w:pPr>
        <w:pStyle w:val="header2"/>
        <w:numPr>
          <w:ilvl w:val="1"/>
          <w:numId w:val="11"/>
        </w:numPr>
        <w:ind w:left="567" w:hanging="567"/>
        <w:rPr>
          <w:b w:val="0"/>
          <w:bCs/>
          <w:i/>
          <w:iCs/>
        </w:rPr>
      </w:pPr>
      <w:r w:rsidRPr="00B2615D">
        <w:rPr>
          <w:b w:val="0"/>
          <w:bCs/>
          <w:iCs/>
        </w:rPr>
        <w:t>Main assessment methods</w:t>
      </w:r>
    </w:p>
    <w:p w14:paraId="603BE617" w14:textId="094AC96A" w:rsidR="003F3578" w:rsidRDefault="00D47966" w:rsidP="00D424E5">
      <w:pPr>
        <w:pStyle w:val="BodyText"/>
      </w:pPr>
      <w:r>
        <w:t>Essay (2500 words) 50%</w:t>
      </w:r>
    </w:p>
    <w:p w14:paraId="151D9ECF" w14:textId="708BA498" w:rsidR="00D47966" w:rsidRDefault="00D47966" w:rsidP="00D424E5">
      <w:pPr>
        <w:pStyle w:val="BodyText"/>
      </w:pPr>
      <w:r>
        <w:t>Exam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FBFF8CB"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.2</w:t>
      </w:r>
      <w:r w:rsidR="00D424E5">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2B840A9" w:rsidR="00B72470" w:rsidRDefault="0082561E" w:rsidP="00D424E5">
      <w:pPr>
        <w:pStyle w:val="BodyText"/>
      </w:pPr>
      <w: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D424E5">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457" w:type="dxa"/>
        <w:tblInd w:w="610" w:type="dxa"/>
        <w:tblLayout w:type="fixed"/>
        <w:tblLook w:val="04A0" w:firstRow="1" w:lastRow="0" w:firstColumn="1" w:lastColumn="0" w:noHBand="0" w:noVBand="1"/>
      </w:tblPr>
      <w:tblGrid>
        <w:gridCol w:w="2439"/>
        <w:gridCol w:w="601"/>
        <w:gridCol w:w="602"/>
        <w:gridCol w:w="602"/>
        <w:gridCol w:w="602"/>
        <w:gridCol w:w="602"/>
        <w:gridCol w:w="601"/>
        <w:gridCol w:w="602"/>
        <w:gridCol w:w="602"/>
        <w:gridCol w:w="602"/>
        <w:gridCol w:w="602"/>
      </w:tblGrid>
      <w:tr w:rsidR="00636058" w:rsidRPr="009D52D0" w14:paraId="5413EC92" w14:textId="77777777" w:rsidTr="00D424E5">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01" w:type="dxa"/>
          </w:tcPr>
          <w:p w14:paraId="6167848F"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8.1</w:t>
            </w:r>
          </w:p>
        </w:tc>
        <w:tc>
          <w:tcPr>
            <w:tcW w:w="602" w:type="dxa"/>
          </w:tcPr>
          <w:p w14:paraId="5B554168"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8.2</w:t>
            </w:r>
          </w:p>
        </w:tc>
        <w:tc>
          <w:tcPr>
            <w:tcW w:w="602" w:type="dxa"/>
          </w:tcPr>
          <w:p w14:paraId="70BB1C5A"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8.3</w:t>
            </w:r>
          </w:p>
        </w:tc>
        <w:tc>
          <w:tcPr>
            <w:tcW w:w="602" w:type="dxa"/>
          </w:tcPr>
          <w:p w14:paraId="553BA646"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8.4</w:t>
            </w:r>
          </w:p>
        </w:tc>
        <w:tc>
          <w:tcPr>
            <w:tcW w:w="602" w:type="dxa"/>
          </w:tcPr>
          <w:p w14:paraId="6C66B5C0"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8.5</w:t>
            </w:r>
          </w:p>
        </w:tc>
        <w:tc>
          <w:tcPr>
            <w:tcW w:w="601" w:type="dxa"/>
          </w:tcPr>
          <w:p w14:paraId="3B577D4A"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9.1</w:t>
            </w:r>
          </w:p>
        </w:tc>
        <w:tc>
          <w:tcPr>
            <w:tcW w:w="602" w:type="dxa"/>
          </w:tcPr>
          <w:p w14:paraId="266E4126"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9.2</w:t>
            </w:r>
          </w:p>
        </w:tc>
        <w:tc>
          <w:tcPr>
            <w:tcW w:w="602" w:type="dxa"/>
          </w:tcPr>
          <w:p w14:paraId="6EC60A4C"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9.3</w:t>
            </w:r>
          </w:p>
        </w:tc>
        <w:tc>
          <w:tcPr>
            <w:tcW w:w="602" w:type="dxa"/>
          </w:tcPr>
          <w:p w14:paraId="3E85E7FE"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9.4</w:t>
            </w:r>
          </w:p>
        </w:tc>
        <w:tc>
          <w:tcPr>
            <w:tcW w:w="602" w:type="dxa"/>
          </w:tcPr>
          <w:p w14:paraId="3221C1C8"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9.5</w:t>
            </w:r>
          </w:p>
        </w:tc>
      </w:tr>
      <w:tr w:rsidR="00D47966" w:rsidRPr="009D52D0" w14:paraId="780DC4A5" w14:textId="77777777" w:rsidTr="00D424E5">
        <w:tc>
          <w:tcPr>
            <w:tcW w:w="2439" w:type="dxa"/>
          </w:tcPr>
          <w:p w14:paraId="16F79E00" w14:textId="77777777" w:rsidR="00D47966" w:rsidRPr="009D52D0" w:rsidRDefault="00D47966" w:rsidP="00D47966">
            <w:pPr>
              <w:spacing w:after="120"/>
              <w:ind w:right="543"/>
              <w:rPr>
                <w:rFonts w:ascii="Arial" w:hAnsi="Arial" w:cs="Arial"/>
                <w:b/>
                <w:sz w:val="20"/>
                <w:szCs w:val="20"/>
              </w:rPr>
            </w:pPr>
            <w:r w:rsidRPr="009D52D0">
              <w:rPr>
                <w:rFonts w:ascii="Arial" w:hAnsi="Arial" w:cs="Arial"/>
                <w:b/>
                <w:sz w:val="20"/>
                <w:szCs w:val="20"/>
              </w:rPr>
              <w:t>Private Study</w:t>
            </w:r>
          </w:p>
        </w:tc>
        <w:tc>
          <w:tcPr>
            <w:tcW w:w="601" w:type="dxa"/>
          </w:tcPr>
          <w:p w14:paraId="34752F0E" w14:textId="62731770"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0E9B09C0" w14:textId="74570132"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6CD1C02C" w14:textId="48D5CF61"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45C64561" w14:textId="4D818B96"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62607B91" w14:textId="7DD4E10A"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1" w:type="dxa"/>
          </w:tcPr>
          <w:p w14:paraId="2A716802" w14:textId="6ACA3DE2"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5BAFD1A4" w14:textId="6BB4EDAD"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030A7445" w14:textId="170EF951"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431B3FED" w14:textId="347F4875"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07703E2C" w14:textId="120B748B"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r>
      <w:tr w:rsidR="00D47966" w:rsidRPr="009D52D0" w14:paraId="5C50A519" w14:textId="77777777" w:rsidTr="00D424E5">
        <w:tc>
          <w:tcPr>
            <w:tcW w:w="2439" w:type="dxa"/>
          </w:tcPr>
          <w:p w14:paraId="433DE3A7" w14:textId="79CC1671" w:rsidR="00D47966" w:rsidRPr="0082561E" w:rsidRDefault="0082561E" w:rsidP="00D47966">
            <w:pPr>
              <w:spacing w:after="120"/>
              <w:ind w:right="543"/>
              <w:rPr>
                <w:rFonts w:ascii="Arial" w:hAnsi="Arial" w:cs="Arial"/>
                <w:b/>
                <w:bCs/>
                <w:iCs/>
                <w:sz w:val="20"/>
                <w:szCs w:val="20"/>
              </w:rPr>
            </w:pPr>
            <w:r w:rsidRPr="0082561E">
              <w:rPr>
                <w:rFonts w:ascii="Arial" w:hAnsi="Arial" w:cs="Arial"/>
                <w:b/>
                <w:bCs/>
                <w:iCs/>
                <w:sz w:val="20"/>
                <w:szCs w:val="20"/>
              </w:rPr>
              <w:t>L</w:t>
            </w:r>
            <w:r w:rsidR="00D47966" w:rsidRPr="0082561E">
              <w:rPr>
                <w:rFonts w:ascii="Arial" w:hAnsi="Arial" w:cs="Arial"/>
                <w:b/>
                <w:bCs/>
                <w:iCs/>
                <w:sz w:val="20"/>
                <w:szCs w:val="20"/>
              </w:rPr>
              <w:t>ectures</w:t>
            </w:r>
          </w:p>
        </w:tc>
        <w:tc>
          <w:tcPr>
            <w:tcW w:w="601" w:type="dxa"/>
          </w:tcPr>
          <w:p w14:paraId="3853654B" w14:textId="5C82A946"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7261D01A" w14:textId="1BA4C5CA"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2D7957D4" w14:textId="1B448451"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232B2686" w14:textId="2E94D82A"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4971B999" w14:textId="1F359AB4"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1" w:type="dxa"/>
          </w:tcPr>
          <w:p w14:paraId="2AE9F109" w14:textId="667C9DE4"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6BD0A090" w14:textId="55C21E00"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3DAC9A4A" w14:textId="77777777" w:rsidR="00D47966" w:rsidRPr="00D424E5" w:rsidRDefault="00D47966" w:rsidP="00D424E5">
            <w:pPr>
              <w:spacing w:before="60" w:after="60"/>
              <w:jc w:val="center"/>
              <w:rPr>
                <w:rFonts w:ascii="Arial" w:hAnsi="Arial" w:cs="Arial"/>
                <w:b/>
                <w:bCs/>
                <w:sz w:val="20"/>
                <w:szCs w:val="20"/>
              </w:rPr>
            </w:pPr>
          </w:p>
        </w:tc>
        <w:tc>
          <w:tcPr>
            <w:tcW w:w="602" w:type="dxa"/>
          </w:tcPr>
          <w:p w14:paraId="21A7EAF7" w14:textId="77777777" w:rsidR="00D47966" w:rsidRPr="00D424E5" w:rsidRDefault="00D47966" w:rsidP="00D424E5">
            <w:pPr>
              <w:spacing w:before="60" w:after="60"/>
              <w:jc w:val="center"/>
              <w:rPr>
                <w:rFonts w:ascii="Arial" w:hAnsi="Arial" w:cs="Arial"/>
                <w:b/>
                <w:bCs/>
                <w:sz w:val="20"/>
                <w:szCs w:val="20"/>
              </w:rPr>
            </w:pPr>
          </w:p>
        </w:tc>
        <w:tc>
          <w:tcPr>
            <w:tcW w:w="602" w:type="dxa"/>
          </w:tcPr>
          <w:p w14:paraId="41EDD6A7" w14:textId="77777777" w:rsidR="00D47966" w:rsidRPr="00D424E5" w:rsidRDefault="00D47966" w:rsidP="00D424E5">
            <w:pPr>
              <w:spacing w:before="60" w:after="60"/>
              <w:jc w:val="center"/>
              <w:rPr>
                <w:rFonts w:ascii="Arial" w:hAnsi="Arial" w:cs="Arial"/>
                <w:b/>
                <w:bCs/>
                <w:sz w:val="20"/>
                <w:szCs w:val="20"/>
              </w:rPr>
            </w:pPr>
          </w:p>
        </w:tc>
      </w:tr>
      <w:tr w:rsidR="00D47966" w:rsidRPr="009D52D0" w14:paraId="460BDA99" w14:textId="77777777" w:rsidTr="00D424E5">
        <w:tc>
          <w:tcPr>
            <w:tcW w:w="2439" w:type="dxa"/>
          </w:tcPr>
          <w:p w14:paraId="1CDAA785" w14:textId="1BF49EEB" w:rsidR="00D47966" w:rsidRPr="0082561E" w:rsidRDefault="0082561E" w:rsidP="00D47966">
            <w:pPr>
              <w:spacing w:after="120"/>
              <w:ind w:right="543"/>
              <w:rPr>
                <w:rFonts w:ascii="Arial" w:hAnsi="Arial" w:cs="Arial"/>
                <w:b/>
                <w:bCs/>
                <w:iCs/>
                <w:sz w:val="20"/>
                <w:szCs w:val="20"/>
              </w:rPr>
            </w:pPr>
            <w:r w:rsidRPr="0082561E">
              <w:rPr>
                <w:rFonts w:ascii="Arial" w:hAnsi="Arial" w:cs="Arial"/>
                <w:b/>
                <w:bCs/>
                <w:iCs/>
                <w:sz w:val="20"/>
                <w:szCs w:val="20"/>
              </w:rPr>
              <w:t>S</w:t>
            </w:r>
            <w:r w:rsidR="00D47966" w:rsidRPr="0082561E">
              <w:rPr>
                <w:rFonts w:ascii="Arial" w:hAnsi="Arial" w:cs="Arial"/>
                <w:b/>
                <w:bCs/>
                <w:iCs/>
                <w:sz w:val="20"/>
                <w:szCs w:val="20"/>
              </w:rPr>
              <w:t>eminars</w:t>
            </w:r>
          </w:p>
        </w:tc>
        <w:tc>
          <w:tcPr>
            <w:tcW w:w="601" w:type="dxa"/>
          </w:tcPr>
          <w:p w14:paraId="0B596153" w14:textId="1305CE9A"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7EF775FB" w14:textId="60D3B34C"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76760D4D" w14:textId="34926425"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29E92B33" w14:textId="6F18AABE"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712B107A" w14:textId="205B29EB"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1" w:type="dxa"/>
          </w:tcPr>
          <w:p w14:paraId="1C240711" w14:textId="6463EF9D"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2D2FDCA3" w14:textId="68EC52AB"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20301B4E" w14:textId="4D2C54E5"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70943AC0" w14:textId="38C1A8D0"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2" w:type="dxa"/>
          </w:tcPr>
          <w:p w14:paraId="019ED988" w14:textId="7876024F"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D424E5">
      <w:pPr>
        <w:spacing w:before="480" w:after="360" w:line="240" w:lineRule="auto"/>
        <w:ind w:left="426" w:right="544" w:firstLine="29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405"/>
        <w:gridCol w:w="609"/>
        <w:gridCol w:w="610"/>
        <w:gridCol w:w="609"/>
        <w:gridCol w:w="610"/>
        <w:gridCol w:w="609"/>
        <w:gridCol w:w="610"/>
        <w:gridCol w:w="609"/>
        <w:gridCol w:w="610"/>
        <w:gridCol w:w="609"/>
        <w:gridCol w:w="610"/>
      </w:tblGrid>
      <w:tr w:rsidR="00636058" w:rsidRPr="009D52D0" w14:paraId="7367825C" w14:textId="77777777" w:rsidTr="00D424E5">
        <w:trPr>
          <w:tblHeader/>
        </w:trPr>
        <w:tc>
          <w:tcPr>
            <w:tcW w:w="2405" w:type="dxa"/>
            <w:shd w:val="clear" w:color="auto" w:fill="D9D9D9" w:themeFill="background1" w:themeFillShade="D9"/>
          </w:tcPr>
          <w:p w14:paraId="4E99BFB5" w14:textId="77777777" w:rsidR="00636058" w:rsidRPr="009D52D0" w:rsidRDefault="00636058"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09" w:type="dxa"/>
          </w:tcPr>
          <w:p w14:paraId="7B5C6163"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8.1</w:t>
            </w:r>
          </w:p>
        </w:tc>
        <w:tc>
          <w:tcPr>
            <w:tcW w:w="610" w:type="dxa"/>
          </w:tcPr>
          <w:p w14:paraId="2210FC9E"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8.2</w:t>
            </w:r>
          </w:p>
        </w:tc>
        <w:tc>
          <w:tcPr>
            <w:tcW w:w="609" w:type="dxa"/>
          </w:tcPr>
          <w:p w14:paraId="00B7F160"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8.3</w:t>
            </w:r>
          </w:p>
        </w:tc>
        <w:tc>
          <w:tcPr>
            <w:tcW w:w="610" w:type="dxa"/>
          </w:tcPr>
          <w:p w14:paraId="2BB3974A"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8.4</w:t>
            </w:r>
          </w:p>
        </w:tc>
        <w:tc>
          <w:tcPr>
            <w:tcW w:w="609" w:type="dxa"/>
          </w:tcPr>
          <w:p w14:paraId="23BFBA31"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8.5</w:t>
            </w:r>
          </w:p>
        </w:tc>
        <w:tc>
          <w:tcPr>
            <w:tcW w:w="610" w:type="dxa"/>
          </w:tcPr>
          <w:p w14:paraId="0D56B3A5"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9.1</w:t>
            </w:r>
          </w:p>
        </w:tc>
        <w:tc>
          <w:tcPr>
            <w:tcW w:w="609" w:type="dxa"/>
          </w:tcPr>
          <w:p w14:paraId="523687DC"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9.2</w:t>
            </w:r>
          </w:p>
        </w:tc>
        <w:tc>
          <w:tcPr>
            <w:tcW w:w="610" w:type="dxa"/>
          </w:tcPr>
          <w:p w14:paraId="1106ECFC"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9.3</w:t>
            </w:r>
          </w:p>
        </w:tc>
        <w:tc>
          <w:tcPr>
            <w:tcW w:w="609" w:type="dxa"/>
          </w:tcPr>
          <w:p w14:paraId="51BE4A79"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9.4</w:t>
            </w:r>
          </w:p>
        </w:tc>
        <w:tc>
          <w:tcPr>
            <w:tcW w:w="610" w:type="dxa"/>
          </w:tcPr>
          <w:p w14:paraId="0C3BF660" w14:textId="77777777" w:rsidR="00636058" w:rsidRPr="00D424E5" w:rsidRDefault="00636058" w:rsidP="00D424E5">
            <w:pPr>
              <w:spacing w:before="60" w:after="60"/>
              <w:jc w:val="center"/>
              <w:rPr>
                <w:rFonts w:ascii="Arial" w:hAnsi="Arial" w:cs="Arial"/>
                <w:b/>
                <w:bCs/>
                <w:sz w:val="20"/>
                <w:szCs w:val="20"/>
              </w:rPr>
            </w:pPr>
            <w:r w:rsidRPr="00D424E5">
              <w:rPr>
                <w:rFonts w:ascii="Arial" w:hAnsi="Arial" w:cs="Arial"/>
                <w:b/>
                <w:bCs/>
                <w:sz w:val="20"/>
                <w:szCs w:val="20"/>
              </w:rPr>
              <w:t>9.5</w:t>
            </w:r>
          </w:p>
        </w:tc>
      </w:tr>
      <w:tr w:rsidR="00D47966" w:rsidRPr="009D52D0" w14:paraId="6D8FD37D" w14:textId="77777777" w:rsidTr="00D424E5">
        <w:trPr>
          <w:tblHeader/>
        </w:trPr>
        <w:tc>
          <w:tcPr>
            <w:tcW w:w="2405" w:type="dxa"/>
          </w:tcPr>
          <w:p w14:paraId="6500FA2E" w14:textId="4A039F2F" w:rsidR="00D47966" w:rsidRPr="0082561E" w:rsidRDefault="00D47966" w:rsidP="00D47966">
            <w:pPr>
              <w:spacing w:after="120"/>
              <w:ind w:right="543"/>
              <w:rPr>
                <w:rFonts w:ascii="Arial" w:hAnsi="Arial" w:cs="Arial"/>
                <w:b/>
                <w:bCs/>
                <w:iCs/>
                <w:sz w:val="20"/>
                <w:szCs w:val="20"/>
              </w:rPr>
            </w:pPr>
            <w:r w:rsidRPr="0082561E">
              <w:rPr>
                <w:rFonts w:ascii="Arial" w:hAnsi="Arial" w:cs="Arial"/>
                <w:b/>
                <w:bCs/>
                <w:iCs/>
                <w:sz w:val="20"/>
                <w:szCs w:val="20"/>
              </w:rPr>
              <w:t>Essay</w:t>
            </w:r>
          </w:p>
        </w:tc>
        <w:tc>
          <w:tcPr>
            <w:tcW w:w="609" w:type="dxa"/>
          </w:tcPr>
          <w:p w14:paraId="718AB32A" w14:textId="52F897F2" w:rsidR="00D47966" w:rsidRPr="00D424E5" w:rsidRDefault="0082561E"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71084725" w14:textId="25EA06EB" w:rsidR="00D47966" w:rsidRPr="00D424E5" w:rsidRDefault="0082561E"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659E3E11" w14:textId="034827AB"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02BFF41C" w14:textId="0226795B"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19049929" w14:textId="1E181D58" w:rsidR="00D47966" w:rsidRPr="00D424E5" w:rsidRDefault="0082561E"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60747C35" w14:textId="190A4E50"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6FCDE494" w14:textId="3B6B0AA8"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48C6EE1D" w14:textId="148498B5"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12A99B31" w14:textId="3DE31891"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0FB35350" w14:textId="4C325116"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r>
      <w:tr w:rsidR="00D47966" w:rsidRPr="009D52D0" w14:paraId="33EAAC8E" w14:textId="77777777" w:rsidTr="00D424E5">
        <w:trPr>
          <w:tblHeader/>
        </w:trPr>
        <w:tc>
          <w:tcPr>
            <w:tcW w:w="2405" w:type="dxa"/>
          </w:tcPr>
          <w:p w14:paraId="41B161CA" w14:textId="2C92F3FB" w:rsidR="00D47966" w:rsidRPr="0082561E" w:rsidRDefault="00D47966" w:rsidP="00D47966">
            <w:pPr>
              <w:spacing w:after="120"/>
              <w:ind w:right="543"/>
              <w:rPr>
                <w:rFonts w:ascii="Arial" w:hAnsi="Arial" w:cs="Arial"/>
                <w:b/>
                <w:bCs/>
                <w:iCs/>
                <w:sz w:val="20"/>
                <w:szCs w:val="20"/>
              </w:rPr>
            </w:pPr>
            <w:r w:rsidRPr="0082561E">
              <w:rPr>
                <w:rFonts w:ascii="Arial" w:hAnsi="Arial" w:cs="Arial"/>
                <w:b/>
                <w:bCs/>
                <w:iCs/>
                <w:sz w:val="20"/>
                <w:szCs w:val="20"/>
              </w:rPr>
              <w:t>Exam</w:t>
            </w:r>
          </w:p>
        </w:tc>
        <w:tc>
          <w:tcPr>
            <w:tcW w:w="609" w:type="dxa"/>
          </w:tcPr>
          <w:p w14:paraId="4D015421" w14:textId="415D8DBD"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47055659" w14:textId="3D134FD8"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32CE5E70" w14:textId="28EAF68C"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3209BAD1" w14:textId="590133F9"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3A50AC62" w14:textId="1E33AC81"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43F1F7E1" w14:textId="3F6D8A8F"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34BF4922" w14:textId="6869648B"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29656163" w14:textId="2E43051C"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09" w:type="dxa"/>
          </w:tcPr>
          <w:p w14:paraId="3155EA1C" w14:textId="5C27CA21"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c>
          <w:tcPr>
            <w:tcW w:w="610" w:type="dxa"/>
          </w:tcPr>
          <w:p w14:paraId="4802F12A" w14:textId="7D822E59" w:rsidR="00D47966" w:rsidRPr="00D424E5" w:rsidRDefault="00D47966" w:rsidP="00D424E5">
            <w:pPr>
              <w:spacing w:before="60" w:after="60"/>
              <w:jc w:val="center"/>
              <w:rPr>
                <w:rFonts w:ascii="Arial" w:hAnsi="Arial" w:cs="Arial"/>
                <w:b/>
                <w:bCs/>
                <w:sz w:val="20"/>
                <w:szCs w:val="20"/>
              </w:rPr>
            </w:pPr>
            <w:r w:rsidRPr="00D424E5">
              <w:rPr>
                <w:rFonts w:ascii="Arial" w:hAnsi="Arial" w:cs="Arial"/>
                <w:b/>
                <w:bCs/>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D424E5">
      <w:pPr>
        <w:pStyle w:val="Heading2"/>
        <w:spacing w:before="600"/>
        <w:ind w:right="544"/>
        <w:rPr>
          <w:iCs/>
        </w:rPr>
      </w:pPr>
      <w:r w:rsidRPr="009D52D0">
        <w:t xml:space="preserve">Inclusive module design </w:t>
      </w:r>
    </w:p>
    <w:p w14:paraId="39DA4ADC" w14:textId="55F8F1A3" w:rsidR="00883204" w:rsidRPr="009D52D0" w:rsidRDefault="00883204" w:rsidP="00D424E5">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D424E5">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D424E5">
      <w:pPr>
        <w:pStyle w:val="BodyText"/>
        <w:rPr>
          <w:bCs/>
        </w:rPr>
      </w:pPr>
      <w:r w:rsidRPr="009D52D0">
        <w:t xml:space="preserve">a) </w:t>
      </w:r>
      <w:r w:rsidRPr="009D52D0">
        <w:rPr>
          <w:bCs/>
        </w:rPr>
        <w:t>Accessible resources and curriculum</w:t>
      </w:r>
    </w:p>
    <w:p w14:paraId="5F2DDA76" w14:textId="77777777" w:rsidR="00883204" w:rsidRPr="009D52D0" w:rsidRDefault="00883204" w:rsidP="00D424E5">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5F4FF8">
      <w:pPr>
        <w:pStyle w:val="Heading2"/>
        <w:spacing w:before="600"/>
        <w:ind w:right="544"/>
      </w:pPr>
      <w:r w:rsidRPr="009D52D0">
        <w:t>Campus(es) or c</w:t>
      </w:r>
      <w:r w:rsidR="009A2D37" w:rsidRPr="009D52D0">
        <w:t>entre(s)</w:t>
      </w:r>
      <w:r w:rsidRPr="009D52D0">
        <w:t xml:space="preserve"> where module will be delivered</w:t>
      </w:r>
    </w:p>
    <w:p w14:paraId="3CD0FF38" w14:textId="43D87275" w:rsidR="009A2D37" w:rsidRDefault="00D47966" w:rsidP="00D424E5">
      <w:pPr>
        <w:pStyle w:val="BodyText"/>
      </w:pPr>
      <w:r>
        <w:t>Canterbury</w:t>
      </w:r>
    </w:p>
    <w:p w14:paraId="654C7CE7" w14:textId="77777777" w:rsidR="00883204" w:rsidRPr="009D52D0" w:rsidRDefault="00883204" w:rsidP="005F4FF8">
      <w:pPr>
        <w:pStyle w:val="Heading2"/>
        <w:spacing w:before="600"/>
        <w:ind w:right="544"/>
      </w:pPr>
      <w:r w:rsidRPr="009D52D0">
        <w:t xml:space="preserve">Internationalisation </w:t>
      </w:r>
    </w:p>
    <w:p w14:paraId="3F5B9073" w14:textId="54FDE118" w:rsidR="009D52D0" w:rsidRDefault="00D47966" w:rsidP="00D424E5">
      <w:pPr>
        <w:pStyle w:val="BodyText"/>
        <w:rPr>
          <w:b/>
        </w:rPr>
      </w:pPr>
      <w:r w:rsidRPr="00D47966">
        <w:t>Subject contents are focused on the politics and international relations of contemporary China. They cover China’s foreign relations with and policy towards its neighbouring countries in Asia as well as the United States.</w:t>
      </w:r>
    </w:p>
    <w:p w14:paraId="2AB12645" w14:textId="2F6D174F" w:rsidR="00C664D3" w:rsidRDefault="00C664D3" w:rsidP="00C664D3">
      <w:pPr>
        <w:pStyle w:val="Heading2"/>
        <w:numPr>
          <w:ilvl w:val="0"/>
          <w:numId w:val="0"/>
        </w:numPr>
        <w:ind w:left="567"/>
      </w:pPr>
    </w:p>
    <w:p w14:paraId="08DC2CD9" w14:textId="77777777" w:rsidR="00D424E5" w:rsidRDefault="00D424E5" w:rsidP="00D424E5">
      <w:pPr>
        <w:rPr>
          <w:rFonts w:ascii="Arial" w:hAnsi="Arial" w:cs="Arial"/>
          <w:sz w:val="24"/>
          <w:szCs w:val="24"/>
        </w:rPr>
      </w:pPr>
      <w:bookmarkStart w:id="0" w:name="_Hlk110347234"/>
      <w:bookmarkStart w:id="1" w:name="_Hlk121209876"/>
    </w:p>
    <w:p w14:paraId="01B13D27" w14:textId="77777777" w:rsidR="00D424E5" w:rsidRPr="009D52D0" w:rsidRDefault="00D424E5" w:rsidP="00D424E5">
      <w:pPr>
        <w:pBdr>
          <w:bottom w:val="single" w:sz="6" w:space="1" w:color="auto"/>
        </w:pBdr>
        <w:ind w:right="543"/>
        <w:rPr>
          <w:rFonts w:ascii="Arial" w:hAnsi="Arial" w:cs="Arial"/>
          <w:sz w:val="24"/>
          <w:szCs w:val="24"/>
        </w:rPr>
      </w:pPr>
      <w:bookmarkStart w:id="2" w:name="_Hlk118801091"/>
    </w:p>
    <w:p w14:paraId="0783BD1D" w14:textId="77777777" w:rsidR="00D424E5" w:rsidRPr="005E5282" w:rsidRDefault="00D424E5" w:rsidP="00D424E5">
      <w:pPr>
        <w:ind w:right="543"/>
        <w:rPr>
          <w:rFonts w:ascii="Arial" w:hAnsi="Arial" w:cs="Arial"/>
          <w:b/>
        </w:rPr>
      </w:pPr>
      <w:r w:rsidRPr="005E5282">
        <w:rPr>
          <w:rFonts w:ascii="Arial" w:hAnsi="Arial" w:cs="Arial"/>
          <w:b/>
        </w:rPr>
        <w:t xml:space="preserve">DIVISIONAL USE ONLY </w:t>
      </w:r>
    </w:p>
    <w:bookmarkEnd w:id="2"/>
    <w:p w14:paraId="63FAC100" w14:textId="77777777" w:rsidR="00D424E5" w:rsidRPr="005E5282" w:rsidRDefault="00D424E5" w:rsidP="00D424E5">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tbl>
      <w:tblPr>
        <w:tblStyle w:val="TableGrid"/>
        <w:tblW w:w="10201" w:type="dxa"/>
        <w:tblLook w:val="04A0" w:firstRow="1" w:lastRow="0" w:firstColumn="1" w:lastColumn="0" w:noHBand="0" w:noVBand="1"/>
      </w:tblPr>
      <w:tblGrid>
        <w:gridCol w:w="1592"/>
        <w:gridCol w:w="1817"/>
        <w:gridCol w:w="2256"/>
        <w:gridCol w:w="2077"/>
        <w:gridCol w:w="2459"/>
      </w:tblGrid>
      <w:tr w:rsidR="00D424E5" w:rsidRPr="009D52D0" w14:paraId="244ED5DD" w14:textId="77777777" w:rsidTr="005F4FF8">
        <w:trPr>
          <w:trHeight w:val="317"/>
          <w:tblHeader/>
        </w:trPr>
        <w:tc>
          <w:tcPr>
            <w:tcW w:w="1592" w:type="dxa"/>
            <w:shd w:val="clear" w:color="auto" w:fill="F2F2F2" w:themeFill="background1" w:themeFillShade="F2"/>
          </w:tcPr>
          <w:p w14:paraId="79012E04" w14:textId="77777777" w:rsidR="00D424E5" w:rsidRPr="009D52D0" w:rsidRDefault="00D424E5" w:rsidP="00034903">
            <w:pPr>
              <w:pStyle w:val="Tableoutcomeshead"/>
            </w:pPr>
            <w:r w:rsidRPr="009D52D0">
              <w:t>Date approved</w:t>
            </w:r>
          </w:p>
        </w:tc>
        <w:tc>
          <w:tcPr>
            <w:tcW w:w="1817" w:type="dxa"/>
            <w:shd w:val="clear" w:color="auto" w:fill="F2F2F2" w:themeFill="background1" w:themeFillShade="F2"/>
          </w:tcPr>
          <w:p w14:paraId="3D4F5859" w14:textId="77777777" w:rsidR="00D424E5" w:rsidRPr="009D52D0" w:rsidRDefault="00D424E5" w:rsidP="00034903">
            <w:pPr>
              <w:pStyle w:val="Tableoutcomeshead"/>
            </w:pPr>
            <w:r>
              <w:t>New/</w:t>
            </w:r>
            <w:r w:rsidRPr="009D52D0">
              <w:t>Major/</w:t>
            </w:r>
            <w:r>
              <w:t>M</w:t>
            </w:r>
            <w:r w:rsidRPr="009D52D0">
              <w:t>inor revision</w:t>
            </w:r>
          </w:p>
        </w:tc>
        <w:tc>
          <w:tcPr>
            <w:tcW w:w="2256" w:type="dxa"/>
            <w:shd w:val="clear" w:color="auto" w:fill="F2F2F2" w:themeFill="background1" w:themeFillShade="F2"/>
          </w:tcPr>
          <w:p w14:paraId="27FD22C7" w14:textId="77777777" w:rsidR="00D424E5" w:rsidRPr="009D52D0" w:rsidRDefault="00D424E5" w:rsidP="00034903">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352BFAF8" w14:textId="77777777" w:rsidR="00D424E5" w:rsidRPr="009D52D0" w:rsidRDefault="00D424E5" w:rsidP="00034903">
            <w:pPr>
              <w:pStyle w:val="Tableoutcomeshead"/>
            </w:pPr>
            <w:r w:rsidRPr="009D52D0">
              <w:t>Section revised</w:t>
            </w:r>
            <w:r>
              <w:t xml:space="preserve"> (if applicable)</w:t>
            </w:r>
          </w:p>
        </w:tc>
        <w:tc>
          <w:tcPr>
            <w:tcW w:w="2459" w:type="dxa"/>
            <w:shd w:val="clear" w:color="auto" w:fill="F2F2F2" w:themeFill="background1" w:themeFillShade="F2"/>
          </w:tcPr>
          <w:p w14:paraId="7347CB4A" w14:textId="77777777" w:rsidR="00D424E5" w:rsidRPr="009D52D0" w:rsidRDefault="00D424E5" w:rsidP="00034903">
            <w:pPr>
              <w:pStyle w:val="Tableoutcomeshead"/>
            </w:pPr>
            <w:r w:rsidRPr="009D52D0">
              <w:t>Impacts PLOs (Q6</w:t>
            </w:r>
            <w:r>
              <w:t xml:space="preserve"> </w:t>
            </w:r>
            <w:r w:rsidRPr="009D52D0">
              <w:t>&amp;</w:t>
            </w:r>
            <w:r>
              <w:t xml:space="preserve"> </w:t>
            </w:r>
            <w:r w:rsidRPr="009D52D0">
              <w:t>7 cover sheet)</w:t>
            </w:r>
          </w:p>
        </w:tc>
      </w:tr>
      <w:tr w:rsidR="00D424E5" w:rsidRPr="009D52D0" w14:paraId="1C403057" w14:textId="77777777" w:rsidTr="005F4FF8">
        <w:trPr>
          <w:trHeight w:val="305"/>
        </w:trPr>
        <w:tc>
          <w:tcPr>
            <w:tcW w:w="1592" w:type="dxa"/>
          </w:tcPr>
          <w:p w14:paraId="7F6F3C0C" w14:textId="3310907F" w:rsidR="00D424E5" w:rsidRPr="009D52D0" w:rsidRDefault="00D424E5" w:rsidP="00034903">
            <w:pPr>
              <w:pStyle w:val="Tabledivuseonly"/>
            </w:pPr>
            <w:r>
              <w:t>17.11.22</w:t>
            </w:r>
          </w:p>
        </w:tc>
        <w:tc>
          <w:tcPr>
            <w:tcW w:w="1817" w:type="dxa"/>
          </w:tcPr>
          <w:p w14:paraId="695FA479" w14:textId="72776FF4" w:rsidR="00D424E5" w:rsidRPr="009D52D0" w:rsidRDefault="00D424E5" w:rsidP="00034903">
            <w:pPr>
              <w:pStyle w:val="Tabledivuseonly"/>
            </w:pPr>
            <w:r>
              <w:t>New</w:t>
            </w:r>
          </w:p>
        </w:tc>
        <w:tc>
          <w:tcPr>
            <w:tcW w:w="2256" w:type="dxa"/>
          </w:tcPr>
          <w:p w14:paraId="1535A993" w14:textId="5D84DF5F" w:rsidR="00D424E5" w:rsidRPr="009D52D0" w:rsidRDefault="00D424E5" w:rsidP="00034903">
            <w:pPr>
              <w:pStyle w:val="Tabledivuseonly"/>
            </w:pPr>
            <w:r>
              <w:t>September 2023</w:t>
            </w:r>
          </w:p>
        </w:tc>
        <w:tc>
          <w:tcPr>
            <w:tcW w:w="2077" w:type="dxa"/>
          </w:tcPr>
          <w:p w14:paraId="46B72A4B" w14:textId="77777777" w:rsidR="00D424E5" w:rsidRPr="009D52D0" w:rsidRDefault="00D424E5" w:rsidP="00034903">
            <w:pPr>
              <w:pStyle w:val="Tabledivuseonly"/>
            </w:pPr>
          </w:p>
        </w:tc>
        <w:tc>
          <w:tcPr>
            <w:tcW w:w="2459" w:type="dxa"/>
          </w:tcPr>
          <w:p w14:paraId="7BDE5A6E" w14:textId="77777777" w:rsidR="00D424E5" w:rsidRPr="009D52D0" w:rsidRDefault="00D424E5" w:rsidP="00034903">
            <w:pPr>
              <w:pStyle w:val="Tabledivuseonly"/>
            </w:pPr>
          </w:p>
        </w:tc>
      </w:tr>
      <w:tr w:rsidR="00D424E5" w:rsidRPr="009D52D0" w14:paraId="78C56ED3" w14:textId="77777777" w:rsidTr="005F4FF8">
        <w:trPr>
          <w:trHeight w:val="305"/>
        </w:trPr>
        <w:tc>
          <w:tcPr>
            <w:tcW w:w="1592" w:type="dxa"/>
          </w:tcPr>
          <w:p w14:paraId="658B2F2D" w14:textId="77777777" w:rsidR="00D424E5" w:rsidRPr="009D52D0" w:rsidRDefault="00D424E5" w:rsidP="00034903">
            <w:pPr>
              <w:pStyle w:val="Tabledivuseonly"/>
            </w:pPr>
          </w:p>
        </w:tc>
        <w:tc>
          <w:tcPr>
            <w:tcW w:w="1817" w:type="dxa"/>
          </w:tcPr>
          <w:p w14:paraId="279DCCAE" w14:textId="77777777" w:rsidR="00D424E5" w:rsidRPr="009D52D0" w:rsidRDefault="00D424E5" w:rsidP="00034903">
            <w:pPr>
              <w:pStyle w:val="Tabledivuseonly"/>
            </w:pPr>
          </w:p>
        </w:tc>
        <w:tc>
          <w:tcPr>
            <w:tcW w:w="2256" w:type="dxa"/>
          </w:tcPr>
          <w:p w14:paraId="6BC2084C" w14:textId="77777777" w:rsidR="00D424E5" w:rsidRPr="009D52D0" w:rsidRDefault="00D424E5" w:rsidP="00034903">
            <w:pPr>
              <w:pStyle w:val="Tabledivuseonly"/>
            </w:pPr>
          </w:p>
        </w:tc>
        <w:tc>
          <w:tcPr>
            <w:tcW w:w="2077" w:type="dxa"/>
          </w:tcPr>
          <w:p w14:paraId="0DC54AB1" w14:textId="77777777" w:rsidR="00D424E5" w:rsidRPr="009D52D0" w:rsidRDefault="00D424E5" w:rsidP="00034903">
            <w:pPr>
              <w:pStyle w:val="Tabledivuseonly"/>
            </w:pPr>
          </w:p>
        </w:tc>
        <w:tc>
          <w:tcPr>
            <w:tcW w:w="2459" w:type="dxa"/>
          </w:tcPr>
          <w:p w14:paraId="64CF1E2C" w14:textId="77777777" w:rsidR="00D424E5" w:rsidRPr="009D52D0" w:rsidRDefault="00D424E5" w:rsidP="00034903">
            <w:pPr>
              <w:pStyle w:val="Tabledivuseonly"/>
            </w:pPr>
          </w:p>
        </w:tc>
      </w:tr>
    </w:tbl>
    <w:p w14:paraId="4939839F" w14:textId="77777777" w:rsidR="00D424E5" w:rsidRDefault="00D424E5" w:rsidP="00D424E5">
      <w:pPr>
        <w:ind w:right="543"/>
        <w:rPr>
          <w:rFonts w:ascii="Arial" w:hAnsi="Arial" w:cs="Arial"/>
          <w:sz w:val="24"/>
          <w:szCs w:val="24"/>
        </w:rPr>
      </w:pPr>
    </w:p>
    <w:bookmarkEnd w:id="0"/>
    <w:bookmarkEnd w:id="1"/>
    <w:sectPr w:rsidR="00D424E5" w:rsidSect="00D424E5">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007" w14:textId="77777777" w:rsidR="00E10C77" w:rsidRDefault="00E10C77" w:rsidP="009A2D37">
      <w:pPr>
        <w:spacing w:after="0" w:line="240" w:lineRule="auto"/>
      </w:pPr>
      <w:r>
        <w:separator/>
      </w:r>
    </w:p>
  </w:endnote>
  <w:endnote w:type="continuationSeparator" w:id="0">
    <w:p w14:paraId="1C3743BB" w14:textId="77777777" w:rsidR="00E10C77" w:rsidRDefault="00E10C77" w:rsidP="009A2D37">
      <w:pPr>
        <w:spacing w:after="0" w:line="240" w:lineRule="auto"/>
      </w:pPr>
      <w:r>
        <w:continuationSeparator/>
      </w:r>
    </w:p>
  </w:endnote>
  <w:endnote w:type="continuationNotice" w:id="1">
    <w:p w14:paraId="7518BF3C" w14:textId="77777777" w:rsidR="00E10C77" w:rsidRDefault="00E10C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4B70254" w:rsidR="008B2543" w:rsidRPr="007B7724" w:rsidRDefault="008B2543" w:rsidP="00D424E5">
    <w:pPr>
      <w:spacing w:after="0" w:line="240" w:lineRule="auto"/>
      <w:ind w:left="567" w:right="544"/>
      <w:jc w:val="both"/>
      <w:rPr>
        <w:rFonts w:ascii="Arial" w:hAnsi="Arial"/>
        <w:sz w:val="18"/>
      </w:rPr>
    </w:pPr>
    <w:r w:rsidRPr="007B7724">
      <w:rPr>
        <w:rFonts w:ascii="Arial" w:hAnsi="Arial"/>
        <w:sz w:val="18"/>
      </w:rPr>
      <w:t>Module Specification</w:t>
    </w:r>
    <w:r w:rsidR="006046D7">
      <w:rPr>
        <w:rFonts w:ascii="Arial" w:hAnsi="Arial"/>
        <w:sz w:val="18"/>
      </w:rPr>
      <w:t xml:space="preserve">: </w:t>
    </w:r>
    <w:r w:rsidR="006046D7" w:rsidRPr="006046D7">
      <w:rPr>
        <w:rFonts w:ascii="Arial" w:hAnsi="Arial"/>
        <w:sz w:val="18"/>
      </w:rPr>
      <w:t>POLI5003 The Politics of China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5822C84" w:rsidR="00EB41D1" w:rsidRPr="00AA033A" w:rsidRDefault="00EB41D1" w:rsidP="00EB41D1">
    <w:pPr>
      <w:pStyle w:val="Footer"/>
      <w:spacing w:after="120"/>
      <w:ind w:right="-330"/>
      <w:rPr>
        <w:rFonts w:ascii="Arial" w:hAnsi="Arial"/>
        <w:sz w:val="18"/>
      </w:rPr>
    </w:pPr>
    <w:r w:rsidRPr="00AA033A">
      <w:rPr>
        <w:rFonts w:ascii="Arial" w:hAnsi="Arial"/>
        <w:sz w:val="18"/>
      </w:rPr>
      <w:t>Module Specification</w:t>
    </w:r>
    <w:r w:rsidR="00AA033A">
      <w:rPr>
        <w:rFonts w:ascii="Arial" w:hAnsi="Arial"/>
        <w:sz w:val="18"/>
      </w:rPr>
      <w:t xml:space="preserve">: </w:t>
    </w:r>
    <w:r w:rsidR="00AA033A" w:rsidRPr="00AA033A">
      <w:rPr>
        <w:rFonts w:ascii="Arial" w:hAnsi="Arial"/>
        <w:sz w:val="18"/>
      </w:rPr>
      <w:t>POLI5003</w:t>
    </w:r>
    <w:r w:rsidR="00AA033A">
      <w:rPr>
        <w:rFonts w:ascii="Arial" w:hAnsi="Arial"/>
        <w:sz w:val="18"/>
      </w:rPr>
      <w:t xml:space="preserve"> The</w:t>
    </w:r>
    <w:r w:rsidR="00AA033A" w:rsidRPr="00AA033A">
      <w:rPr>
        <w:rFonts w:ascii="Arial" w:hAnsi="Arial"/>
        <w:sz w:val="18"/>
      </w:rPr>
      <w:t xml:space="preserve"> Politics of C</w:t>
    </w:r>
    <w:r w:rsidR="00AA033A">
      <w:rPr>
        <w:rFonts w:ascii="Arial" w:hAnsi="Arial"/>
        <w:sz w:val="18"/>
      </w:rPr>
      <w:t>hina</w:t>
    </w:r>
  </w:p>
  <w:p w14:paraId="24F79DDC" w14:textId="77777777" w:rsidR="00F17B94" w:rsidRPr="00AA033A"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37E" w14:textId="77777777" w:rsidR="00E10C77" w:rsidRDefault="00E10C77" w:rsidP="009A2D37">
      <w:pPr>
        <w:spacing w:after="0" w:line="240" w:lineRule="auto"/>
      </w:pPr>
      <w:r>
        <w:separator/>
      </w:r>
    </w:p>
  </w:footnote>
  <w:footnote w:type="continuationSeparator" w:id="0">
    <w:p w14:paraId="4D62A115" w14:textId="77777777" w:rsidR="00E10C77" w:rsidRDefault="00E10C77" w:rsidP="009A2D37">
      <w:pPr>
        <w:spacing w:after="0" w:line="240" w:lineRule="auto"/>
      </w:pPr>
      <w:r>
        <w:continuationSeparator/>
      </w:r>
    </w:p>
  </w:footnote>
  <w:footnote w:type="continuationNotice" w:id="1">
    <w:p w14:paraId="026C1564" w14:textId="77777777" w:rsidR="00E10C77" w:rsidRDefault="00E10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CAB559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42C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C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D4B31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682F7D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0FAC72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7E0288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B48C2D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7428E6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F7EA2"/>
    <w:multiLevelType w:val="hybridMultilevel"/>
    <w:tmpl w:val="4FA28A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0"/>
  </w:num>
  <w:num w:numId="2" w16cid:durableId="516431458">
    <w:abstractNumId w:val="8"/>
  </w:num>
  <w:num w:numId="3" w16cid:durableId="934361025">
    <w:abstractNumId w:val="12"/>
  </w:num>
  <w:num w:numId="4" w16cid:durableId="1714502269">
    <w:abstractNumId w:val="9"/>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227685892">
    <w:abstractNumId w:val="11"/>
  </w:num>
  <w:num w:numId="13" w16cid:durableId="1465852944">
    <w:abstractNumId w:val="6"/>
  </w:num>
  <w:num w:numId="14" w16cid:durableId="216360936">
    <w:abstractNumId w:val="5"/>
  </w:num>
  <w:num w:numId="15" w16cid:durableId="1814173243">
    <w:abstractNumId w:val="4"/>
  </w:num>
  <w:num w:numId="16" w16cid:durableId="16976262">
    <w:abstractNumId w:val="3"/>
  </w:num>
  <w:num w:numId="17" w16cid:durableId="589116873">
    <w:abstractNumId w:val="7"/>
  </w:num>
  <w:num w:numId="18" w16cid:durableId="499734925">
    <w:abstractNumId w:val="2"/>
  </w:num>
  <w:num w:numId="19" w16cid:durableId="452136948">
    <w:abstractNumId w:val="1"/>
  </w:num>
  <w:num w:numId="20" w16cid:durableId="149221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3D4"/>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FF8"/>
    <w:rsid w:val="006043FC"/>
    <w:rsid w:val="006046D7"/>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61E"/>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66B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033A"/>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64D3"/>
    <w:rsid w:val="00C67631"/>
    <w:rsid w:val="00C709C6"/>
    <w:rsid w:val="00C729D7"/>
    <w:rsid w:val="00C76420"/>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4E5"/>
    <w:rsid w:val="00D47966"/>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043C"/>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42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C76420"/>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normaltextrun">
    <w:name w:val="normaltextrun"/>
    <w:basedOn w:val="DefaultParagraphFont"/>
    <w:uiPriority w:val="1"/>
    <w:rsid w:val="006046D7"/>
  </w:style>
  <w:style w:type="paragraph" w:styleId="ListNumber2">
    <w:name w:val="List Number 2"/>
    <w:basedOn w:val="BodyText"/>
    <w:uiPriority w:val="99"/>
    <w:unhideWhenUsed/>
    <w:rsid w:val="00C664D3"/>
    <w:pPr>
      <w:ind w:left="1021" w:hanging="454"/>
    </w:pPr>
  </w:style>
  <w:style w:type="paragraph" w:styleId="BodyText">
    <w:name w:val="Body Text"/>
    <w:basedOn w:val="Normal"/>
    <w:link w:val="BodyTextChar"/>
    <w:uiPriority w:val="99"/>
    <w:unhideWhenUsed/>
    <w:rsid w:val="00C7642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C76420"/>
    <w:rPr>
      <w:rFonts w:ascii="Arial" w:eastAsiaTheme="minorEastAsia" w:hAnsi="Arial"/>
      <w:sz w:val="24"/>
      <w:lang w:eastAsia="en-GB"/>
    </w:rPr>
  </w:style>
  <w:style w:type="paragraph" w:customStyle="1" w:styleId="Tableoutcomeshead">
    <w:name w:val="Table outcomes head"/>
    <w:basedOn w:val="Normal"/>
    <w:qFormat/>
    <w:rsid w:val="00D424E5"/>
    <w:pPr>
      <w:spacing w:after="120" w:line="240" w:lineRule="auto"/>
    </w:pPr>
    <w:rPr>
      <w:rFonts w:ascii="Arial" w:hAnsi="Arial" w:cs="Arial"/>
      <w:b/>
      <w:sz w:val="20"/>
      <w:szCs w:val="20"/>
    </w:rPr>
  </w:style>
  <w:style w:type="paragraph" w:customStyle="1" w:styleId="Tabledivuseonly">
    <w:name w:val="Table div use only"/>
    <w:basedOn w:val="Normal"/>
    <w:qFormat/>
    <w:rsid w:val="00D424E5"/>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2DBDAEBD-9571-4BAE-B080-677DDFDA8A22}"/>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2022-11-18T14:45:00Z</dcterms:created>
  <dcterms:modified xsi:type="dcterms:W3CDTF">2023-01-17T09:13:00Z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