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453D8E">
      <w:pPr>
        <w:pStyle w:val="Heading2"/>
        <w:spacing w:before="0"/>
      </w:pPr>
      <w:r>
        <w:t>KentVision Code and t</w:t>
      </w:r>
      <w:r w:rsidR="009A2D37" w:rsidRPr="00072357">
        <w:t>itle of the module</w:t>
      </w:r>
    </w:p>
    <w:p w14:paraId="4AE52586" w14:textId="45691E3A" w:rsidR="009A2D37" w:rsidRPr="00694B52" w:rsidRDefault="008D79A2" w:rsidP="00453D8E">
      <w:pPr>
        <w:pStyle w:val="BodyText"/>
      </w:pPr>
      <w:r>
        <w:t>POLI5002 Global Governance of Peace and Security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A29512" w:rsidR="009A2D37" w:rsidRPr="00F07415" w:rsidRDefault="001F4203" w:rsidP="00453D8E">
      <w:pPr>
        <w:pStyle w:val="BodyText"/>
        <w:rPr>
          <w:rFonts w:ascii="Times New Roman" w:hAnsi="Times New Roman" w:cs="Times New Roman"/>
          <w:b/>
        </w:rPr>
      </w:pPr>
      <w:r w:rsidRPr="001F4203">
        <w:rPr>
          <w:iCs/>
        </w:rPr>
        <w:t>Human and Social Sciences (HSS)</w:t>
      </w:r>
      <w:r w:rsidR="00F07415" w:rsidRPr="001F4203">
        <w:rPr>
          <w:shd w:val="clear" w:color="auto" w:fill="FFFFFF"/>
        </w:rPr>
        <w:t>;</w:t>
      </w:r>
      <w:r w:rsidR="00F07415" w:rsidRPr="00F07415">
        <w:rPr>
          <w:shd w:val="clear" w:color="auto" w:fill="FFFFFF"/>
        </w:rPr>
        <w:t xml:space="preserve"> </w:t>
      </w:r>
      <w:r w:rsidR="002817C1">
        <w:rPr>
          <w:shd w:val="clear" w:color="auto" w:fill="FFFFFF"/>
        </w:rPr>
        <w:t xml:space="preserve">School of </w:t>
      </w:r>
      <w:r w:rsidR="00F07415" w:rsidRPr="00F07415">
        <w:rPr>
          <w:shd w:val="clear" w:color="auto" w:fill="FFFFFF"/>
        </w:rPr>
        <w:t>Politics and International Relations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EC79F19" w:rsidR="009A2D37" w:rsidRDefault="00F07415" w:rsidP="00453D8E">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2BB2FDA" w:rsidR="009A2D37" w:rsidRDefault="00F07415" w:rsidP="00453D8E">
      <w:pPr>
        <w:pStyle w:val="BodyText"/>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8E05D26" w:rsidR="009A2D37" w:rsidRDefault="00F715AC" w:rsidP="00453D8E">
      <w:pPr>
        <w:pStyle w:val="BodyText"/>
      </w:pPr>
      <w:r>
        <w:t>Autumn</w:t>
      </w:r>
      <w:r w:rsidR="006E1964">
        <w:t xml:space="preserve">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548F584" w:rsidR="009A2D37" w:rsidRPr="0037143C" w:rsidRDefault="0037143C" w:rsidP="00453D8E">
      <w:pPr>
        <w:pStyle w:val="BodyText"/>
        <w:rPr>
          <w:iCs/>
        </w:rPr>
      </w:pPr>
      <w:r w:rsidRPr="0037143C">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A484356" w14:textId="77777777" w:rsidR="006E1964" w:rsidRPr="00453D8E" w:rsidRDefault="003D5369" w:rsidP="00453D8E">
      <w:pPr>
        <w:pStyle w:val="BodyText"/>
        <w:rPr>
          <w:rStyle w:val="normaltextrun"/>
          <w:b/>
          <w:bCs/>
          <w:i/>
          <w:iCs/>
        </w:rPr>
      </w:pPr>
      <w:r w:rsidRPr="00453D8E">
        <w:rPr>
          <w:rStyle w:val="normaltextrun"/>
          <w:b/>
          <w:bCs/>
          <w:i/>
          <w:iCs/>
        </w:rPr>
        <w:t>Compulsory to the following courses:</w:t>
      </w:r>
      <w:r w:rsidRPr="00453D8E">
        <w:rPr>
          <w:rStyle w:val="eop"/>
          <w:b/>
          <w:bCs/>
          <w:i/>
          <w:iCs/>
        </w:rPr>
        <w:t> </w:t>
      </w:r>
      <w:r w:rsidR="6568CBF2" w:rsidRPr="00453D8E">
        <w:rPr>
          <w:rStyle w:val="normaltextrun"/>
          <w:b/>
          <w:bCs/>
          <w:i/>
          <w:iCs/>
        </w:rPr>
        <w:t xml:space="preserve"> </w:t>
      </w:r>
    </w:p>
    <w:p w14:paraId="1BDF7829" w14:textId="22D46C37" w:rsidR="003D5369" w:rsidRPr="00453D8E" w:rsidRDefault="6568CBF2" w:rsidP="00453D8E">
      <w:pPr>
        <w:pStyle w:val="ListBullet"/>
      </w:pPr>
      <w:r w:rsidRPr="00453D8E">
        <w:rPr>
          <w:rStyle w:val="normaltextrun"/>
        </w:rPr>
        <w:t>BA (Hons) Politics and International Relations </w:t>
      </w:r>
    </w:p>
    <w:p w14:paraId="3BC14D70" w14:textId="02D5734E" w:rsidR="003D5369" w:rsidRPr="00453D8E" w:rsidRDefault="6568CBF2" w:rsidP="00453D8E">
      <w:pPr>
        <w:pStyle w:val="ListBullet"/>
      </w:pPr>
      <w:r w:rsidRPr="00453D8E">
        <w:rPr>
          <w:rStyle w:val="normaltextrun"/>
        </w:rPr>
        <w:t>BA (Hons) Politics and International Relations (Bi-</w:t>
      </w:r>
      <w:proofErr w:type="spellStart"/>
      <w:r w:rsidRPr="00453D8E">
        <w:rPr>
          <w:rStyle w:val="normaltextrun"/>
        </w:rPr>
        <w:t>diplôme</w:t>
      </w:r>
      <w:proofErr w:type="spellEnd"/>
      <w:r w:rsidRPr="00453D8E">
        <w:rPr>
          <w:rStyle w:val="normaltextrun"/>
        </w:rPr>
        <w:t>)  </w:t>
      </w:r>
    </w:p>
    <w:p w14:paraId="30120F96" w14:textId="36234650" w:rsidR="003D5369" w:rsidRPr="00453D8E" w:rsidRDefault="6568CBF2" w:rsidP="00453D8E">
      <w:pPr>
        <w:pStyle w:val="ListBullet"/>
      </w:pPr>
      <w:r w:rsidRPr="00453D8E">
        <w:rPr>
          <w:rStyle w:val="normaltextrun"/>
        </w:rPr>
        <w:t>BA (Hons) Politics and International Relations with a Language </w:t>
      </w:r>
    </w:p>
    <w:p w14:paraId="4C363752" w14:textId="0DA9F07D" w:rsidR="003D5369" w:rsidRPr="00453D8E" w:rsidRDefault="6568CBF2" w:rsidP="00453D8E">
      <w:pPr>
        <w:pStyle w:val="ListBullet"/>
      </w:pPr>
      <w:r w:rsidRPr="00453D8E">
        <w:rPr>
          <w:rStyle w:val="normaltextrun"/>
        </w:rPr>
        <w:t>BA (Hons) Politics and International Relations with a Placement Year  </w:t>
      </w:r>
    </w:p>
    <w:p w14:paraId="52DF2641" w14:textId="2F9656E4" w:rsidR="003D5369" w:rsidRPr="00453D8E" w:rsidRDefault="6568CBF2" w:rsidP="00453D8E">
      <w:pPr>
        <w:pStyle w:val="ListBullet"/>
      </w:pPr>
      <w:r w:rsidRPr="00453D8E">
        <w:rPr>
          <w:rStyle w:val="normaltextrun"/>
        </w:rPr>
        <w:t>BA (Hons) Politics and International Relations with a Foundation Year </w:t>
      </w:r>
    </w:p>
    <w:p w14:paraId="71044381" w14:textId="0C2E94BC" w:rsidR="003D5369" w:rsidRPr="00453D8E" w:rsidRDefault="6568CBF2" w:rsidP="00453D8E">
      <w:pPr>
        <w:pStyle w:val="ListBullet"/>
      </w:pPr>
      <w:r w:rsidRPr="00453D8E">
        <w:rPr>
          <w:rStyle w:val="normaltextrun"/>
        </w:rPr>
        <w:t>BA (Hons) Politics and International Relations with a Year in North America  </w:t>
      </w:r>
    </w:p>
    <w:p w14:paraId="7BE92EC2" w14:textId="3FE04A2A" w:rsidR="003D5369" w:rsidRPr="00453D8E" w:rsidRDefault="6568CBF2" w:rsidP="00453D8E">
      <w:pPr>
        <w:pStyle w:val="ListBullet"/>
      </w:pPr>
      <w:r w:rsidRPr="00453D8E">
        <w:rPr>
          <w:rStyle w:val="normaltextrun"/>
        </w:rPr>
        <w:t>BA (Hons) Politics and International Relations with a Year in Continental Europe </w:t>
      </w:r>
    </w:p>
    <w:p w14:paraId="0A306F31" w14:textId="2566CC79" w:rsidR="003D5369" w:rsidRPr="00453D8E" w:rsidRDefault="6568CBF2" w:rsidP="00453D8E">
      <w:pPr>
        <w:pStyle w:val="ListBullet"/>
      </w:pPr>
      <w:r w:rsidRPr="00453D8E">
        <w:rPr>
          <w:rStyle w:val="normaltextrun"/>
        </w:rPr>
        <w:t>BA (Hons) Politics and International Relations with Quantitative Research  </w:t>
      </w:r>
    </w:p>
    <w:p w14:paraId="6F1B92AC" w14:textId="5293E44C" w:rsidR="003D5369" w:rsidRPr="00453D8E" w:rsidRDefault="6568CBF2" w:rsidP="00453D8E">
      <w:pPr>
        <w:pStyle w:val="ListBullet"/>
      </w:pPr>
      <w:r w:rsidRPr="00453D8E">
        <w:rPr>
          <w:rStyle w:val="normaltextrun"/>
        </w:rPr>
        <w:t xml:space="preserve">BA (Hons) Politics and International Relations with Quantitative Research With a </w:t>
      </w:r>
      <w:r w:rsidR="006E1964" w:rsidRPr="00453D8E">
        <w:rPr>
          <w:rStyle w:val="normaltextrun"/>
        </w:rPr>
        <w:tab/>
      </w:r>
      <w:r w:rsidRPr="00453D8E">
        <w:rPr>
          <w:rStyle w:val="normaltextrun"/>
        </w:rPr>
        <w:t>Placement Year </w:t>
      </w:r>
    </w:p>
    <w:p w14:paraId="48C185FC" w14:textId="6A449FD5" w:rsidR="003D5369" w:rsidRPr="00453D8E" w:rsidRDefault="6568CBF2" w:rsidP="00453D8E">
      <w:pPr>
        <w:pStyle w:val="ListBullet"/>
      </w:pPr>
      <w:r w:rsidRPr="00453D8E">
        <w:rPr>
          <w:rStyle w:val="normaltextrun"/>
        </w:rPr>
        <w:t>BA (Hons) in Politics and International Relations with a Year in the Asia-Pacific  </w:t>
      </w:r>
    </w:p>
    <w:p w14:paraId="1F957578" w14:textId="77777777" w:rsidR="00453D8E" w:rsidRDefault="00453D8E">
      <w:pPr>
        <w:rPr>
          <w:rStyle w:val="normaltextrun"/>
          <w:rFonts w:ascii="Arial" w:eastAsia="Arial" w:hAnsi="Arial" w:cs="Arial"/>
          <w:b/>
          <w:bCs/>
          <w:i/>
          <w:iCs/>
          <w:color w:val="000000" w:themeColor="text1"/>
          <w:sz w:val="24"/>
          <w:szCs w:val="24"/>
        </w:rPr>
      </w:pPr>
      <w:r>
        <w:rPr>
          <w:rStyle w:val="normaltextrun"/>
          <w:rFonts w:eastAsia="Arial" w:cs="Arial"/>
          <w:b/>
          <w:bCs/>
          <w:i/>
          <w:iCs/>
          <w:color w:val="000000" w:themeColor="text1"/>
          <w:szCs w:val="24"/>
        </w:rPr>
        <w:br w:type="page"/>
      </w:r>
    </w:p>
    <w:p w14:paraId="6A668903" w14:textId="2748669E" w:rsidR="003D5369" w:rsidRPr="00453D8E" w:rsidRDefault="6568CBF2" w:rsidP="00453D8E">
      <w:pPr>
        <w:pStyle w:val="BodyText"/>
      </w:pPr>
      <w:r w:rsidRPr="00453D8E">
        <w:rPr>
          <w:rStyle w:val="normaltextrun"/>
          <w:rFonts w:eastAsia="Arial" w:cs="Arial"/>
          <w:b/>
          <w:bCs/>
          <w:i/>
          <w:iCs/>
          <w:color w:val="000000" w:themeColor="text1"/>
          <w:szCs w:val="24"/>
        </w:rPr>
        <w:t>Optional to the following courses: </w:t>
      </w:r>
    </w:p>
    <w:p w14:paraId="5781FECC" w14:textId="404E5DA9" w:rsidR="003D5369" w:rsidRPr="00063FA0" w:rsidRDefault="6568CBF2" w:rsidP="00453D8E">
      <w:pPr>
        <w:pStyle w:val="ListBullet"/>
      </w:pPr>
      <w:r w:rsidRPr="6ED271FE">
        <w:rPr>
          <w:rStyle w:val="normaltextrun"/>
          <w:rFonts w:eastAsia="Arial" w:cs="Arial"/>
          <w:color w:val="000000" w:themeColor="text1"/>
          <w:szCs w:val="24"/>
        </w:rPr>
        <w:t>BA (Hons) Economics and Politics </w:t>
      </w:r>
    </w:p>
    <w:p w14:paraId="5798D282" w14:textId="5923EF37" w:rsidR="003D5369" w:rsidRPr="00063FA0" w:rsidRDefault="6568CBF2" w:rsidP="00453D8E">
      <w:pPr>
        <w:pStyle w:val="ListBullet"/>
      </w:pPr>
      <w:r w:rsidRPr="6ED271FE">
        <w:rPr>
          <w:rStyle w:val="normaltextrun"/>
          <w:rFonts w:eastAsia="Arial" w:cs="Arial"/>
          <w:color w:val="000000" w:themeColor="text1"/>
          <w:szCs w:val="24"/>
        </w:rPr>
        <w:lastRenderedPageBreak/>
        <w:t>BA (Hons) Philosophy and Politics</w:t>
      </w:r>
    </w:p>
    <w:p w14:paraId="2A9CAB06" w14:textId="6517E300" w:rsidR="003D5369" w:rsidRPr="00063FA0" w:rsidRDefault="6568CBF2" w:rsidP="00453D8E">
      <w:pPr>
        <w:pStyle w:val="ListBullet"/>
      </w:pPr>
      <w:r w:rsidRPr="6ED271FE">
        <w:rPr>
          <w:rStyle w:val="normaltextrun"/>
          <w:rFonts w:eastAsia="Arial" w:cs="Arial"/>
          <w:color w:val="000000" w:themeColor="text1"/>
          <w:szCs w:val="24"/>
        </w:rPr>
        <w:t>BA (Hons) History and Politics</w:t>
      </w:r>
    </w:p>
    <w:p w14:paraId="7189BC3D" w14:textId="48ABD2EE" w:rsidR="003D5369" w:rsidRDefault="6568CBF2" w:rsidP="00453D8E">
      <w:pPr>
        <w:pStyle w:val="ListBullet"/>
        <w:rPr>
          <w:rStyle w:val="normaltextrun"/>
          <w:rFonts w:eastAsia="Arial" w:cs="Arial"/>
          <w:color w:val="000000" w:themeColor="text1"/>
          <w:szCs w:val="24"/>
        </w:rPr>
      </w:pPr>
      <w:r w:rsidRPr="6ED271FE">
        <w:rPr>
          <w:rStyle w:val="normaltextrun"/>
          <w:rFonts w:eastAsia="Arial" w:cs="Arial"/>
          <w:color w:val="000000" w:themeColor="text1"/>
          <w:szCs w:val="24"/>
        </w:rPr>
        <w:t>BA (Hons) Sociology and Politics</w:t>
      </w:r>
    </w:p>
    <w:p w14:paraId="02C7C1CA" w14:textId="49D90319" w:rsidR="00E35CBF" w:rsidRPr="00063FA0" w:rsidRDefault="00E35CBF" w:rsidP="00453D8E">
      <w:pPr>
        <w:pStyle w:val="ListBullet"/>
      </w:pPr>
      <w:r>
        <w:rPr>
          <w:rStyle w:val="normaltextrun"/>
          <w:rFonts w:eastAsia="Arial" w:cs="Arial"/>
          <w:color w:val="000000" w:themeColor="text1"/>
          <w:szCs w:val="24"/>
        </w:rPr>
        <w:t>BA (Hons) Environmental Sustainability</w:t>
      </w:r>
    </w:p>
    <w:p w14:paraId="49939FA0" w14:textId="77777777" w:rsidR="004D1A7C" w:rsidRPr="00453D8E" w:rsidRDefault="004D1A7C" w:rsidP="00453D8E">
      <w:pPr>
        <w:pStyle w:val="BodyText"/>
        <w:spacing w:before="360"/>
      </w:pPr>
      <w:r w:rsidRPr="00453D8E">
        <w:t>Also available as an elective module and to short term credit students</w:t>
      </w:r>
    </w:p>
    <w:p w14:paraId="3839F6AB" w14:textId="77777777" w:rsidR="009A2D37" w:rsidRPr="009D52D0" w:rsidRDefault="009A2D37" w:rsidP="00072357">
      <w:pPr>
        <w:pStyle w:val="Heading2"/>
      </w:pPr>
      <w:r>
        <w:t>The intended subject specific learning outcomes</w:t>
      </w:r>
      <w:r w:rsidR="00C729D7">
        <w:t>.</w:t>
      </w:r>
      <w:r>
        <w:br/>
      </w:r>
      <w:r w:rsidR="00C729D7">
        <w:t>On successfully completing the module students will be able to:</w:t>
      </w:r>
    </w:p>
    <w:p w14:paraId="1AE37D82" w14:textId="27F7F77F" w:rsidR="00E4725F" w:rsidRPr="00A8553E" w:rsidRDefault="00453D8E" w:rsidP="00453D8E">
      <w:pPr>
        <w:pStyle w:val="ListNumber2"/>
        <w:rPr>
          <w:b/>
        </w:rPr>
      </w:pPr>
      <w:r>
        <w:t>8.1</w:t>
      </w:r>
      <w:r>
        <w:tab/>
      </w:r>
      <w:r w:rsidR="00E4725F" w:rsidRPr="00A8553E">
        <w:t>Demonstrate knowledge and understanding of the actors, processes and consequences of global governance</w:t>
      </w:r>
    </w:p>
    <w:p w14:paraId="2452A724" w14:textId="21A8DE71" w:rsidR="00E4725F" w:rsidRPr="00A8553E" w:rsidRDefault="00453D8E" w:rsidP="00453D8E">
      <w:pPr>
        <w:pStyle w:val="ListNumber2"/>
        <w:rPr>
          <w:b/>
        </w:rPr>
      </w:pPr>
      <w:r>
        <w:t>8.2</w:t>
      </w:r>
      <w:r>
        <w:tab/>
      </w:r>
      <w:r w:rsidR="00E4725F" w:rsidRPr="00A8553E">
        <w:t>Understand and analyse change in the emergence and development of governance institutions and organisations</w:t>
      </w:r>
    </w:p>
    <w:p w14:paraId="11E2CB6D" w14:textId="3F71B27F" w:rsidR="00E4725F" w:rsidRPr="00A8553E" w:rsidRDefault="00453D8E" w:rsidP="00453D8E">
      <w:pPr>
        <w:pStyle w:val="ListNumber2"/>
        <w:rPr>
          <w:b/>
        </w:rPr>
      </w:pPr>
      <w:r>
        <w:t>8.3</w:t>
      </w:r>
      <w:r>
        <w:tab/>
      </w:r>
      <w:r w:rsidR="00E4725F" w:rsidRPr="00A8553E">
        <w:t>Understand and evaluate theoretical explanations of cooperation and policy making in the context of global governance</w:t>
      </w:r>
    </w:p>
    <w:p w14:paraId="44A2C2AE" w14:textId="5643F54C" w:rsidR="00E4725F" w:rsidRPr="00A8553E" w:rsidRDefault="00453D8E" w:rsidP="00453D8E">
      <w:pPr>
        <w:pStyle w:val="ListNumber2"/>
        <w:rPr>
          <w:b/>
        </w:rPr>
      </w:pPr>
      <w:r>
        <w:t>8.4</w:t>
      </w:r>
      <w:r>
        <w:tab/>
      </w:r>
      <w:r w:rsidR="00E4725F" w:rsidRPr="00A8553E">
        <w:t>Understand and critically assess the extent to which governance is effective</w:t>
      </w:r>
    </w:p>
    <w:p w14:paraId="22B8C501" w14:textId="182593FA" w:rsidR="00273CF0" w:rsidRPr="00A8553E" w:rsidRDefault="00453D8E" w:rsidP="00453D8E">
      <w:pPr>
        <w:pStyle w:val="ListNumber2"/>
        <w:rPr>
          <w:b/>
        </w:rPr>
      </w:pPr>
      <w:r>
        <w:t>8.5</w:t>
      </w:r>
      <w:r>
        <w:tab/>
      </w:r>
      <w:r w:rsidR="00E4725F" w:rsidRPr="00A8553E">
        <w:t>Assess the significance of the global governance within international politics</w:t>
      </w:r>
      <w:r>
        <w:t>.</w:t>
      </w:r>
    </w:p>
    <w:p w14:paraId="035A14B0" w14:textId="77777777" w:rsidR="00C729D7" w:rsidRPr="00A8553E" w:rsidRDefault="009A2D37" w:rsidP="00072357">
      <w:pPr>
        <w:pStyle w:val="Heading2"/>
      </w:pPr>
      <w:r>
        <w:t>The intended generic learning outcomes</w:t>
      </w:r>
      <w:r w:rsidR="00C729D7">
        <w:t>.</w:t>
      </w:r>
      <w:r>
        <w:br/>
      </w:r>
      <w:r w:rsidR="00C729D7">
        <w:t>On successfully completing the module students will be able to:</w:t>
      </w:r>
    </w:p>
    <w:p w14:paraId="51EFDCAE" w14:textId="2CB66E76" w:rsidR="00E4725F" w:rsidRPr="00A8553E" w:rsidRDefault="00453D8E" w:rsidP="00453D8E">
      <w:pPr>
        <w:pStyle w:val="ListNumber2"/>
      </w:pPr>
      <w:r>
        <w:rPr>
          <w:rStyle w:val="normaltextrun"/>
          <w:rFonts w:cs="Arial"/>
        </w:rPr>
        <w:t>9.1</w:t>
      </w:r>
      <w:r>
        <w:rPr>
          <w:rStyle w:val="normaltextrun"/>
          <w:rFonts w:cs="Arial"/>
        </w:rPr>
        <w:tab/>
        <w:t>G</w:t>
      </w:r>
      <w:r w:rsidR="00E4725F" w:rsidRPr="00A8553E">
        <w:rPr>
          <w:rStyle w:val="normaltextrun"/>
          <w:rFonts w:cs="Arial"/>
        </w:rPr>
        <w:t>ather, organise and deploy evidence, data and information from a variety of sources;</w:t>
      </w:r>
      <w:r w:rsidR="00E4725F" w:rsidRPr="00A8553E">
        <w:rPr>
          <w:rStyle w:val="eop"/>
          <w:rFonts w:cs="Arial"/>
        </w:rPr>
        <w:t> </w:t>
      </w:r>
    </w:p>
    <w:p w14:paraId="79F1EF9A" w14:textId="6F87CD4E" w:rsidR="00E4725F" w:rsidRPr="00A8553E" w:rsidRDefault="00453D8E" w:rsidP="00453D8E">
      <w:pPr>
        <w:pStyle w:val="ListNumber2"/>
      </w:pPr>
      <w:r>
        <w:rPr>
          <w:rStyle w:val="normaltextrun"/>
          <w:rFonts w:cs="Arial"/>
        </w:rPr>
        <w:t>9.2</w:t>
      </w:r>
      <w:r>
        <w:rPr>
          <w:rStyle w:val="normaltextrun"/>
          <w:rFonts w:cs="Arial"/>
        </w:rPr>
        <w:tab/>
        <w:t>I</w:t>
      </w:r>
      <w:r w:rsidR="00E4725F" w:rsidRPr="00A8553E">
        <w:rPr>
          <w:rStyle w:val="normaltextrun"/>
          <w:rFonts w:cs="Arial"/>
        </w:rPr>
        <w:t>dentify, investigate, analyse, formulate and advocate solutions to problems;</w:t>
      </w:r>
      <w:r w:rsidR="00E4725F" w:rsidRPr="00A8553E">
        <w:rPr>
          <w:rStyle w:val="eop"/>
          <w:rFonts w:cs="Arial"/>
        </w:rPr>
        <w:t> </w:t>
      </w:r>
    </w:p>
    <w:p w14:paraId="5181D277" w14:textId="374BBCF1" w:rsidR="00E4725F" w:rsidRPr="00A8553E" w:rsidRDefault="00453D8E" w:rsidP="00453D8E">
      <w:pPr>
        <w:pStyle w:val="ListNumber2"/>
      </w:pPr>
      <w:r>
        <w:rPr>
          <w:rStyle w:val="normaltextrun"/>
          <w:rFonts w:cs="Arial"/>
        </w:rPr>
        <w:t>9.3</w:t>
      </w:r>
      <w:r>
        <w:rPr>
          <w:rStyle w:val="normaltextrun"/>
          <w:rFonts w:cs="Arial"/>
        </w:rPr>
        <w:tab/>
        <w:t>D</w:t>
      </w:r>
      <w:r w:rsidR="00E4725F" w:rsidRPr="00A8553E">
        <w:rPr>
          <w:rStyle w:val="normaltextrun"/>
          <w:rFonts w:cs="Arial"/>
        </w:rPr>
        <w:t>evelop reasoned arguments, synthesise relevant information and exercise critical judgement</w:t>
      </w:r>
      <w:r w:rsidR="00E4725F" w:rsidRPr="00A8553E">
        <w:rPr>
          <w:rStyle w:val="eop"/>
          <w:rFonts w:cs="Arial"/>
        </w:rPr>
        <w:t> </w:t>
      </w:r>
    </w:p>
    <w:p w14:paraId="31D8601B" w14:textId="74AAAEBD" w:rsidR="00273CF0" w:rsidRPr="00A8553E" w:rsidRDefault="00453D8E" w:rsidP="00453D8E">
      <w:pPr>
        <w:pStyle w:val="ListNumber2"/>
      </w:pPr>
      <w:r>
        <w:rPr>
          <w:rStyle w:val="normaltextrun"/>
          <w:rFonts w:cs="Arial"/>
        </w:rPr>
        <w:t>9.4</w:t>
      </w:r>
      <w:r>
        <w:rPr>
          <w:rStyle w:val="normaltextrun"/>
          <w:rFonts w:cs="Arial"/>
        </w:rPr>
        <w:tab/>
      </w:r>
      <w:r w:rsidR="00E4725F" w:rsidRPr="00A8553E">
        <w:rPr>
          <w:rStyle w:val="normaltextrun"/>
          <w:rFonts w:cs="Arial"/>
        </w:rPr>
        <w:t>Communicate effectively and fluently</w:t>
      </w:r>
      <w:r w:rsidR="003E4573">
        <w:rPr>
          <w:rStyle w:val="normaltextrun"/>
          <w:rFonts w:cs="Arial"/>
        </w:rPr>
        <w:t>,</w:t>
      </w:r>
      <w:r w:rsidR="00E4725F" w:rsidRPr="00A8553E">
        <w:rPr>
          <w:rStyle w:val="normaltextrun"/>
          <w:rFonts w:cs="Arial"/>
        </w:rPr>
        <w:t xml:space="preserve"> organise information clearly and coherently</w:t>
      </w:r>
      <w:r>
        <w:rPr>
          <w:rStyle w:val="normaltextrun"/>
          <w:rFonts w:cs="Arial"/>
        </w:rPr>
        <w:t>.</w:t>
      </w:r>
    </w:p>
    <w:p w14:paraId="73386C6A" w14:textId="77777777" w:rsidR="009A2D37" w:rsidRPr="009D52D0" w:rsidRDefault="009A2D37" w:rsidP="00072357">
      <w:pPr>
        <w:pStyle w:val="Heading2"/>
      </w:pPr>
      <w:r>
        <w:t>A synopsis of the curriculum</w:t>
      </w:r>
    </w:p>
    <w:p w14:paraId="5BC57E9A" w14:textId="52B906C9" w:rsidR="006E7FB5" w:rsidRPr="00A8553E" w:rsidRDefault="007B7711" w:rsidP="00453D8E">
      <w:pPr>
        <w:pStyle w:val="BodyText"/>
        <w:rPr>
          <w:b/>
        </w:rPr>
      </w:pPr>
      <w:r>
        <w:t>G</w:t>
      </w:r>
      <w:r w:rsidR="006E7FB5" w:rsidRPr="00A8553E">
        <w:t>lobal institutions and regimes have become increasingly important in a world facing problems that cross borders and require multilateral action. This module examines the institutions, norms, processes, actors, and consequences of global and regional governance across a range of issue areas. It further addresses a number of questions, including the extent to which cooperation is possible and multilateral governance effective, while examining the roles played by states, international organisations (such as the United Nations, the World Trade Organization, or regional groupings such as the European Union or the Association of Southeast Asian Nations), international non-governmental organisations (NGOs) and other actors. The specific issue areas may include security, human rights, the environment, and regional integration, among</w:t>
      </w:r>
      <w:r w:rsidR="006E1964">
        <w:t>st</w:t>
      </w:r>
      <w:r w:rsidR="006E7FB5" w:rsidRPr="00A8553E">
        <w:t xml:space="preserve"> others.</w:t>
      </w:r>
    </w:p>
    <w:p w14:paraId="05E3877E" w14:textId="77777777" w:rsidR="00636058" w:rsidRDefault="00883204" w:rsidP="00895D3C">
      <w:pPr>
        <w:pStyle w:val="Heading2"/>
      </w:pPr>
      <w:r>
        <w:t>Reading l</w:t>
      </w:r>
      <w:r w:rsidR="009A2D37">
        <w:t xml:space="preserve">ist </w:t>
      </w:r>
    </w:p>
    <w:p w14:paraId="6574CE52" w14:textId="4D1C00BF" w:rsidR="00636058" w:rsidRDefault="00636058" w:rsidP="00453D8E">
      <w:pPr>
        <w:pStyle w:val="BodyText"/>
        <w:rPr>
          <w:b/>
        </w:rPr>
      </w:pPr>
      <w:r w:rsidRPr="00636058">
        <w:t xml:space="preserve">The University is committed to ensuring that core reading materials are in accessible electronic format in line with the Kent Inclusive Practices. </w:t>
      </w:r>
    </w:p>
    <w:p w14:paraId="4BB9C9F6" w14:textId="1905AFA5" w:rsidR="001678F8" w:rsidRPr="00453D8E" w:rsidRDefault="00636058" w:rsidP="00453D8E">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DE0914B" w:rsidR="00636058" w:rsidRPr="00636058" w:rsidRDefault="00636058" w:rsidP="00453D8E">
      <w:pPr>
        <w:pStyle w:val="BodyText"/>
      </w:pPr>
      <w:r w:rsidRPr="00636058">
        <w:t>Private Study</w:t>
      </w:r>
      <w:r w:rsidR="007A3F31">
        <w:t>:</w:t>
      </w:r>
      <w:r w:rsidR="00453D8E">
        <w:tab/>
      </w:r>
      <w:r w:rsidR="001678F8">
        <w:t>128</w:t>
      </w:r>
    </w:p>
    <w:p w14:paraId="3BE5E6D9" w14:textId="50850B56" w:rsidR="00636058" w:rsidRPr="00636058" w:rsidRDefault="00636058" w:rsidP="00453D8E">
      <w:pPr>
        <w:pStyle w:val="BodyText"/>
      </w:pPr>
      <w:r w:rsidRPr="00636058">
        <w:t>Contact Hours</w:t>
      </w:r>
      <w:r w:rsidR="007A3F31">
        <w:t>:</w:t>
      </w:r>
      <w:r w:rsidR="00453D8E">
        <w:t xml:space="preserve">  </w:t>
      </w:r>
      <w:r w:rsidR="001678F8">
        <w:t>22</w:t>
      </w:r>
    </w:p>
    <w:p w14:paraId="260000FF" w14:textId="6E914980" w:rsidR="00636058" w:rsidRPr="00636058" w:rsidRDefault="00636058" w:rsidP="00453D8E">
      <w:pPr>
        <w:pStyle w:val="BodyText"/>
      </w:pPr>
      <w:r w:rsidRPr="00636058">
        <w:t>Total</w:t>
      </w:r>
      <w:r w:rsidR="007A3F31">
        <w:t>:</w:t>
      </w:r>
      <w:r w:rsidR="00453D8E">
        <w:tab/>
      </w:r>
      <w:r w:rsidR="00453D8E">
        <w:tab/>
      </w:r>
      <w:r w:rsidR="001678F8">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453D8E">
      <w:pPr>
        <w:pStyle w:val="header2"/>
        <w:numPr>
          <w:ilvl w:val="1"/>
          <w:numId w:val="11"/>
        </w:numPr>
        <w:ind w:right="0"/>
        <w:rPr>
          <w:b w:val="0"/>
          <w:bCs/>
          <w:i/>
          <w:iCs/>
        </w:rPr>
      </w:pPr>
      <w:r w:rsidRPr="00B2615D">
        <w:rPr>
          <w:b w:val="0"/>
          <w:bCs/>
          <w:iCs/>
        </w:rPr>
        <w:t>Main assessment methods</w:t>
      </w:r>
    </w:p>
    <w:p w14:paraId="603BE617" w14:textId="618D6617" w:rsidR="003F3578" w:rsidRDefault="003179EA" w:rsidP="00453D8E">
      <w:pPr>
        <w:pStyle w:val="BodyText"/>
      </w:pPr>
      <w:r>
        <w:t>Essay</w:t>
      </w:r>
      <w:r w:rsidR="003B2545">
        <w:t>, 2500 words,</w:t>
      </w:r>
      <w:r>
        <w:t xml:space="preserve"> 50%</w:t>
      </w:r>
    </w:p>
    <w:p w14:paraId="74F6DDA3" w14:textId="09D97757" w:rsidR="008D4447" w:rsidRDefault="00C86C4A" w:rsidP="00453D8E">
      <w:pPr>
        <w:pStyle w:val="BodyText"/>
        <w:rPr>
          <w:bCs/>
        </w:rPr>
      </w:pPr>
      <w:r>
        <w:rPr>
          <w:bCs/>
        </w:rPr>
        <w:t>E</w:t>
      </w:r>
      <w:r w:rsidR="003179EA">
        <w:rPr>
          <w:bCs/>
        </w:rPr>
        <w:t>xam 50%</w:t>
      </w:r>
    </w:p>
    <w:p w14:paraId="3DA1BBE3" w14:textId="2DFDA911" w:rsidR="00696FF5" w:rsidRPr="009D52D0" w:rsidRDefault="00B2615D" w:rsidP="009653EE">
      <w:pPr>
        <w:spacing w:before="240" w:after="120" w:line="240" w:lineRule="auto"/>
        <w:ind w:left="567" w:hanging="709"/>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84A6134" w:rsidR="008D4447" w:rsidRPr="008D4447" w:rsidRDefault="003321A1" w:rsidP="00453D8E">
      <w:pPr>
        <w:pStyle w:val="BodyText"/>
      </w:pPr>
      <w:r>
        <w:t>Like-</w:t>
      </w:r>
      <w:r w:rsidRPr="00453D8E">
        <w:t>for</w:t>
      </w:r>
      <w:r>
        <w:t>-Like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B85086" w:rsidRDefault="00636058" w:rsidP="00B85086">
      <w:pPr>
        <w:pStyle w:val="BodyText"/>
        <w:spacing w:before="360" w:after="360"/>
        <w:rPr>
          <w:b/>
        </w:rPr>
      </w:pPr>
      <w:r w:rsidRPr="00B85086">
        <w:rPr>
          <w:b/>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50877" w:rsidRPr="009D52D0" w14:paraId="5413EC92" w14:textId="77777777" w:rsidTr="00623B2B">
        <w:trPr>
          <w:cantSplit/>
          <w:tblHeader/>
        </w:trPr>
        <w:tc>
          <w:tcPr>
            <w:tcW w:w="2439" w:type="dxa"/>
            <w:shd w:val="clear" w:color="auto" w:fill="D9D9D9" w:themeFill="background1" w:themeFillShade="D9"/>
          </w:tcPr>
          <w:p w14:paraId="140365DD" w14:textId="77777777" w:rsidR="00250877" w:rsidRPr="009D52D0" w:rsidRDefault="00250877" w:rsidP="00B85086">
            <w:pPr>
              <w:spacing w:after="120"/>
              <w:ind w:left="3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8.1</w:t>
            </w:r>
          </w:p>
        </w:tc>
        <w:tc>
          <w:tcPr>
            <w:tcW w:w="567" w:type="dxa"/>
          </w:tcPr>
          <w:p w14:paraId="5B554168"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8.2</w:t>
            </w:r>
          </w:p>
        </w:tc>
        <w:tc>
          <w:tcPr>
            <w:tcW w:w="567" w:type="dxa"/>
          </w:tcPr>
          <w:p w14:paraId="70BB1C5A"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8.3</w:t>
            </w:r>
          </w:p>
        </w:tc>
        <w:tc>
          <w:tcPr>
            <w:tcW w:w="567" w:type="dxa"/>
          </w:tcPr>
          <w:p w14:paraId="553BA646"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8.4</w:t>
            </w:r>
          </w:p>
        </w:tc>
        <w:tc>
          <w:tcPr>
            <w:tcW w:w="567" w:type="dxa"/>
          </w:tcPr>
          <w:p w14:paraId="6C66B5C0"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8.5</w:t>
            </w:r>
          </w:p>
        </w:tc>
        <w:tc>
          <w:tcPr>
            <w:tcW w:w="567" w:type="dxa"/>
          </w:tcPr>
          <w:p w14:paraId="3B577D4A"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9.1</w:t>
            </w:r>
          </w:p>
        </w:tc>
        <w:tc>
          <w:tcPr>
            <w:tcW w:w="567" w:type="dxa"/>
          </w:tcPr>
          <w:p w14:paraId="266E4126"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9.2</w:t>
            </w:r>
          </w:p>
        </w:tc>
        <w:tc>
          <w:tcPr>
            <w:tcW w:w="567" w:type="dxa"/>
          </w:tcPr>
          <w:p w14:paraId="6EC60A4C"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9.3</w:t>
            </w:r>
          </w:p>
        </w:tc>
        <w:tc>
          <w:tcPr>
            <w:tcW w:w="567" w:type="dxa"/>
          </w:tcPr>
          <w:p w14:paraId="3221C1C8" w14:textId="387FEC85"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9.4</w:t>
            </w:r>
          </w:p>
        </w:tc>
      </w:tr>
      <w:tr w:rsidR="00250877" w:rsidRPr="009D52D0" w14:paraId="780DC4A5" w14:textId="77777777" w:rsidTr="00623B2B">
        <w:tc>
          <w:tcPr>
            <w:tcW w:w="2439" w:type="dxa"/>
          </w:tcPr>
          <w:p w14:paraId="16F79E00" w14:textId="77777777" w:rsidR="00250877" w:rsidRPr="00DC395B" w:rsidRDefault="00250877" w:rsidP="00B85086">
            <w:pPr>
              <w:spacing w:after="120"/>
              <w:rPr>
                <w:rFonts w:ascii="Arial" w:hAnsi="Arial" w:cs="Arial"/>
                <w:bCs/>
                <w:sz w:val="20"/>
                <w:szCs w:val="20"/>
              </w:rPr>
            </w:pPr>
            <w:r w:rsidRPr="00DC395B">
              <w:rPr>
                <w:rFonts w:ascii="Arial" w:hAnsi="Arial" w:cs="Arial"/>
                <w:bCs/>
                <w:sz w:val="20"/>
                <w:szCs w:val="20"/>
              </w:rPr>
              <w:t>Private Study</w:t>
            </w:r>
          </w:p>
        </w:tc>
        <w:tc>
          <w:tcPr>
            <w:tcW w:w="567" w:type="dxa"/>
          </w:tcPr>
          <w:p w14:paraId="34752F0E" w14:textId="1717EDAB"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0E9B09C0" w14:textId="0C057E22"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6CD1C02C" w14:textId="49C49CFE"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45C64561" w14:textId="16C7906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62607B91" w14:textId="00FC320A"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A716802" w14:textId="661862F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5BAFD1A4" w14:textId="509902C2"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030A7445" w14:textId="190BA2C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07703E2C" w14:textId="06457E9D"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r>
      <w:tr w:rsidR="00250877" w:rsidRPr="009D52D0" w14:paraId="5C50A519" w14:textId="77777777" w:rsidTr="00623B2B">
        <w:tc>
          <w:tcPr>
            <w:tcW w:w="2439" w:type="dxa"/>
          </w:tcPr>
          <w:p w14:paraId="433DE3A7" w14:textId="34BE0EBD" w:rsidR="00250877" w:rsidRPr="003179EA" w:rsidRDefault="00250877" w:rsidP="00B85086">
            <w:pPr>
              <w:spacing w:after="120"/>
              <w:rPr>
                <w:rFonts w:ascii="Arial" w:hAnsi="Arial" w:cs="Arial"/>
                <w:iCs/>
                <w:sz w:val="20"/>
                <w:szCs w:val="20"/>
              </w:rPr>
            </w:pPr>
            <w:r w:rsidRPr="003179EA">
              <w:rPr>
                <w:rFonts w:ascii="Arial" w:hAnsi="Arial" w:cs="Arial"/>
                <w:iCs/>
                <w:sz w:val="20"/>
                <w:szCs w:val="20"/>
              </w:rPr>
              <w:t>Lectures</w:t>
            </w:r>
          </w:p>
        </w:tc>
        <w:tc>
          <w:tcPr>
            <w:tcW w:w="567" w:type="dxa"/>
          </w:tcPr>
          <w:p w14:paraId="3853654B" w14:textId="331709CE"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7261D01A" w14:textId="15DFE33A"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D7957D4" w14:textId="491CF52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32B2686" w14:textId="76F66F4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4971B999" w14:textId="6718C06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AE9F109" w14:textId="77777777" w:rsidR="00250877" w:rsidRPr="00B85086" w:rsidRDefault="00250877" w:rsidP="00B85086">
            <w:pPr>
              <w:spacing w:after="120"/>
              <w:jc w:val="center"/>
              <w:rPr>
                <w:rFonts w:ascii="Arial" w:hAnsi="Arial" w:cs="Arial"/>
                <w:b/>
                <w:bCs/>
                <w:sz w:val="20"/>
                <w:szCs w:val="20"/>
              </w:rPr>
            </w:pPr>
          </w:p>
        </w:tc>
        <w:tc>
          <w:tcPr>
            <w:tcW w:w="567" w:type="dxa"/>
          </w:tcPr>
          <w:p w14:paraId="6BD0A090" w14:textId="77777777" w:rsidR="00250877" w:rsidRPr="00B85086" w:rsidRDefault="00250877" w:rsidP="00B85086">
            <w:pPr>
              <w:spacing w:after="120"/>
              <w:jc w:val="center"/>
              <w:rPr>
                <w:rFonts w:ascii="Arial" w:hAnsi="Arial" w:cs="Arial"/>
                <w:b/>
                <w:bCs/>
                <w:sz w:val="20"/>
                <w:szCs w:val="20"/>
              </w:rPr>
            </w:pPr>
          </w:p>
        </w:tc>
        <w:tc>
          <w:tcPr>
            <w:tcW w:w="567" w:type="dxa"/>
          </w:tcPr>
          <w:p w14:paraId="3DAC9A4A" w14:textId="77777777" w:rsidR="00250877" w:rsidRPr="00B85086" w:rsidRDefault="00250877" w:rsidP="00B85086">
            <w:pPr>
              <w:spacing w:after="120"/>
              <w:jc w:val="center"/>
              <w:rPr>
                <w:rFonts w:ascii="Arial" w:hAnsi="Arial" w:cs="Arial"/>
                <w:b/>
                <w:bCs/>
                <w:sz w:val="20"/>
                <w:szCs w:val="20"/>
              </w:rPr>
            </w:pPr>
          </w:p>
        </w:tc>
        <w:tc>
          <w:tcPr>
            <w:tcW w:w="567" w:type="dxa"/>
          </w:tcPr>
          <w:p w14:paraId="41EDD6A7" w14:textId="77777777" w:rsidR="00250877" w:rsidRPr="00B85086" w:rsidRDefault="00250877" w:rsidP="00B85086">
            <w:pPr>
              <w:spacing w:after="120"/>
              <w:jc w:val="center"/>
              <w:rPr>
                <w:rFonts w:ascii="Arial" w:hAnsi="Arial" w:cs="Arial"/>
                <w:b/>
                <w:bCs/>
                <w:sz w:val="20"/>
                <w:szCs w:val="20"/>
              </w:rPr>
            </w:pPr>
          </w:p>
        </w:tc>
      </w:tr>
      <w:tr w:rsidR="00250877" w:rsidRPr="009D52D0" w14:paraId="460BDA99" w14:textId="77777777" w:rsidTr="00623B2B">
        <w:tc>
          <w:tcPr>
            <w:tcW w:w="2439" w:type="dxa"/>
          </w:tcPr>
          <w:p w14:paraId="1CDAA785" w14:textId="24255845" w:rsidR="00250877" w:rsidRPr="003179EA" w:rsidRDefault="00250877" w:rsidP="00B85086">
            <w:pPr>
              <w:spacing w:after="120"/>
              <w:rPr>
                <w:rFonts w:ascii="Arial" w:hAnsi="Arial" w:cs="Arial"/>
                <w:iCs/>
                <w:sz w:val="20"/>
                <w:szCs w:val="20"/>
              </w:rPr>
            </w:pPr>
            <w:r w:rsidRPr="003179EA">
              <w:rPr>
                <w:rFonts w:ascii="Arial" w:hAnsi="Arial" w:cs="Arial"/>
                <w:iCs/>
                <w:sz w:val="20"/>
                <w:szCs w:val="20"/>
              </w:rPr>
              <w:t>Seminars</w:t>
            </w:r>
          </w:p>
        </w:tc>
        <w:tc>
          <w:tcPr>
            <w:tcW w:w="567" w:type="dxa"/>
          </w:tcPr>
          <w:p w14:paraId="0B596153" w14:textId="1C4926F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7EF775FB" w14:textId="3D688189"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76760D4D" w14:textId="6D3E3A4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9E92B33" w14:textId="074DFFD9"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712B107A" w14:textId="565CE3B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1C240711" w14:textId="4AE5A85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D2FDCA3" w14:textId="67774A59"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20301B4E" w14:textId="666C1C22"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019ED988" w14:textId="77777777" w:rsidR="00250877" w:rsidRPr="00B85086" w:rsidRDefault="00250877" w:rsidP="00B85086">
            <w:pPr>
              <w:spacing w:after="120"/>
              <w:jc w:val="center"/>
              <w:rPr>
                <w:rFonts w:ascii="Arial" w:hAnsi="Arial" w:cs="Arial"/>
                <w:b/>
                <w:bCs/>
                <w:sz w:val="20"/>
                <w:szCs w:val="20"/>
              </w:rPr>
            </w:pPr>
          </w:p>
        </w:tc>
      </w:tr>
    </w:tbl>
    <w:p w14:paraId="6E562EAE" w14:textId="77777777" w:rsidR="00B85086" w:rsidRDefault="00B85086" w:rsidP="00B85086">
      <w:pPr>
        <w:pStyle w:val="BodyText"/>
        <w:spacing w:before="360" w:after="360"/>
        <w:rPr>
          <w:b/>
        </w:rPr>
      </w:pPr>
    </w:p>
    <w:p w14:paraId="55A19D35" w14:textId="77777777" w:rsidR="00B85086" w:rsidRDefault="00B85086">
      <w:pPr>
        <w:rPr>
          <w:rFonts w:ascii="Arial" w:hAnsi="Arial"/>
          <w:b/>
          <w:sz w:val="24"/>
        </w:rPr>
      </w:pPr>
      <w:r>
        <w:rPr>
          <w:b/>
        </w:rPr>
        <w:br w:type="page"/>
      </w:r>
    </w:p>
    <w:p w14:paraId="1DF2B576" w14:textId="7B49B494" w:rsidR="007A6245" w:rsidRPr="00B85086" w:rsidRDefault="00636058" w:rsidP="00B85086">
      <w:pPr>
        <w:pStyle w:val="BodyText"/>
        <w:spacing w:before="360" w:after="360"/>
        <w:rPr>
          <w:b/>
        </w:rPr>
      </w:pPr>
      <w:r w:rsidRPr="00B85086">
        <w:rPr>
          <w:b/>
        </w:rPr>
        <w:t>Module learning outcomes against assessment methods:</w:t>
      </w:r>
    </w:p>
    <w:tbl>
      <w:tblPr>
        <w:tblStyle w:val="TableGrid"/>
        <w:tblpPr w:leftFromText="180" w:rightFromText="180" w:vertAnchor="text" w:horzAnchor="page" w:tblpX="1294" w:tblpY="108"/>
        <w:tblW w:w="779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709"/>
      </w:tblGrid>
      <w:tr w:rsidR="00250877" w:rsidRPr="009D52D0" w14:paraId="7367825C" w14:textId="77777777" w:rsidTr="00B85086">
        <w:trPr>
          <w:tblHeader/>
        </w:trPr>
        <w:tc>
          <w:tcPr>
            <w:tcW w:w="2405" w:type="dxa"/>
            <w:shd w:val="clear" w:color="auto" w:fill="D9D9D9" w:themeFill="background1" w:themeFillShade="D9"/>
          </w:tcPr>
          <w:p w14:paraId="4E99BFB5" w14:textId="77777777" w:rsidR="00250877" w:rsidRPr="009D52D0" w:rsidRDefault="00250877" w:rsidP="00B85086">
            <w:pPr>
              <w:spacing w:after="120"/>
              <w:ind w:left="3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8.1</w:t>
            </w:r>
          </w:p>
        </w:tc>
        <w:tc>
          <w:tcPr>
            <w:tcW w:w="567" w:type="dxa"/>
          </w:tcPr>
          <w:p w14:paraId="2210FC9E"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8.2</w:t>
            </w:r>
          </w:p>
        </w:tc>
        <w:tc>
          <w:tcPr>
            <w:tcW w:w="709" w:type="dxa"/>
          </w:tcPr>
          <w:p w14:paraId="00B7F160"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8.3</w:t>
            </w:r>
          </w:p>
        </w:tc>
        <w:tc>
          <w:tcPr>
            <w:tcW w:w="567" w:type="dxa"/>
          </w:tcPr>
          <w:p w14:paraId="2BB3974A"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8.4</w:t>
            </w:r>
          </w:p>
        </w:tc>
        <w:tc>
          <w:tcPr>
            <w:tcW w:w="567" w:type="dxa"/>
          </w:tcPr>
          <w:p w14:paraId="23BFBA31"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8.5</w:t>
            </w:r>
          </w:p>
        </w:tc>
        <w:tc>
          <w:tcPr>
            <w:tcW w:w="567" w:type="dxa"/>
          </w:tcPr>
          <w:p w14:paraId="0D56B3A5"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9.1</w:t>
            </w:r>
          </w:p>
        </w:tc>
        <w:tc>
          <w:tcPr>
            <w:tcW w:w="567" w:type="dxa"/>
          </w:tcPr>
          <w:p w14:paraId="523687DC"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9.2</w:t>
            </w:r>
          </w:p>
        </w:tc>
        <w:tc>
          <w:tcPr>
            <w:tcW w:w="567" w:type="dxa"/>
          </w:tcPr>
          <w:p w14:paraId="1106ECFC" w14:textId="77777777"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9.3</w:t>
            </w:r>
          </w:p>
        </w:tc>
        <w:tc>
          <w:tcPr>
            <w:tcW w:w="709" w:type="dxa"/>
          </w:tcPr>
          <w:p w14:paraId="0C3BF660" w14:textId="1EA181F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9.4</w:t>
            </w:r>
          </w:p>
        </w:tc>
      </w:tr>
      <w:tr w:rsidR="00250877" w:rsidRPr="009D52D0" w14:paraId="6D8FD37D" w14:textId="77777777" w:rsidTr="00B85086">
        <w:trPr>
          <w:tblHeader/>
        </w:trPr>
        <w:tc>
          <w:tcPr>
            <w:tcW w:w="2405" w:type="dxa"/>
          </w:tcPr>
          <w:p w14:paraId="6500FA2E" w14:textId="75446292" w:rsidR="00250877" w:rsidRPr="003179EA" w:rsidRDefault="00250877" w:rsidP="00B85086">
            <w:pPr>
              <w:spacing w:after="120"/>
              <w:rPr>
                <w:rFonts w:ascii="Arial" w:hAnsi="Arial" w:cs="Arial"/>
                <w:iCs/>
                <w:sz w:val="20"/>
                <w:szCs w:val="20"/>
              </w:rPr>
            </w:pPr>
            <w:r w:rsidRPr="003179EA">
              <w:rPr>
                <w:rFonts w:ascii="Arial" w:hAnsi="Arial" w:cs="Arial"/>
                <w:iCs/>
                <w:sz w:val="20"/>
                <w:szCs w:val="20"/>
              </w:rPr>
              <w:t>Essay</w:t>
            </w:r>
          </w:p>
        </w:tc>
        <w:tc>
          <w:tcPr>
            <w:tcW w:w="567" w:type="dxa"/>
          </w:tcPr>
          <w:p w14:paraId="718AB32A" w14:textId="3F8250E1"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71084725" w14:textId="0565A16E"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709" w:type="dxa"/>
          </w:tcPr>
          <w:p w14:paraId="659E3E11" w14:textId="26EEBCB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02BFF41C" w14:textId="2FC9DA4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19049929" w14:textId="6DC86315"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60747C35" w14:textId="3B8E15CA"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6FCDE494" w14:textId="54E6B548"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48C6EE1D" w14:textId="31C56F43"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709" w:type="dxa"/>
          </w:tcPr>
          <w:p w14:paraId="0FB35350" w14:textId="7E50C71B"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r>
      <w:tr w:rsidR="00250877" w:rsidRPr="009D52D0" w14:paraId="24A3F2DE" w14:textId="77777777" w:rsidTr="00B85086">
        <w:trPr>
          <w:tblHeader/>
        </w:trPr>
        <w:tc>
          <w:tcPr>
            <w:tcW w:w="2405" w:type="dxa"/>
          </w:tcPr>
          <w:p w14:paraId="62679557" w14:textId="3A92C05C" w:rsidR="00250877" w:rsidRPr="003179EA" w:rsidRDefault="00250877" w:rsidP="00B85086">
            <w:pPr>
              <w:spacing w:after="120"/>
              <w:rPr>
                <w:rFonts w:ascii="Arial" w:hAnsi="Arial" w:cs="Arial"/>
                <w:iCs/>
                <w:sz w:val="20"/>
                <w:szCs w:val="20"/>
              </w:rPr>
            </w:pPr>
            <w:r>
              <w:rPr>
                <w:rFonts w:ascii="Arial" w:hAnsi="Arial" w:cs="Arial"/>
                <w:iCs/>
                <w:sz w:val="20"/>
                <w:szCs w:val="20"/>
              </w:rPr>
              <w:t>Exam</w:t>
            </w:r>
          </w:p>
        </w:tc>
        <w:tc>
          <w:tcPr>
            <w:tcW w:w="567" w:type="dxa"/>
          </w:tcPr>
          <w:p w14:paraId="3AD91FA5" w14:textId="4233515E"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369FCC24" w14:textId="45C564DB"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709" w:type="dxa"/>
          </w:tcPr>
          <w:p w14:paraId="2B675AB2" w14:textId="40BAFA01"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370F1B6F" w14:textId="6015C709"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599C30B6" w14:textId="3E8199D5"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5805A995" w14:textId="0CF759FF"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6C478F72" w14:textId="08444868"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567" w:type="dxa"/>
          </w:tcPr>
          <w:p w14:paraId="1056EBD9" w14:textId="3E9A7D2C"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c>
          <w:tcPr>
            <w:tcW w:w="709" w:type="dxa"/>
          </w:tcPr>
          <w:p w14:paraId="05CD00CA" w14:textId="4AAEF84F" w:rsidR="00250877" w:rsidRPr="00B85086" w:rsidRDefault="00250877" w:rsidP="00B85086">
            <w:pPr>
              <w:spacing w:after="120"/>
              <w:jc w:val="center"/>
              <w:rPr>
                <w:rFonts w:ascii="Arial" w:hAnsi="Arial" w:cs="Arial"/>
                <w:b/>
                <w:bCs/>
                <w:sz w:val="20"/>
                <w:szCs w:val="20"/>
              </w:rPr>
            </w:pPr>
            <w:r w:rsidRPr="00B85086">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1B8E9B9F" w:rsidR="00883204" w:rsidRPr="009D52D0" w:rsidRDefault="00883204" w:rsidP="00B85086">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B85086">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B85086">
      <w:pPr>
        <w:pStyle w:val="BodyText"/>
        <w:rPr>
          <w:bCs/>
        </w:rPr>
      </w:pPr>
      <w:r w:rsidRPr="009D52D0">
        <w:t xml:space="preserve">a) </w:t>
      </w:r>
      <w:r w:rsidRPr="009D52D0">
        <w:rPr>
          <w:bCs/>
        </w:rPr>
        <w:t>Accessible resources and curriculum</w:t>
      </w:r>
    </w:p>
    <w:p w14:paraId="5F2DDA76" w14:textId="77777777" w:rsidR="00883204" w:rsidRPr="009D52D0" w:rsidRDefault="00883204" w:rsidP="00B85086">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19A2FEB0" w:rsidR="009A2D37" w:rsidRDefault="0084065F" w:rsidP="00B85086">
      <w:pPr>
        <w:pStyle w:val="BodyText"/>
      </w:pPr>
      <w:r>
        <w:t>Canterbury</w:t>
      </w:r>
    </w:p>
    <w:p w14:paraId="654C7CE7" w14:textId="77777777" w:rsidR="00883204" w:rsidRPr="009D52D0" w:rsidRDefault="00883204" w:rsidP="00072357">
      <w:pPr>
        <w:pStyle w:val="Heading2"/>
      </w:pPr>
      <w:r>
        <w:t xml:space="preserve">Internationalisation </w:t>
      </w:r>
    </w:p>
    <w:p w14:paraId="4260A45A" w14:textId="274F15BA" w:rsidR="00922E9E" w:rsidRPr="00A34AA0" w:rsidRDefault="0084065F" w:rsidP="00B85086">
      <w:pPr>
        <w:pStyle w:val="BodyText"/>
        <w:rPr>
          <w:rFonts w:ascii="Times New Roman" w:hAnsi="Times New Roman" w:cs="Times New Roman"/>
          <w:b/>
        </w:rPr>
      </w:pPr>
      <w:r w:rsidRPr="0084065F">
        <w:rPr>
          <w:shd w:val="clear" w:color="auto" w:fill="FFFFFF"/>
        </w:rPr>
        <w:t xml:space="preserve">The course considers perspectives from, and draws on </w:t>
      </w:r>
      <w:r>
        <w:rPr>
          <w:shd w:val="clear" w:color="auto" w:fill="FFFFFF"/>
        </w:rPr>
        <w:t xml:space="preserve">research from </w:t>
      </w:r>
      <w:r w:rsidR="00A34AA0">
        <w:rPr>
          <w:shd w:val="clear" w:color="auto" w:fill="FFFFFF"/>
        </w:rPr>
        <w:t xml:space="preserve">multiple </w:t>
      </w:r>
      <w:r w:rsidRPr="0084065F">
        <w:rPr>
          <w:shd w:val="clear" w:color="auto" w:fill="FFFFFF"/>
        </w:rPr>
        <w:t>countries</w:t>
      </w:r>
      <w:r w:rsidR="00A34AA0">
        <w:rPr>
          <w:shd w:val="clear" w:color="auto" w:fill="FFFFFF"/>
        </w:rPr>
        <w:t xml:space="preserve"> and regions around the globe, </w:t>
      </w:r>
      <w:r w:rsidRPr="0084065F">
        <w:rPr>
          <w:shd w:val="clear" w:color="auto" w:fill="FFFFFF"/>
        </w:rPr>
        <w:t>and so locates the core themes within a wider international perspective.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1E9E4A30" w14:textId="77777777" w:rsidR="00B85086" w:rsidRPr="009D52D0" w:rsidRDefault="00B85086" w:rsidP="00B85086">
      <w:pPr>
        <w:pBdr>
          <w:bottom w:val="single" w:sz="6" w:space="1" w:color="auto"/>
        </w:pBdr>
        <w:spacing w:after="120" w:line="240" w:lineRule="auto"/>
        <w:ind w:right="543"/>
        <w:rPr>
          <w:rFonts w:ascii="Arial" w:hAnsi="Arial" w:cs="Arial"/>
          <w:sz w:val="24"/>
          <w:szCs w:val="24"/>
        </w:rPr>
      </w:pPr>
      <w:bookmarkStart w:id="0" w:name="_Hlk118801091"/>
    </w:p>
    <w:p w14:paraId="3990D47A" w14:textId="77777777" w:rsidR="00B85086" w:rsidRPr="005E5282" w:rsidRDefault="00B85086" w:rsidP="00B85086">
      <w:pPr>
        <w:spacing w:after="120" w:line="240" w:lineRule="auto"/>
        <w:ind w:right="543"/>
        <w:rPr>
          <w:rFonts w:ascii="Arial" w:hAnsi="Arial" w:cs="Arial"/>
          <w:b/>
        </w:rPr>
      </w:pPr>
      <w:r w:rsidRPr="005E5282">
        <w:rPr>
          <w:rFonts w:ascii="Arial" w:hAnsi="Arial" w:cs="Arial"/>
          <w:b/>
        </w:rPr>
        <w:t xml:space="preserve">DIVISIONAL USE ONLY </w:t>
      </w:r>
    </w:p>
    <w:bookmarkEnd w:id="0"/>
    <w:p w14:paraId="04341947" w14:textId="77777777" w:rsidR="00B85086" w:rsidRPr="005E5282" w:rsidRDefault="00B85086" w:rsidP="00B85086">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DBA5ACF" w14:textId="77777777" w:rsidR="00B85086" w:rsidRPr="005E5282" w:rsidRDefault="00B85086" w:rsidP="00B85086">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B85086" w:rsidRPr="009D52D0" w14:paraId="00F5C700" w14:textId="77777777" w:rsidTr="00B85086">
        <w:trPr>
          <w:trHeight w:val="317"/>
          <w:tblHeader/>
        </w:trPr>
        <w:tc>
          <w:tcPr>
            <w:tcW w:w="1592" w:type="dxa"/>
            <w:shd w:val="clear" w:color="auto" w:fill="F2F2F2" w:themeFill="background1" w:themeFillShade="F2"/>
          </w:tcPr>
          <w:p w14:paraId="513AA2DF" w14:textId="77777777" w:rsidR="00B85086" w:rsidRPr="009D52D0" w:rsidRDefault="00B85086" w:rsidP="00CB346F">
            <w:pPr>
              <w:pStyle w:val="Tableoutcomeshead"/>
            </w:pPr>
            <w:r w:rsidRPr="009D52D0">
              <w:t>Date approved</w:t>
            </w:r>
          </w:p>
        </w:tc>
        <w:tc>
          <w:tcPr>
            <w:tcW w:w="1817" w:type="dxa"/>
            <w:shd w:val="clear" w:color="auto" w:fill="F2F2F2" w:themeFill="background1" w:themeFillShade="F2"/>
          </w:tcPr>
          <w:p w14:paraId="51871F86" w14:textId="77777777" w:rsidR="00B85086" w:rsidRPr="009D52D0" w:rsidRDefault="00B85086"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47D141B4" w14:textId="77777777" w:rsidR="00B85086" w:rsidRPr="009D52D0" w:rsidRDefault="00B85086"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41D2710E" w14:textId="77777777" w:rsidR="00B85086" w:rsidRPr="009D52D0" w:rsidRDefault="00B85086" w:rsidP="00CB346F">
            <w:pPr>
              <w:pStyle w:val="Tableoutcomeshead"/>
            </w:pPr>
            <w:r w:rsidRPr="009D52D0">
              <w:t>Section revised</w:t>
            </w:r>
            <w:r>
              <w:t xml:space="preserve"> (if applicable)</w:t>
            </w:r>
          </w:p>
        </w:tc>
        <w:tc>
          <w:tcPr>
            <w:tcW w:w="2176" w:type="dxa"/>
            <w:shd w:val="clear" w:color="auto" w:fill="F2F2F2" w:themeFill="background1" w:themeFillShade="F2"/>
          </w:tcPr>
          <w:p w14:paraId="4147F7AF" w14:textId="77777777" w:rsidR="00B85086" w:rsidRPr="009D52D0" w:rsidRDefault="00B85086" w:rsidP="00CB346F">
            <w:pPr>
              <w:pStyle w:val="Tableoutcomeshead"/>
            </w:pPr>
            <w:r w:rsidRPr="009D52D0">
              <w:t>Impacts PLOs (Q6</w:t>
            </w:r>
            <w:r>
              <w:t xml:space="preserve"> </w:t>
            </w:r>
            <w:r w:rsidRPr="009D52D0">
              <w:t>&amp;</w:t>
            </w:r>
            <w:r>
              <w:t xml:space="preserve"> </w:t>
            </w:r>
            <w:r w:rsidRPr="009D52D0">
              <w:t>7 cover sheet)</w:t>
            </w:r>
          </w:p>
        </w:tc>
      </w:tr>
      <w:tr w:rsidR="00B85086" w:rsidRPr="009D52D0" w14:paraId="01C4AA6D" w14:textId="77777777" w:rsidTr="00B85086">
        <w:trPr>
          <w:trHeight w:val="305"/>
        </w:trPr>
        <w:tc>
          <w:tcPr>
            <w:tcW w:w="1592" w:type="dxa"/>
          </w:tcPr>
          <w:p w14:paraId="6FDFF6FB" w14:textId="42F0CA5B" w:rsidR="00B85086" w:rsidRPr="009D52D0" w:rsidRDefault="00B85086" w:rsidP="00CB346F">
            <w:pPr>
              <w:pStyle w:val="Tabledivuseonly"/>
            </w:pPr>
            <w:r>
              <w:t>05.12.22</w:t>
            </w:r>
          </w:p>
        </w:tc>
        <w:tc>
          <w:tcPr>
            <w:tcW w:w="1817" w:type="dxa"/>
          </w:tcPr>
          <w:p w14:paraId="7E12ECEC" w14:textId="36088F7B" w:rsidR="00B85086" w:rsidRPr="009D52D0" w:rsidRDefault="00B85086" w:rsidP="00CB346F">
            <w:pPr>
              <w:pStyle w:val="Tabledivuseonly"/>
            </w:pPr>
            <w:r>
              <w:t>New</w:t>
            </w:r>
          </w:p>
        </w:tc>
        <w:tc>
          <w:tcPr>
            <w:tcW w:w="2256" w:type="dxa"/>
          </w:tcPr>
          <w:p w14:paraId="37181B23" w14:textId="557DAE46" w:rsidR="00B85086" w:rsidRPr="009D52D0" w:rsidRDefault="00B85086" w:rsidP="00CB346F">
            <w:pPr>
              <w:pStyle w:val="Tabledivuseonly"/>
            </w:pPr>
            <w:r>
              <w:t>September 2023</w:t>
            </w:r>
          </w:p>
        </w:tc>
        <w:tc>
          <w:tcPr>
            <w:tcW w:w="2077" w:type="dxa"/>
          </w:tcPr>
          <w:p w14:paraId="32D5DBDE" w14:textId="77777777" w:rsidR="00B85086" w:rsidRPr="009D52D0" w:rsidRDefault="00B85086" w:rsidP="00CB346F">
            <w:pPr>
              <w:pStyle w:val="Tabledivuseonly"/>
            </w:pPr>
          </w:p>
        </w:tc>
        <w:tc>
          <w:tcPr>
            <w:tcW w:w="2176" w:type="dxa"/>
          </w:tcPr>
          <w:p w14:paraId="5160986F" w14:textId="77777777" w:rsidR="00B85086" w:rsidRPr="009D52D0" w:rsidRDefault="00B85086" w:rsidP="00CB346F">
            <w:pPr>
              <w:pStyle w:val="Tabledivuseonly"/>
            </w:pPr>
          </w:p>
        </w:tc>
      </w:tr>
      <w:tr w:rsidR="00B85086" w:rsidRPr="009D52D0" w14:paraId="30375A85" w14:textId="77777777" w:rsidTr="00B85086">
        <w:trPr>
          <w:trHeight w:val="305"/>
        </w:trPr>
        <w:tc>
          <w:tcPr>
            <w:tcW w:w="1592" w:type="dxa"/>
          </w:tcPr>
          <w:p w14:paraId="70CAD1BD" w14:textId="77777777" w:rsidR="00B85086" w:rsidRPr="009D52D0" w:rsidRDefault="00B85086" w:rsidP="00CB346F">
            <w:pPr>
              <w:pStyle w:val="Tabledivuseonly"/>
            </w:pPr>
          </w:p>
        </w:tc>
        <w:tc>
          <w:tcPr>
            <w:tcW w:w="1817" w:type="dxa"/>
          </w:tcPr>
          <w:p w14:paraId="2FDD3E11" w14:textId="77777777" w:rsidR="00B85086" w:rsidRPr="009D52D0" w:rsidRDefault="00B85086" w:rsidP="00CB346F">
            <w:pPr>
              <w:pStyle w:val="Tabledivuseonly"/>
            </w:pPr>
          </w:p>
        </w:tc>
        <w:tc>
          <w:tcPr>
            <w:tcW w:w="2256" w:type="dxa"/>
          </w:tcPr>
          <w:p w14:paraId="55A2ED10" w14:textId="77777777" w:rsidR="00B85086" w:rsidRPr="009D52D0" w:rsidRDefault="00B85086" w:rsidP="00CB346F">
            <w:pPr>
              <w:pStyle w:val="Tabledivuseonly"/>
            </w:pPr>
          </w:p>
        </w:tc>
        <w:tc>
          <w:tcPr>
            <w:tcW w:w="2077" w:type="dxa"/>
          </w:tcPr>
          <w:p w14:paraId="666D6550" w14:textId="77777777" w:rsidR="00B85086" w:rsidRPr="009D52D0" w:rsidRDefault="00B85086" w:rsidP="00CB346F">
            <w:pPr>
              <w:pStyle w:val="Tabledivuseonly"/>
            </w:pPr>
          </w:p>
        </w:tc>
        <w:tc>
          <w:tcPr>
            <w:tcW w:w="2176" w:type="dxa"/>
          </w:tcPr>
          <w:p w14:paraId="0DD49A7D" w14:textId="77777777" w:rsidR="00B85086" w:rsidRPr="009D52D0" w:rsidRDefault="00B85086" w:rsidP="00CB346F">
            <w:pPr>
              <w:pStyle w:val="Tabledivuseonly"/>
            </w:pPr>
          </w:p>
        </w:tc>
      </w:tr>
    </w:tbl>
    <w:p w14:paraId="56986121" w14:textId="77777777" w:rsidR="00B85086" w:rsidRDefault="00B85086" w:rsidP="00B85086">
      <w:pPr>
        <w:spacing w:after="120" w:line="240" w:lineRule="auto"/>
        <w:ind w:right="543"/>
        <w:rPr>
          <w:rFonts w:ascii="Arial" w:hAnsi="Arial" w:cs="Arial"/>
          <w:sz w:val="24"/>
          <w:szCs w:val="24"/>
        </w:rPr>
      </w:pPr>
    </w:p>
    <w:p w14:paraId="2ED30D66" w14:textId="77777777" w:rsidR="00B85086" w:rsidRPr="00FC217A" w:rsidRDefault="00B85086" w:rsidP="00B85086">
      <w:pPr>
        <w:rPr>
          <w:rFonts w:ascii="Arial" w:hAnsi="Arial" w:cs="Arial"/>
          <w:sz w:val="24"/>
          <w:szCs w:val="24"/>
        </w:rPr>
      </w:pPr>
    </w:p>
    <w:sectPr w:rsidR="00B85086" w:rsidRPr="00FC217A" w:rsidSect="00623B2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2AB5" w14:textId="77777777" w:rsidR="00BE464F" w:rsidRDefault="00BE464F" w:rsidP="009A2D37">
      <w:pPr>
        <w:spacing w:after="0" w:line="240" w:lineRule="auto"/>
      </w:pPr>
      <w:r>
        <w:separator/>
      </w:r>
    </w:p>
  </w:endnote>
  <w:endnote w:type="continuationSeparator" w:id="0">
    <w:p w14:paraId="3744D92A" w14:textId="77777777" w:rsidR="00BE464F" w:rsidRDefault="00BE464F" w:rsidP="009A2D37">
      <w:pPr>
        <w:spacing w:after="0" w:line="240" w:lineRule="auto"/>
      </w:pPr>
      <w:r>
        <w:continuationSeparator/>
      </w:r>
    </w:p>
  </w:endnote>
  <w:endnote w:type="continuationNotice" w:id="1">
    <w:p w14:paraId="684AC850" w14:textId="77777777" w:rsidR="00BE464F" w:rsidRDefault="00BE4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B85086">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EFE8263" w:rsidR="008B2543" w:rsidRPr="007B7724" w:rsidRDefault="008B2543" w:rsidP="006E1964">
    <w:pPr>
      <w:spacing w:after="120" w:line="240" w:lineRule="auto"/>
      <w:ind w:left="426" w:right="543" w:firstLine="294"/>
      <w:jc w:val="both"/>
      <w:rPr>
        <w:rFonts w:ascii="Arial" w:hAnsi="Arial"/>
        <w:sz w:val="18"/>
      </w:rPr>
    </w:pPr>
    <w:r w:rsidRPr="007B7724">
      <w:rPr>
        <w:rFonts w:ascii="Arial" w:hAnsi="Arial"/>
        <w:sz w:val="18"/>
      </w:rPr>
      <w:t>Module Specification</w:t>
    </w:r>
    <w:r w:rsidR="006E1964">
      <w:rPr>
        <w:rFonts w:ascii="Arial" w:hAnsi="Arial"/>
        <w:sz w:val="18"/>
      </w:rPr>
      <w:t xml:space="preserve">: </w:t>
    </w:r>
    <w:r w:rsidR="006E1964" w:rsidRPr="006E1964">
      <w:rPr>
        <w:rFonts w:ascii="Arial" w:hAnsi="Arial"/>
        <w:sz w:val="18"/>
      </w:rPr>
      <w:t>POLI5002 Global Governance of Peace and Security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E618" w14:textId="77777777" w:rsidR="00BE464F" w:rsidRDefault="00BE464F" w:rsidP="009A2D37">
      <w:pPr>
        <w:spacing w:after="0" w:line="240" w:lineRule="auto"/>
      </w:pPr>
      <w:r>
        <w:separator/>
      </w:r>
    </w:p>
  </w:footnote>
  <w:footnote w:type="continuationSeparator" w:id="0">
    <w:p w14:paraId="5EA23788" w14:textId="77777777" w:rsidR="00BE464F" w:rsidRDefault="00BE464F" w:rsidP="009A2D37">
      <w:pPr>
        <w:spacing w:after="0" w:line="240" w:lineRule="auto"/>
      </w:pPr>
      <w:r>
        <w:continuationSeparator/>
      </w:r>
    </w:p>
  </w:footnote>
  <w:footnote w:type="continuationNotice" w:id="1">
    <w:p w14:paraId="7F33316D" w14:textId="77777777" w:rsidR="00BE464F" w:rsidRDefault="00BE4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F6B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963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652C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E42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49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9CD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E8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407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927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3054"/>
    <w:multiLevelType w:val="multilevel"/>
    <w:tmpl w:val="F21CA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17588"/>
    <w:multiLevelType w:val="multilevel"/>
    <w:tmpl w:val="759A1D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5304FA"/>
    <w:multiLevelType w:val="multilevel"/>
    <w:tmpl w:val="370A07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24D02"/>
    <w:multiLevelType w:val="multilevel"/>
    <w:tmpl w:val="5474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D912A10"/>
    <w:multiLevelType w:val="multilevel"/>
    <w:tmpl w:val="C5E43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F16C2"/>
    <w:multiLevelType w:val="hybridMultilevel"/>
    <w:tmpl w:val="71C40820"/>
    <w:lvl w:ilvl="0" w:tplc="FFFFFFFF">
      <w:start w:val="1"/>
      <w:numFmt w:val="decimal"/>
      <w:lvlText w:val="%1."/>
      <w:lvlJc w:val="left"/>
      <w:pPr>
        <w:ind w:left="720" w:hanging="360"/>
      </w:pPr>
      <w:rPr>
        <w:b w:val="0"/>
        <w:i w:val="0"/>
      </w:rPr>
    </w:lvl>
    <w:lvl w:ilvl="1" w:tplc="79EE1A2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1B54CD"/>
    <w:multiLevelType w:val="hybridMultilevel"/>
    <w:tmpl w:val="713EF094"/>
    <w:lvl w:ilvl="0" w:tplc="FFFFFFFF">
      <w:start w:val="1"/>
      <w:numFmt w:val="decimal"/>
      <w:lvlText w:val="%1."/>
      <w:lvlJc w:val="left"/>
      <w:pPr>
        <w:ind w:left="720" w:hanging="360"/>
      </w:pPr>
      <w:rPr>
        <w:b w:val="0"/>
        <w:i w:val="0"/>
      </w:rPr>
    </w:lvl>
    <w:lvl w:ilvl="1" w:tplc="79EE1A2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A79272E"/>
    <w:multiLevelType w:val="hybridMultilevel"/>
    <w:tmpl w:val="B010FB34"/>
    <w:lvl w:ilvl="0" w:tplc="79EE1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C15879"/>
    <w:multiLevelType w:val="hybridMultilevel"/>
    <w:tmpl w:val="A77E3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230530463">
    <w:abstractNumId w:val="14"/>
  </w:num>
  <w:num w:numId="2" w16cid:durableId="173688782">
    <w:abstractNumId w:val="9"/>
  </w:num>
  <w:num w:numId="3" w16cid:durableId="1554579814">
    <w:abstractNumId w:val="16"/>
  </w:num>
  <w:num w:numId="4" w16cid:durableId="123937109">
    <w:abstractNumId w:val="11"/>
  </w:num>
  <w:num w:numId="5" w16cid:durableId="677389486">
    <w:abstractNumId w:val="24"/>
  </w:num>
  <w:num w:numId="6" w16cid:durableId="362555691">
    <w:abstractNumId w:val="22"/>
  </w:num>
  <w:num w:numId="7" w16cid:durableId="1205214047">
    <w:abstractNumId w:val="27"/>
  </w:num>
  <w:num w:numId="8" w16cid:durableId="1509174352">
    <w:abstractNumId w:val="23"/>
  </w:num>
  <w:num w:numId="9" w16cid:durableId="1327591708">
    <w:abstractNumId w:val="17"/>
  </w:num>
  <w:num w:numId="10" w16cid:durableId="492113856">
    <w:abstractNumId w:val="18"/>
  </w:num>
  <w:num w:numId="11" w16cid:durableId="1175194540">
    <w:abstractNumId w:val="28"/>
  </w:num>
  <w:num w:numId="12" w16cid:durableId="1304122532">
    <w:abstractNumId w:val="26"/>
  </w:num>
  <w:num w:numId="13" w16cid:durableId="1710571692">
    <w:abstractNumId w:val="21"/>
  </w:num>
  <w:num w:numId="14" w16cid:durableId="502159491">
    <w:abstractNumId w:val="15"/>
  </w:num>
  <w:num w:numId="15" w16cid:durableId="191580312">
    <w:abstractNumId w:val="19"/>
  </w:num>
  <w:num w:numId="16" w16cid:durableId="797726525">
    <w:abstractNumId w:val="10"/>
  </w:num>
  <w:num w:numId="17" w16cid:durableId="718092299">
    <w:abstractNumId w:val="25"/>
  </w:num>
  <w:num w:numId="18" w16cid:durableId="1468888248">
    <w:abstractNumId w:val="20"/>
  </w:num>
  <w:num w:numId="19" w16cid:durableId="725833985">
    <w:abstractNumId w:val="13"/>
  </w:num>
  <w:num w:numId="20" w16cid:durableId="577324027">
    <w:abstractNumId w:val="12"/>
  </w:num>
  <w:num w:numId="21" w16cid:durableId="1534267851">
    <w:abstractNumId w:val="7"/>
  </w:num>
  <w:num w:numId="22" w16cid:durableId="1789740461">
    <w:abstractNumId w:val="6"/>
  </w:num>
  <w:num w:numId="23" w16cid:durableId="278688251">
    <w:abstractNumId w:val="5"/>
  </w:num>
  <w:num w:numId="24" w16cid:durableId="545217343">
    <w:abstractNumId w:val="4"/>
  </w:num>
  <w:num w:numId="25" w16cid:durableId="902759501">
    <w:abstractNumId w:val="8"/>
  </w:num>
  <w:num w:numId="26" w16cid:durableId="1526822463">
    <w:abstractNumId w:val="3"/>
  </w:num>
  <w:num w:numId="27" w16cid:durableId="2112629537">
    <w:abstractNumId w:val="2"/>
  </w:num>
  <w:num w:numId="28" w16cid:durableId="1282229452">
    <w:abstractNumId w:val="1"/>
  </w:num>
  <w:num w:numId="29" w16cid:durableId="681857221">
    <w:abstractNumId w:val="0"/>
  </w:num>
  <w:num w:numId="30" w16cid:durableId="480005238">
    <w:abstractNumId w:val="14"/>
  </w:num>
  <w:num w:numId="31" w16cid:durableId="338460054">
    <w:abstractNumId w:val="9"/>
  </w:num>
  <w:num w:numId="32" w16cid:durableId="11772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7A0"/>
    <w:rsid w:val="00021EA0"/>
    <w:rsid w:val="00025992"/>
    <w:rsid w:val="00027937"/>
    <w:rsid w:val="00030C9E"/>
    <w:rsid w:val="00031E67"/>
    <w:rsid w:val="000408CC"/>
    <w:rsid w:val="00045373"/>
    <w:rsid w:val="00063A2F"/>
    <w:rsid w:val="00063FA0"/>
    <w:rsid w:val="000674E0"/>
    <w:rsid w:val="000678D3"/>
    <w:rsid w:val="00072357"/>
    <w:rsid w:val="00094810"/>
    <w:rsid w:val="00094825"/>
    <w:rsid w:val="00096DA4"/>
    <w:rsid w:val="000A0E79"/>
    <w:rsid w:val="000C000C"/>
    <w:rsid w:val="000C0294"/>
    <w:rsid w:val="000C3A7E"/>
    <w:rsid w:val="000C7A1C"/>
    <w:rsid w:val="000D2A8A"/>
    <w:rsid w:val="000D32AC"/>
    <w:rsid w:val="000E20C1"/>
    <w:rsid w:val="000E3B73"/>
    <w:rsid w:val="000E5D98"/>
    <w:rsid w:val="000F55B7"/>
    <w:rsid w:val="000F6C56"/>
    <w:rsid w:val="000F7FBF"/>
    <w:rsid w:val="00106160"/>
    <w:rsid w:val="00106BE5"/>
    <w:rsid w:val="00110947"/>
    <w:rsid w:val="00111906"/>
    <w:rsid w:val="00111CB3"/>
    <w:rsid w:val="00117577"/>
    <w:rsid w:val="00117793"/>
    <w:rsid w:val="001206E4"/>
    <w:rsid w:val="001214D3"/>
    <w:rsid w:val="00121BFC"/>
    <w:rsid w:val="00125087"/>
    <w:rsid w:val="001402AD"/>
    <w:rsid w:val="001540CE"/>
    <w:rsid w:val="00155E47"/>
    <w:rsid w:val="0015717B"/>
    <w:rsid w:val="00157ACA"/>
    <w:rsid w:val="00160427"/>
    <w:rsid w:val="00162D46"/>
    <w:rsid w:val="001678F8"/>
    <w:rsid w:val="00172793"/>
    <w:rsid w:val="00180558"/>
    <w:rsid w:val="001811E5"/>
    <w:rsid w:val="00183B34"/>
    <w:rsid w:val="00185F46"/>
    <w:rsid w:val="00193E85"/>
    <w:rsid w:val="00196C6A"/>
    <w:rsid w:val="0019787E"/>
    <w:rsid w:val="001A425B"/>
    <w:rsid w:val="001A7762"/>
    <w:rsid w:val="001B1B28"/>
    <w:rsid w:val="001B27FB"/>
    <w:rsid w:val="001C1787"/>
    <w:rsid w:val="001C4A85"/>
    <w:rsid w:val="001C5443"/>
    <w:rsid w:val="001D0C7D"/>
    <w:rsid w:val="001D1F2D"/>
    <w:rsid w:val="001D2314"/>
    <w:rsid w:val="001D6398"/>
    <w:rsid w:val="001E01AF"/>
    <w:rsid w:val="001E1F45"/>
    <w:rsid w:val="001E62C1"/>
    <w:rsid w:val="001F0779"/>
    <w:rsid w:val="001F3C3E"/>
    <w:rsid w:val="001F4203"/>
    <w:rsid w:val="00201C5F"/>
    <w:rsid w:val="0020243A"/>
    <w:rsid w:val="00204081"/>
    <w:rsid w:val="0021578E"/>
    <w:rsid w:val="0022570F"/>
    <w:rsid w:val="00227582"/>
    <w:rsid w:val="002302FD"/>
    <w:rsid w:val="002308BE"/>
    <w:rsid w:val="002407C0"/>
    <w:rsid w:val="002421BF"/>
    <w:rsid w:val="002461AF"/>
    <w:rsid w:val="002465A1"/>
    <w:rsid w:val="00250877"/>
    <w:rsid w:val="00264576"/>
    <w:rsid w:val="0026585A"/>
    <w:rsid w:val="00266735"/>
    <w:rsid w:val="00273CF0"/>
    <w:rsid w:val="002748D4"/>
    <w:rsid w:val="00274ED7"/>
    <w:rsid w:val="002817C1"/>
    <w:rsid w:val="0028461D"/>
    <w:rsid w:val="0028590C"/>
    <w:rsid w:val="00292C46"/>
    <w:rsid w:val="002938D6"/>
    <w:rsid w:val="00294B73"/>
    <w:rsid w:val="0029633C"/>
    <w:rsid w:val="002A0C18"/>
    <w:rsid w:val="002A219B"/>
    <w:rsid w:val="002A22DB"/>
    <w:rsid w:val="002B20F5"/>
    <w:rsid w:val="002B2A1A"/>
    <w:rsid w:val="002B71F2"/>
    <w:rsid w:val="002D1DDF"/>
    <w:rsid w:val="002E71C0"/>
    <w:rsid w:val="002F05F4"/>
    <w:rsid w:val="002F0CE4"/>
    <w:rsid w:val="002F23EF"/>
    <w:rsid w:val="002F2626"/>
    <w:rsid w:val="002F5913"/>
    <w:rsid w:val="00302082"/>
    <w:rsid w:val="00306620"/>
    <w:rsid w:val="003179EA"/>
    <w:rsid w:val="003262B9"/>
    <w:rsid w:val="003321A1"/>
    <w:rsid w:val="00334A02"/>
    <w:rsid w:val="00335875"/>
    <w:rsid w:val="00335FBE"/>
    <w:rsid w:val="00351D4F"/>
    <w:rsid w:val="00352D8E"/>
    <w:rsid w:val="00356B68"/>
    <w:rsid w:val="0035702D"/>
    <w:rsid w:val="003604D4"/>
    <w:rsid w:val="003627B0"/>
    <w:rsid w:val="0037143C"/>
    <w:rsid w:val="00374DF6"/>
    <w:rsid w:val="003759B0"/>
    <w:rsid w:val="00375F84"/>
    <w:rsid w:val="00376E34"/>
    <w:rsid w:val="003804E7"/>
    <w:rsid w:val="00391263"/>
    <w:rsid w:val="003934D2"/>
    <w:rsid w:val="003973A1"/>
    <w:rsid w:val="003A5DA0"/>
    <w:rsid w:val="003A5EEB"/>
    <w:rsid w:val="003A6143"/>
    <w:rsid w:val="003B2545"/>
    <w:rsid w:val="003B35F4"/>
    <w:rsid w:val="003B7C76"/>
    <w:rsid w:val="003C3E0C"/>
    <w:rsid w:val="003C776B"/>
    <w:rsid w:val="003D4A1C"/>
    <w:rsid w:val="003D5369"/>
    <w:rsid w:val="003D7AA0"/>
    <w:rsid w:val="003E1FF7"/>
    <w:rsid w:val="003E311D"/>
    <w:rsid w:val="003E4573"/>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D8E"/>
    <w:rsid w:val="00460925"/>
    <w:rsid w:val="00471C6C"/>
    <w:rsid w:val="00472023"/>
    <w:rsid w:val="00476167"/>
    <w:rsid w:val="00486993"/>
    <w:rsid w:val="00492DA4"/>
    <w:rsid w:val="00496AA3"/>
    <w:rsid w:val="00497C98"/>
    <w:rsid w:val="004A39D7"/>
    <w:rsid w:val="004A3C23"/>
    <w:rsid w:val="004A55FA"/>
    <w:rsid w:val="004A76B5"/>
    <w:rsid w:val="004B5D03"/>
    <w:rsid w:val="004C1EC4"/>
    <w:rsid w:val="004D035C"/>
    <w:rsid w:val="004D1A7C"/>
    <w:rsid w:val="004F1ED8"/>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A0B"/>
    <w:rsid w:val="005A14B5"/>
    <w:rsid w:val="005B1F76"/>
    <w:rsid w:val="005B2F01"/>
    <w:rsid w:val="005B5A98"/>
    <w:rsid w:val="005C1A4F"/>
    <w:rsid w:val="005C27D7"/>
    <w:rsid w:val="005D5324"/>
    <w:rsid w:val="005D6EB5"/>
    <w:rsid w:val="005D7CD0"/>
    <w:rsid w:val="005E1A3A"/>
    <w:rsid w:val="005E6ADC"/>
    <w:rsid w:val="005E6D10"/>
    <w:rsid w:val="005E6D38"/>
    <w:rsid w:val="005E7B3F"/>
    <w:rsid w:val="005F040F"/>
    <w:rsid w:val="005F2C42"/>
    <w:rsid w:val="006043FC"/>
    <w:rsid w:val="006050CF"/>
    <w:rsid w:val="0062219E"/>
    <w:rsid w:val="00623B2B"/>
    <w:rsid w:val="006253AA"/>
    <w:rsid w:val="00626023"/>
    <w:rsid w:val="00633150"/>
    <w:rsid w:val="006336C2"/>
    <w:rsid w:val="00636058"/>
    <w:rsid w:val="00637A50"/>
    <w:rsid w:val="00641D6D"/>
    <w:rsid w:val="0064364E"/>
    <w:rsid w:val="006438F3"/>
    <w:rsid w:val="00647907"/>
    <w:rsid w:val="00651A82"/>
    <w:rsid w:val="006525E9"/>
    <w:rsid w:val="0066085D"/>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A88"/>
    <w:rsid w:val="006D41AB"/>
    <w:rsid w:val="006D444F"/>
    <w:rsid w:val="006D710D"/>
    <w:rsid w:val="006E1964"/>
    <w:rsid w:val="006E413A"/>
    <w:rsid w:val="006E4FEA"/>
    <w:rsid w:val="006E7FB5"/>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C5C"/>
    <w:rsid w:val="007B1DB2"/>
    <w:rsid w:val="007B375B"/>
    <w:rsid w:val="007B412A"/>
    <w:rsid w:val="007B635E"/>
    <w:rsid w:val="007B7711"/>
    <w:rsid w:val="007B7724"/>
    <w:rsid w:val="007B7CDC"/>
    <w:rsid w:val="007C74B4"/>
    <w:rsid w:val="007E3412"/>
    <w:rsid w:val="007F393D"/>
    <w:rsid w:val="008029AF"/>
    <w:rsid w:val="00802FFA"/>
    <w:rsid w:val="00805D21"/>
    <w:rsid w:val="008102E5"/>
    <w:rsid w:val="008111B4"/>
    <w:rsid w:val="008133F0"/>
    <w:rsid w:val="00815880"/>
    <w:rsid w:val="0082322C"/>
    <w:rsid w:val="00823942"/>
    <w:rsid w:val="00827FFD"/>
    <w:rsid w:val="0084065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4B5"/>
    <w:rsid w:val="008B2543"/>
    <w:rsid w:val="008B4B6E"/>
    <w:rsid w:val="008D4447"/>
    <w:rsid w:val="008D7401"/>
    <w:rsid w:val="008D79A2"/>
    <w:rsid w:val="00903DF6"/>
    <w:rsid w:val="00921CF6"/>
    <w:rsid w:val="00922E9E"/>
    <w:rsid w:val="00924EF0"/>
    <w:rsid w:val="00934D7B"/>
    <w:rsid w:val="00947180"/>
    <w:rsid w:val="009567BE"/>
    <w:rsid w:val="009653EE"/>
    <w:rsid w:val="00966752"/>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AB7"/>
    <w:rsid w:val="009D505C"/>
    <w:rsid w:val="009D52D0"/>
    <w:rsid w:val="009E562A"/>
    <w:rsid w:val="009F058B"/>
    <w:rsid w:val="009F3A2A"/>
    <w:rsid w:val="009F5EA4"/>
    <w:rsid w:val="009F731F"/>
    <w:rsid w:val="009F7D33"/>
    <w:rsid w:val="00A021FE"/>
    <w:rsid w:val="00A10E80"/>
    <w:rsid w:val="00A1270E"/>
    <w:rsid w:val="00A13526"/>
    <w:rsid w:val="00A15342"/>
    <w:rsid w:val="00A15EC7"/>
    <w:rsid w:val="00A3007E"/>
    <w:rsid w:val="00A32048"/>
    <w:rsid w:val="00A34AA0"/>
    <w:rsid w:val="00A41F06"/>
    <w:rsid w:val="00A50FD4"/>
    <w:rsid w:val="00A52DB4"/>
    <w:rsid w:val="00A61304"/>
    <w:rsid w:val="00A618E1"/>
    <w:rsid w:val="00A629B9"/>
    <w:rsid w:val="00A70C20"/>
    <w:rsid w:val="00A74292"/>
    <w:rsid w:val="00A776DE"/>
    <w:rsid w:val="00A80640"/>
    <w:rsid w:val="00A8553E"/>
    <w:rsid w:val="00A87FFD"/>
    <w:rsid w:val="00A97038"/>
    <w:rsid w:val="00A97CB8"/>
    <w:rsid w:val="00AA3C15"/>
    <w:rsid w:val="00AA6330"/>
    <w:rsid w:val="00AC7501"/>
    <w:rsid w:val="00AD748B"/>
    <w:rsid w:val="00AE4865"/>
    <w:rsid w:val="00AE6FC7"/>
    <w:rsid w:val="00AF30DC"/>
    <w:rsid w:val="00AF50EE"/>
    <w:rsid w:val="00B0591D"/>
    <w:rsid w:val="00B13402"/>
    <w:rsid w:val="00B14BC2"/>
    <w:rsid w:val="00B15C5C"/>
    <w:rsid w:val="00B17024"/>
    <w:rsid w:val="00B17CD2"/>
    <w:rsid w:val="00B213D2"/>
    <w:rsid w:val="00B23B26"/>
    <w:rsid w:val="00B24826"/>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5086"/>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64F"/>
    <w:rsid w:val="00BF51AB"/>
    <w:rsid w:val="00BF716B"/>
    <w:rsid w:val="00BF7233"/>
    <w:rsid w:val="00C02AA2"/>
    <w:rsid w:val="00C04C95"/>
    <w:rsid w:val="00C12613"/>
    <w:rsid w:val="00C14509"/>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6C4A"/>
    <w:rsid w:val="00CA3254"/>
    <w:rsid w:val="00CB11CE"/>
    <w:rsid w:val="00CC25A2"/>
    <w:rsid w:val="00CC6E7E"/>
    <w:rsid w:val="00CD7F07"/>
    <w:rsid w:val="00CE04F3"/>
    <w:rsid w:val="00CE12D8"/>
    <w:rsid w:val="00CE4574"/>
    <w:rsid w:val="00CE6D8F"/>
    <w:rsid w:val="00CE70E6"/>
    <w:rsid w:val="00CF0BCA"/>
    <w:rsid w:val="00CF2E1E"/>
    <w:rsid w:val="00D02E99"/>
    <w:rsid w:val="00D044AA"/>
    <w:rsid w:val="00D13357"/>
    <w:rsid w:val="00D13A13"/>
    <w:rsid w:val="00D2689A"/>
    <w:rsid w:val="00D65506"/>
    <w:rsid w:val="00D773CF"/>
    <w:rsid w:val="00D83563"/>
    <w:rsid w:val="00D8448F"/>
    <w:rsid w:val="00DA64B6"/>
    <w:rsid w:val="00DB2B91"/>
    <w:rsid w:val="00DB5C9D"/>
    <w:rsid w:val="00DC2D98"/>
    <w:rsid w:val="00DC395B"/>
    <w:rsid w:val="00DD02E6"/>
    <w:rsid w:val="00DD2E74"/>
    <w:rsid w:val="00DF665B"/>
    <w:rsid w:val="00E0152A"/>
    <w:rsid w:val="00E03394"/>
    <w:rsid w:val="00E066E5"/>
    <w:rsid w:val="00E1736E"/>
    <w:rsid w:val="00E21923"/>
    <w:rsid w:val="00E22F03"/>
    <w:rsid w:val="00E233C1"/>
    <w:rsid w:val="00E26C98"/>
    <w:rsid w:val="00E35CBF"/>
    <w:rsid w:val="00E4725F"/>
    <w:rsid w:val="00E51404"/>
    <w:rsid w:val="00E574C9"/>
    <w:rsid w:val="00E610DE"/>
    <w:rsid w:val="00E66167"/>
    <w:rsid w:val="00E71F2F"/>
    <w:rsid w:val="00E73CD5"/>
    <w:rsid w:val="00E77786"/>
    <w:rsid w:val="00E806FB"/>
    <w:rsid w:val="00E92A22"/>
    <w:rsid w:val="00EB0365"/>
    <w:rsid w:val="00EB1C2D"/>
    <w:rsid w:val="00EB41D1"/>
    <w:rsid w:val="00EC1810"/>
    <w:rsid w:val="00EC3FCC"/>
    <w:rsid w:val="00ED32FF"/>
    <w:rsid w:val="00ED7593"/>
    <w:rsid w:val="00EF039B"/>
    <w:rsid w:val="00EF4933"/>
    <w:rsid w:val="00EF5044"/>
    <w:rsid w:val="00EF5DCE"/>
    <w:rsid w:val="00F01956"/>
    <w:rsid w:val="00F04D2D"/>
    <w:rsid w:val="00F07415"/>
    <w:rsid w:val="00F116CE"/>
    <w:rsid w:val="00F16F93"/>
    <w:rsid w:val="00F176DE"/>
    <w:rsid w:val="00F17B94"/>
    <w:rsid w:val="00F17F7A"/>
    <w:rsid w:val="00F21C47"/>
    <w:rsid w:val="00F244E2"/>
    <w:rsid w:val="00F311A2"/>
    <w:rsid w:val="00F317D7"/>
    <w:rsid w:val="00F340DE"/>
    <w:rsid w:val="00F34ED0"/>
    <w:rsid w:val="00F401D6"/>
    <w:rsid w:val="00F41AC8"/>
    <w:rsid w:val="00F42B84"/>
    <w:rsid w:val="00F43542"/>
    <w:rsid w:val="00F44BAB"/>
    <w:rsid w:val="00F454E2"/>
    <w:rsid w:val="00F527CB"/>
    <w:rsid w:val="00F562AA"/>
    <w:rsid w:val="00F576CF"/>
    <w:rsid w:val="00F66975"/>
    <w:rsid w:val="00F7105A"/>
    <w:rsid w:val="00F715AC"/>
    <w:rsid w:val="00F7710E"/>
    <w:rsid w:val="00F77676"/>
    <w:rsid w:val="00F80CD1"/>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5C8B3570"/>
    <w:rsid w:val="6568CBF2"/>
    <w:rsid w:val="6ED271FE"/>
    <w:rsid w:val="78BE7E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2B"/>
    <w:rPr>
      <w:rFonts w:eastAsiaTheme="minorEastAsia"/>
      <w:lang w:eastAsia="en-GB"/>
    </w:rPr>
  </w:style>
  <w:style w:type="paragraph" w:styleId="Heading1">
    <w:name w:val="heading 1"/>
    <w:basedOn w:val="Normal"/>
    <w:next w:val="Normal"/>
    <w:link w:val="Heading1Char"/>
    <w:qFormat/>
    <w:rsid w:val="00623B2B"/>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23B2B"/>
    <w:pPr>
      <w:spacing w:before="600"/>
      <w:ind w:left="567" w:right="0" w:hanging="567"/>
      <w:jc w:val="left"/>
      <w:outlineLvl w:val="1"/>
    </w:pPr>
  </w:style>
  <w:style w:type="paragraph" w:styleId="Heading3">
    <w:name w:val="heading 3"/>
    <w:basedOn w:val="Normal"/>
    <w:next w:val="Normal"/>
    <w:link w:val="Heading3Char"/>
    <w:uiPriority w:val="9"/>
    <w:unhideWhenUsed/>
    <w:qFormat/>
    <w:rsid w:val="00623B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23B2B"/>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B2B"/>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23B2B"/>
    <w:rPr>
      <w:rFonts w:ascii="Plantin" w:eastAsia="Times New Roman" w:hAnsi="Plantin" w:cs="Times New Roman"/>
      <w:b/>
      <w:sz w:val="24"/>
      <w:szCs w:val="20"/>
    </w:rPr>
  </w:style>
  <w:style w:type="paragraph" w:styleId="ListBullet">
    <w:name w:val="List Bullet"/>
    <w:basedOn w:val="Normal"/>
    <w:uiPriority w:val="99"/>
    <w:unhideWhenUsed/>
    <w:rsid w:val="00453D8E"/>
    <w:pPr>
      <w:numPr>
        <w:numId w:val="31"/>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30"/>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23B2B"/>
    <w:rPr>
      <w:rFonts w:ascii="Arial" w:eastAsiaTheme="minorEastAsia" w:hAnsi="Arial" w:cs="Arial"/>
      <w:b/>
      <w:sz w:val="24"/>
      <w:szCs w:val="24"/>
      <w:lang w:eastAsia="en-GB"/>
    </w:rPr>
  </w:style>
  <w:style w:type="character" w:customStyle="1" w:styleId="normaltextrun">
    <w:name w:val="normaltextrun"/>
    <w:basedOn w:val="DefaultParagraphFont"/>
    <w:rsid w:val="00F07415"/>
  </w:style>
  <w:style w:type="character" w:customStyle="1" w:styleId="eop">
    <w:name w:val="eop"/>
    <w:basedOn w:val="DefaultParagraphFont"/>
    <w:rsid w:val="00F07415"/>
  </w:style>
  <w:style w:type="paragraph" w:customStyle="1" w:styleId="paragraph">
    <w:name w:val="paragraph"/>
    <w:basedOn w:val="Normal"/>
    <w:rsid w:val="003D536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1964"/>
    <w:pPr>
      <w:spacing w:after="0" w:line="240" w:lineRule="auto"/>
    </w:pPr>
    <w:rPr>
      <w:rFonts w:eastAsiaTheme="minorEastAsia"/>
      <w:lang w:eastAsia="en-GB"/>
    </w:rPr>
  </w:style>
  <w:style w:type="paragraph" w:styleId="BodyText">
    <w:name w:val="Body Text"/>
    <w:basedOn w:val="Normal"/>
    <w:link w:val="BodyTextChar"/>
    <w:uiPriority w:val="99"/>
    <w:unhideWhenUsed/>
    <w:rsid w:val="00623B2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23B2B"/>
    <w:rPr>
      <w:rFonts w:ascii="Arial" w:eastAsiaTheme="minorEastAsia" w:hAnsi="Arial"/>
      <w:sz w:val="24"/>
      <w:lang w:eastAsia="en-GB"/>
    </w:rPr>
  </w:style>
  <w:style w:type="character" w:customStyle="1" w:styleId="Heading3Char">
    <w:name w:val="Heading 3 Char"/>
    <w:basedOn w:val="DefaultParagraphFont"/>
    <w:link w:val="Heading3"/>
    <w:uiPriority w:val="9"/>
    <w:rsid w:val="00623B2B"/>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23B2B"/>
    <w:rPr>
      <w:rFonts w:ascii="Arial" w:eastAsiaTheme="majorEastAsia" w:hAnsi="Arial" w:cstheme="majorBidi"/>
      <w:b/>
      <w:i/>
      <w:iCs/>
      <w:lang w:eastAsia="en-GB"/>
    </w:rPr>
  </w:style>
  <w:style w:type="paragraph" w:styleId="ListNumber2">
    <w:name w:val="List Number 2"/>
    <w:basedOn w:val="BodyText"/>
    <w:uiPriority w:val="99"/>
    <w:unhideWhenUsed/>
    <w:rsid w:val="00623B2B"/>
    <w:pPr>
      <w:ind w:left="1021" w:hanging="454"/>
    </w:pPr>
  </w:style>
  <w:style w:type="paragraph" w:styleId="ListNumber3">
    <w:name w:val="List Number 3"/>
    <w:basedOn w:val="Normal"/>
    <w:uiPriority w:val="99"/>
    <w:unhideWhenUsed/>
    <w:rsid w:val="00623B2B"/>
    <w:pPr>
      <w:numPr>
        <w:numId w:val="32"/>
      </w:numPr>
      <w:spacing w:before="120" w:after="240" w:line="240" w:lineRule="auto"/>
    </w:pPr>
    <w:rPr>
      <w:rFonts w:ascii="Arial" w:hAnsi="Arial"/>
      <w:sz w:val="24"/>
    </w:rPr>
  </w:style>
  <w:style w:type="paragraph" w:styleId="ListBullet2">
    <w:name w:val="List Bullet 2"/>
    <w:basedOn w:val="Normal"/>
    <w:uiPriority w:val="99"/>
    <w:unhideWhenUsed/>
    <w:rsid w:val="00453D8E"/>
    <w:pPr>
      <w:numPr>
        <w:numId w:val="21"/>
      </w:numPr>
      <w:contextualSpacing/>
    </w:pPr>
  </w:style>
  <w:style w:type="paragraph" w:customStyle="1" w:styleId="Tableoutcomeshead">
    <w:name w:val="Table outcomes head"/>
    <w:basedOn w:val="Normal"/>
    <w:qFormat/>
    <w:rsid w:val="00B85086"/>
    <w:pPr>
      <w:spacing w:after="120" w:line="240" w:lineRule="auto"/>
    </w:pPr>
    <w:rPr>
      <w:rFonts w:ascii="Arial" w:hAnsi="Arial" w:cs="Arial"/>
      <w:b/>
      <w:sz w:val="20"/>
      <w:szCs w:val="20"/>
    </w:rPr>
  </w:style>
  <w:style w:type="paragraph" w:customStyle="1" w:styleId="Tabledivuseonly">
    <w:name w:val="Table div use only"/>
    <w:basedOn w:val="Normal"/>
    <w:qFormat/>
    <w:rsid w:val="00B85086"/>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96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8302683">
      <w:bodyDiv w:val="1"/>
      <w:marLeft w:val="0"/>
      <w:marRight w:val="0"/>
      <w:marTop w:val="0"/>
      <w:marBottom w:val="0"/>
      <w:divBdr>
        <w:top w:val="none" w:sz="0" w:space="0" w:color="auto"/>
        <w:left w:val="none" w:sz="0" w:space="0" w:color="auto"/>
        <w:bottom w:val="none" w:sz="0" w:space="0" w:color="auto"/>
        <w:right w:val="none" w:sz="0" w:space="0" w:color="auto"/>
      </w:divBdr>
      <w:divsChild>
        <w:div w:id="279805851">
          <w:marLeft w:val="0"/>
          <w:marRight w:val="0"/>
          <w:marTop w:val="0"/>
          <w:marBottom w:val="0"/>
          <w:divBdr>
            <w:top w:val="none" w:sz="0" w:space="0" w:color="auto"/>
            <w:left w:val="none" w:sz="0" w:space="0" w:color="auto"/>
            <w:bottom w:val="none" w:sz="0" w:space="0" w:color="auto"/>
            <w:right w:val="none" w:sz="0" w:space="0" w:color="auto"/>
          </w:divBdr>
        </w:div>
        <w:div w:id="55319190">
          <w:marLeft w:val="0"/>
          <w:marRight w:val="0"/>
          <w:marTop w:val="0"/>
          <w:marBottom w:val="0"/>
          <w:divBdr>
            <w:top w:val="none" w:sz="0" w:space="0" w:color="auto"/>
            <w:left w:val="none" w:sz="0" w:space="0" w:color="auto"/>
            <w:bottom w:val="none" w:sz="0" w:space="0" w:color="auto"/>
            <w:right w:val="none" w:sz="0" w:space="0" w:color="auto"/>
          </w:divBdr>
        </w:div>
        <w:div w:id="113256561">
          <w:marLeft w:val="0"/>
          <w:marRight w:val="0"/>
          <w:marTop w:val="0"/>
          <w:marBottom w:val="0"/>
          <w:divBdr>
            <w:top w:val="none" w:sz="0" w:space="0" w:color="auto"/>
            <w:left w:val="none" w:sz="0" w:space="0" w:color="auto"/>
            <w:bottom w:val="none" w:sz="0" w:space="0" w:color="auto"/>
            <w:right w:val="none" w:sz="0" w:space="0" w:color="auto"/>
          </w:divBdr>
        </w:div>
        <w:div w:id="336620014">
          <w:marLeft w:val="0"/>
          <w:marRight w:val="0"/>
          <w:marTop w:val="0"/>
          <w:marBottom w:val="0"/>
          <w:divBdr>
            <w:top w:val="none" w:sz="0" w:space="0" w:color="auto"/>
            <w:left w:val="none" w:sz="0" w:space="0" w:color="auto"/>
            <w:bottom w:val="none" w:sz="0" w:space="0" w:color="auto"/>
            <w:right w:val="none" w:sz="0" w:space="0" w:color="auto"/>
          </w:divBdr>
        </w:div>
        <w:div w:id="2105803319">
          <w:marLeft w:val="0"/>
          <w:marRight w:val="0"/>
          <w:marTop w:val="0"/>
          <w:marBottom w:val="0"/>
          <w:divBdr>
            <w:top w:val="none" w:sz="0" w:space="0" w:color="auto"/>
            <w:left w:val="none" w:sz="0" w:space="0" w:color="auto"/>
            <w:bottom w:val="none" w:sz="0" w:space="0" w:color="auto"/>
            <w:right w:val="none" w:sz="0" w:space="0" w:color="auto"/>
          </w:divBdr>
        </w:div>
        <w:div w:id="291404042">
          <w:marLeft w:val="0"/>
          <w:marRight w:val="0"/>
          <w:marTop w:val="0"/>
          <w:marBottom w:val="0"/>
          <w:divBdr>
            <w:top w:val="none" w:sz="0" w:space="0" w:color="auto"/>
            <w:left w:val="none" w:sz="0" w:space="0" w:color="auto"/>
            <w:bottom w:val="none" w:sz="0" w:space="0" w:color="auto"/>
            <w:right w:val="none" w:sz="0" w:space="0" w:color="auto"/>
          </w:divBdr>
        </w:div>
        <w:div w:id="378549557">
          <w:marLeft w:val="0"/>
          <w:marRight w:val="0"/>
          <w:marTop w:val="0"/>
          <w:marBottom w:val="0"/>
          <w:divBdr>
            <w:top w:val="none" w:sz="0" w:space="0" w:color="auto"/>
            <w:left w:val="none" w:sz="0" w:space="0" w:color="auto"/>
            <w:bottom w:val="none" w:sz="0" w:space="0" w:color="auto"/>
            <w:right w:val="none" w:sz="0" w:space="0" w:color="auto"/>
          </w:divBdr>
        </w:div>
        <w:div w:id="1076324646">
          <w:marLeft w:val="0"/>
          <w:marRight w:val="0"/>
          <w:marTop w:val="0"/>
          <w:marBottom w:val="0"/>
          <w:divBdr>
            <w:top w:val="none" w:sz="0" w:space="0" w:color="auto"/>
            <w:left w:val="none" w:sz="0" w:space="0" w:color="auto"/>
            <w:bottom w:val="none" w:sz="0" w:space="0" w:color="auto"/>
            <w:right w:val="none" w:sz="0" w:space="0" w:color="auto"/>
          </w:divBdr>
        </w:div>
        <w:div w:id="2063097484">
          <w:marLeft w:val="0"/>
          <w:marRight w:val="0"/>
          <w:marTop w:val="0"/>
          <w:marBottom w:val="0"/>
          <w:divBdr>
            <w:top w:val="none" w:sz="0" w:space="0" w:color="auto"/>
            <w:left w:val="none" w:sz="0" w:space="0" w:color="auto"/>
            <w:bottom w:val="none" w:sz="0" w:space="0" w:color="auto"/>
            <w:right w:val="none" w:sz="0" w:space="0" w:color="auto"/>
          </w:divBdr>
        </w:div>
        <w:div w:id="1023358092">
          <w:marLeft w:val="0"/>
          <w:marRight w:val="0"/>
          <w:marTop w:val="0"/>
          <w:marBottom w:val="0"/>
          <w:divBdr>
            <w:top w:val="none" w:sz="0" w:space="0" w:color="auto"/>
            <w:left w:val="none" w:sz="0" w:space="0" w:color="auto"/>
            <w:bottom w:val="none" w:sz="0" w:space="0" w:color="auto"/>
            <w:right w:val="none" w:sz="0" w:space="0" w:color="auto"/>
          </w:divBdr>
        </w:div>
        <w:div w:id="1889369469">
          <w:marLeft w:val="0"/>
          <w:marRight w:val="0"/>
          <w:marTop w:val="0"/>
          <w:marBottom w:val="0"/>
          <w:divBdr>
            <w:top w:val="none" w:sz="0" w:space="0" w:color="auto"/>
            <w:left w:val="none" w:sz="0" w:space="0" w:color="auto"/>
            <w:bottom w:val="none" w:sz="0" w:space="0" w:color="auto"/>
            <w:right w:val="none" w:sz="0" w:space="0" w:color="auto"/>
          </w:divBdr>
        </w:div>
        <w:div w:id="1244219200">
          <w:marLeft w:val="0"/>
          <w:marRight w:val="0"/>
          <w:marTop w:val="0"/>
          <w:marBottom w:val="0"/>
          <w:divBdr>
            <w:top w:val="none" w:sz="0" w:space="0" w:color="auto"/>
            <w:left w:val="none" w:sz="0" w:space="0" w:color="auto"/>
            <w:bottom w:val="none" w:sz="0" w:space="0" w:color="auto"/>
            <w:right w:val="none" w:sz="0" w:space="0" w:color="auto"/>
          </w:divBdr>
        </w:div>
        <w:div w:id="2059430726">
          <w:marLeft w:val="0"/>
          <w:marRight w:val="0"/>
          <w:marTop w:val="0"/>
          <w:marBottom w:val="0"/>
          <w:divBdr>
            <w:top w:val="none" w:sz="0" w:space="0" w:color="auto"/>
            <w:left w:val="none" w:sz="0" w:space="0" w:color="auto"/>
            <w:bottom w:val="none" w:sz="0" w:space="0" w:color="auto"/>
            <w:right w:val="none" w:sz="0" w:space="0" w:color="auto"/>
          </w:divBdr>
        </w:div>
        <w:div w:id="353919209">
          <w:marLeft w:val="0"/>
          <w:marRight w:val="0"/>
          <w:marTop w:val="0"/>
          <w:marBottom w:val="0"/>
          <w:divBdr>
            <w:top w:val="none" w:sz="0" w:space="0" w:color="auto"/>
            <w:left w:val="none" w:sz="0" w:space="0" w:color="auto"/>
            <w:bottom w:val="none" w:sz="0" w:space="0" w:color="auto"/>
            <w:right w:val="none" w:sz="0" w:space="0" w:color="auto"/>
          </w:divBdr>
        </w:div>
        <w:div w:id="2057771801">
          <w:marLeft w:val="0"/>
          <w:marRight w:val="0"/>
          <w:marTop w:val="0"/>
          <w:marBottom w:val="0"/>
          <w:divBdr>
            <w:top w:val="none" w:sz="0" w:space="0" w:color="auto"/>
            <w:left w:val="none" w:sz="0" w:space="0" w:color="auto"/>
            <w:bottom w:val="none" w:sz="0" w:space="0" w:color="auto"/>
            <w:right w:val="none" w:sz="0" w:space="0" w:color="auto"/>
          </w:divBdr>
        </w:div>
      </w:divsChild>
    </w:div>
    <w:div w:id="342055866">
      <w:bodyDiv w:val="1"/>
      <w:marLeft w:val="0"/>
      <w:marRight w:val="0"/>
      <w:marTop w:val="0"/>
      <w:marBottom w:val="0"/>
      <w:divBdr>
        <w:top w:val="none" w:sz="0" w:space="0" w:color="auto"/>
        <w:left w:val="none" w:sz="0" w:space="0" w:color="auto"/>
        <w:bottom w:val="none" w:sz="0" w:space="0" w:color="auto"/>
        <w:right w:val="none" w:sz="0" w:space="0" w:color="auto"/>
      </w:divBdr>
      <w:divsChild>
        <w:div w:id="757487810">
          <w:marLeft w:val="0"/>
          <w:marRight w:val="0"/>
          <w:marTop w:val="0"/>
          <w:marBottom w:val="0"/>
          <w:divBdr>
            <w:top w:val="none" w:sz="0" w:space="0" w:color="auto"/>
            <w:left w:val="none" w:sz="0" w:space="0" w:color="auto"/>
            <w:bottom w:val="none" w:sz="0" w:space="0" w:color="auto"/>
            <w:right w:val="none" w:sz="0" w:space="0" w:color="auto"/>
          </w:divBdr>
          <w:divsChild>
            <w:div w:id="1079136556">
              <w:marLeft w:val="0"/>
              <w:marRight w:val="0"/>
              <w:marTop w:val="0"/>
              <w:marBottom w:val="0"/>
              <w:divBdr>
                <w:top w:val="none" w:sz="0" w:space="0" w:color="auto"/>
                <w:left w:val="none" w:sz="0" w:space="0" w:color="auto"/>
                <w:bottom w:val="none" w:sz="0" w:space="0" w:color="auto"/>
                <w:right w:val="none" w:sz="0" w:space="0" w:color="auto"/>
              </w:divBdr>
            </w:div>
          </w:divsChild>
        </w:div>
        <w:div w:id="1146894890">
          <w:marLeft w:val="0"/>
          <w:marRight w:val="0"/>
          <w:marTop w:val="0"/>
          <w:marBottom w:val="0"/>
          <w:divBdr>
            <w:top w:val="none" w:sz="0" w:space="0" w:color="auto"/>
            <w:left w:val="none" w:sz="0" w:space="0" w:color="auto"/>
            <w:bottom w:val="none" w:sz="0" w:space="0" w:color="auto"/>
            <w:right w:val="none" w:sz="0" w:space="0" w:color="auto"/>
          </w:divBdr>
          <w:divsChild>
            <w:div w:id="569387586">
              <w:marLeft w:val="0"/>
              <w:marRight w:val="0"/>
              <w:marTop w:val="0"/>
              <w:marBottom w:val="0"/>
              <w:divBdr>
                <w:top w:val="none" w:sz="0" w:space="0" w:color="auto"/>
                <w:left w:val="none" w:sz="0" w:space="0" w:color="auto"/>
                <w:bottom w:val="none" w:sz="0" w:space="0" w:color="auto"/>
                <w:right w:val="none" w:sz="0" w:space="0" w:color="auto"/>
              </w:divBdr>
            </w:div>
          </w:divsChild>
        </w:div>
        <w:div w:id="77213580">
          <w:marLeft w:val="0"/>
          <w:marRight w:val="0"/>
          <w:marTop w:val="0"/>
          <w:marBottom w:val="0"/>
          <w:divBdr>
            <w:top w:val="none" w:sz="0" w:space="0" w:color="auto"/>
            <w:left w:val="none" w:sz="0" w:space="0" w:color="auto"/>
            <w:bottom w:val="none" w:sz="0" w:space="0" w:color="auto"/>
            <w:right w:val="none" w:sz="0" w:space="0" w:color="auto"/>
          </w:divBdr>
          <w:divsChild>
            <w:div w:id="2065372478">
              <w:marLeft w:val="0"/>
              <w:marRight w:val="0"/>
              <w:marTop w:val="0"/>
              <w:marBottom w:val="0"/>
              <w:divBdr>
                <w:top w:val="none" w:sz="0" w:space="0" w:color="auto"/>
                <w:left w:val="none" w:sz="0" w:space="0" w:color="auto"/>
                <w:bottom w:val="none" w:sz="0" w:space="0" w:color="auto"/>
                <w:right w:val="none" w:sz="0" w:space="0" w:color="auto"/>
              </w:divBdr>
            </w:div>
          </w:divsChild>
        </w:div>
        <w:div w:id="1442994582">
          <w:marLeft w:val="0"/>
          <w:marRight w:val="0"/>
          <w:marTop w:val="0"/>
          <w:marBottom w:val="0"/>
          <w:divBdr>
            <w:top w:val="none" w:sz="0" w:space="0" w:color="auto"/>
            <w:left w:val="none" w:sz="0" w:space="0" w:color="auto"/>
            <w:bottom w:val="none" w:sz="0" w:space="0" w:color="auto"/>
            <w:right w:val="none" w:sz="0" w:space="0" w:color="auto"/>
          </w:divBdr>
          <w:divsChild>
            <w:div w:id="799495129">
              <w:marLeft w:val="0"/>
              <w:marRight w:val="0"/>
              <w:marTop w:val="0"/>
              <w:marBottom w:val="0"/>
              <w:divBdr>
                <w:top w:val="none" w:sz="0" w:space="0" w:color="auto"/>
                <w:left w:val="none" w:sz="0" w:space="0" w:color="auto"/>
                <w:bottom w:val="none" w:sz="0" w:space="0" w:color="auto"/>
                <w:right w:val="none" w:sz="0" w:space="0" w:color="auto"/>
              </w:divBdr>
            </w:div>
          </w:divsChild>
        </w:div>
        <w:div w:id="769929232">
          <w:marLeft w:val="0"/>
          <w:marRight w:val="0"/>
          <w:marTop w:val="0"/>
          <w:marBottom w:val="0"/>
          <w:divBdr>
            <w:top w:val="none" w:sz="0" w:space="0" w:color="auto"/>
            <w:left w:val="none" w:sz="0" w:space="0" w:color="auto"/>
            <w:bottom w:val="none" w:sz="0" w:space="0" w:color="auto"/>
            <w:right w:val="none" w:sz="0" w:space="0" w:color="auto"/>
          </w:divBdr>
          <w:divsChild>
            <w:div w:id="1934237205">
              <w:marLeft w:val="0"/>
              <w:marRight w:val="0"/>
              <w:marTop w:val="0"/>
              <w:marBottom w:val="0"/>
              <w:divBdr>
                <w:top w:val="none" w:sz="0" w:space="0" w:color="auto"/>
                <w:left w:val="none" w:sz="0" w:space="0" w:color="auto"/>
                <w:bottom w:val="none" w:sz="0" w:space="0" w:color="auto"/>
                <w:right w:val="none" w:sz="0" w:space="0" w:color="auto"/>
              </w:divBdr>
            </w:div>
          </w:divsChild>
        </w:div>
        <w:div w:id="606238742">
          <w:marLeft w:val="0"/>
          <w:marRight w:val="0"/>
          <w:marTop w:val="0"/>
          <w:marBottom w:val="0"/>
          <w:divBdr>
            <w:top w:val="none" w:sz="0" w:space="0" w:color="auto"/>
            <w:left w:val="none" w:sz="0" w:space="0" w:color="auto"/>
            <w:bottom w:val="none" w:sz="0" w:space="0" w:color="auto"/>
            <w:right w:val="none" w:sz="0" w:space="0" w:color="auto"/>
          </w:divBdr>
          <w:divsChild>
            <w:div w:id="1991522385">
              <w:marLeft w:val="0"/>
              <w:marRight w:val="0"/>
              <w:marTop w:val="0"/>
              <w:marBottom w:val="0"/>
              <w:divBdr>
                <w:top w:val="none" w:sz="0" w:space="0" w:color="auto"/>
                <w:left w:val="none" w:sz="0" w:space="0" w:color="auto"/>
                <w:bottom w:val="none" w:sz="0" w:space="0" w:color="auto"/>
                <w:right w:val="none" w:sz="0" w:space="0" w:color="auto"/>
              </w:divBdr>
            </w:div>
          </w:divsChild>
        </w:div>
        <w:div w:id="2137404917">
          <w:marLeft w:val="0"/>
          <w:marRight w:val="0"/>
          <w:marTop w:val="0"/>
          <w:marBottom w:val="0"/>
          <w:divBdr>
            <w:top w:val="none" w:sz="0" w:space="0" w:color="auto"/>
            <w:left w:val="none" w:sz="0" w:space="0" w:color="auto"/>
            <w:bottom w:val="none" w:sz="0" w:space="0" w:color="auto"/>
            <w:right w:val="none" w:sz="0" w:space="0" w:color="auto"/>
          </w:divBdr>
          <w:divsChild>
            <w:div w:id="2046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85898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8675466">
      <w:bodyDiv w:val="1"/>
      <w:marLeft w:val="0"/>
      <w:marRight w:val="0"/>
      <w:marTop w:val="0"/>
      <w:marBottom w:val="0"/>
      <w:divBdr>
        <w:top w:val="none" w:sz="0" w:space="0" w:color="auto"/>
        <w:left w:val="none" w:sz="0" w:space="0" w:color="auto"/>
        <w:bottom w:val="none" w:sz="0" w:space="0" w:color="auto"/>
        <w:right w:val="none" w:sz="0" w:space="0" w:color="auto"/>
      </w:divBdr>
      <w:divsChild>
        <w:div w:id="1016347326">
          <w:marLeft w:val="0"/>
          <w:marRight w:val="0"/>
          <w:marTop w:val="0"/>
          <w:marBottom w:val="0"/>
          <w:divBdr>
            <w:top w:val="none" w:sz="0" w:space="0" w:color="auto"/>
            <w:left w:val="none" w:sz="0" w:space="0" w:color="auto"/>
            <w:bottom w:val="none" w:sz="0" w:space="0" w:color="auto"/>
            <w:right w:val="none" w:sz="0" w:space="0" w:color="auto"/>
          </w:divBdr>
          <w:divsChild>
            <w:div w:id="1696535348">
              <w:marLeft w:val="0"/>
              <w:marRight w:val="0"/>
              <w:marTop w:val="0"/>
              <w:marBottom w:val="0"/>
              <w:divBdr>
                <w:top w:val="none" w:sz="0" w:space="0" w:color="auto"/>
                <w:left w:val="none" w:sz="0" w:space="0" w:color="auto"/>
                <w:bottom w:val="none" w:sz="0" w:space="0" w:color="auto"/>
                <w:right w:val="none" w:sz="0" w:space="0" w:color="auto"/>
              </w:divBdr>
            </w:div>
          </w:divsChild>
        </w:div>
        <w:div w:id="280190933">
          <w:marLeft w:val="0"/>
          <w:marRight w:val="0"/>
          <w:marTop w:val="0"/>
          <w:marBottom w:val="0"/>
          <w:divBdr>
            <w:top w:val="none" w:sz="0" w:space="0" w:color="auto"/>
            <w:left w:val="none" w:sz="0" w:space="0" w:color="auto"/>
            <w:bottom w:val="none" w:sz="0" w:space="0" w:color="auto"/>
            <w:right w:val="none" w:sz="0" w:space="0" w:color="auto"/>
          </w:divBdr>
          <w:divsChild>
            <w:div w:id="381949073">
              <w:marLeft w:val="0"/>
              <w:marRight w:val="0"/>
              <w:marTop w:val="0"/>
              <w:marBottom w:val="0"/>
              <w:divBdr>
                <w:top w:val="none" w:sz="0" w:space="0" w:color="auto"/>
                <w:left w:val="none" w:sz="0" w:space="0" w:color="auto"/>
                <w:bottom w:val="none" w:sz="0" w:space="0" w:color="auto"/>
                <w:right w:val="none" w:sz="0" w:space="0" w:color="auto"/>
              </w:divBdr>
            </w:div>
          </w:divsChild>
        </w:div>
        <w:div w:id="654647470">
          <w:marLeft w:val="0"/>
          <w:marRight w:val="0"/>
          <w:marTop w:val="0"/>
          <w:marBottom w:val="0"/>
          <w:divBdr>
            <w:top w:val="none" w:sz="0" w:space="0" w:color="auto"/>
            <w:left w:val="none" w:sz="0" w:space="0" w:color="auto"/>
            <w:bottom w:val="none" w:sz="0" w:space="0" w:color="auto"/>
            <w:right w:val="none" w:sz="0" w:space="0" w:color="auto"/>
          </w:divBdr>
          <w:divsChild>
            <w:div w:id="74204049">
              <w:marLeft w:val="0"/>
              <w:marRight w:val="0"/>
              <w:marTop w:val="0"/>
              <w:marBottom w:val="0"/>
              <w:divBdr>
                <w:top w:val="none" w:sz="0" w:space="0" w:color="auto"/>
                <w:left w:val="none" w:sz="0" w:space="0" w:color="auto"/>
                <w:bottom w:val="none" w:sz="0" w:space="0" w:color="auto"/>
                <w:right w:val="none" w:sz="0" w:space="0" w:color="auto"/>
              </w:divBdr>
            </w:div>
          </w:divsChild>
        </w:div>
        <w:div w:id="573466618">
          <w:marLeft w:val="0"/>
          <w:marRight w:val="0"/>
          <w:marTop w:val="0"/>
          <w:marBottom w:val="0"/>
          <w:divBdr>
            <w:top w:val="none" w:sz="0" w:space="0" w:color="auto"/>
            <w:left w:val="none" w:sz="0" w:space="0" w:color="auto"/>
            <w:bottom w:val="none" w:sz="0" w:space="0" w:color="auto"/>
            <w:right w:val="none" w:sz="0" w:space="0" w:color="auto"/>
          </w:divBdr>
          <w:divsChild>
            <w:div w:id="1046373898">
              <w:marLeft w:val="0"/>
              <w:marRight w:val="0"/>
              <w:marTop w:val="0"/>
              <w:marBottom w:val="0"/>
              <w:divBdr>
                <w:top w:val="none" w:sz="0" w:space="0" w:color="auto"/>
                <w:left w:val="none" w:sz="0" w:space="0" w:color="auto"/>
                <w:bottom w:val="none" w:sz="0" w:space="0" w:color="auto"/>
                <w:right w:val="none" w:sz="0" w:space="0" w:color="auto"/>
              </w:divBdr>
            </w:div>
          </w:divsChild>
        </w:div>
        <w:div w:id="747070639">
          <w:marLeft w:val="0"/>
          <w:marRight w:val="0"/>
          <w:marTop w:val="0"/>
          <w:marBottom w:val="0"/>
          <w:divBdr>
            <w:top w:val="none" w:sz="0" w:space="0" w:color="auto"/>
            <w:left w:val="none" w:sz="0" w:space="0" w:color="auto"/>
            <w:bottom w:val="none" w:sz="0" w:space="0" w:color="auto"/>
            <w:right w:val="none" w:sz="0" w:space="0" w:color="auto"/>
          </w:divBdr>
          <w:divsChild>
            <w:div w:id="433675435">
              <w:marLeft w:val="0"/>
              <w:marRight w:val="0"/>
              <w:marTop w:val="0"/>
              <w:marBottom w:val="0"/>
              <w:divBdr>
                <w:top w:val="none" w:sz="0" w:space="0" w:color="auto"/>
                <w:left w:val="none" w:sz="0" w:space="0" w:color="auto"/>
                <w:bottom w:val="none" w:sz="0" w:space="0" w:color="auto"/>
                <w:right w:val="none" w:sz="0" w:space="0" w:color="auto"/>
              </w:divBdr>
            </w:div>
          </w:divsChild>
        </w:div>
        <w:div w:id="657265563">
          <w:marLeft w:val="0"/>
          <w:marRight w:val="0"/>
          <w:marTop w:val="0"/>
          <w:marBottom w:val="0"/>
          <w:divBdr>
            <w:top w:val="none" w:sz="0" w:space="0" w:color="auto"/>
            <w:left w:val="none" w:sz="0" w:space="0" w:color="auto"/>
            <w:bottom w:val="none" w:sz="0" w:space="0" w:color="auto"/>
            <w:right w:val="none" w:sz="0" w:space="0" w:color="auto"/>
          </w:divBdr>
          <w:divsChild>
            <w:div w:id="640963577">
              <w:marLeft w:val="0"/>
              <w:marRight w:val="0"/>
              <w:marTop w:val="0"/>
              <w:marBottom w:val="0"/>
              <w:divBdr>
                <w:top w:val="none" w:sz="0" w:space="0" w:color="auto"/>
                <w:left w:val="none" w:sz="0" w:space="0" w:color="auto"/>
                <w:bottom w:val="none" w:sz="0" w:space="0" w:color="auto"/>
                <w:right w:val="none" w:sz="0" w:space="0" w:color="auto"/>
              </w:divBdr>
            </w:div>
          </w:divsChild>
        </w:div>
        <w:div w:id="421992870">
          <w:marLeft w:val="0"/>
          <w:marRight w:val="0"/>
          <w:marTop w:val="0"/>
          <w:marBottom w:val="0"/>
          <w:divBdr>
            <w:top w:val="none" w:sz="0" w:space="0" w:color="auto"/>
            <w:left w:val="none" w:sz="0" w:space="0" w:color="auto"/>
            <w:bottom w:val="none" w:sz="0" w:space="0" w:color="auto"/>
            <w:right w:val="none" w:sz="0" w:space="0" w:color="auto"/>
          </w:divBdr>
          <w:divsChild>
            <w:div w:id="811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5A50B-56C1-4BE0-8635-7DC3828F3890}">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6983FA8F-4BEF-7A4A-A476-C50058DFDF76}">
  <ds:schemaRefs>
    <ds:schemaRef ds:uri="http://schemas.openxmlformats.org/officeDocument/2006/bibliography"/>
  </ds:schemaRefs>
</ds:datastoreItem>
</file>

<file path=customXml/itemProps3.xml><?xml version="1.0" encoding="utf-8"?>
<ds:datastoreItem xmlns:ds="http://schemas.openxmlformats.org/officeDocument/2006/customXml" ds:itemID="{126AC551-AAE8-483A-9B2E-DC4AA5AB1048}">
  <ds:schemaRefs>
    <ds:schemaRef ds:uri="http://schemas.microsoft.com/sharepoint/v3/contenttype/forms"/>
  </ds:schemaRefs>
</ds:datastoreItem>
</file>

<file path=customXml/itemProps4.xml><?xml version="1.0" encoding="utf-8"?>
<ds:datastoreItem xmlns:ds="http://schemas.openxmlformats.org/officeDocument/2006/customXml" ds:itemID="{847EC3C5-BD81-4F7F-9448-F107F9CD147A}"/>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2022-12-05T15:58:00Z</dcterms:created>
  <dcterms:modified xsi:type="dcterms:W3CDTF">2022-12-05T16:25:00Z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