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B87F" w14:textId="77777777" w:rsidR="00683609" w:rsidRPr="00302082" w:rsidRDefault="00683609" w:rsidP="00683609">
      <w:pPr>
        <w:spacing w:after="0" w:line="240" w:lineRule="auto"/>
        <w:rPr>
          <w:rFonts w:ascii="Arial" w:hAnsi="Arial" w:cs="Arial"/>
        </w:rPr>
      </w:pPr>
    </w:p>
    <w:p w14:paraId="2038A6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84C9FA3" w14:textId="77777777" w:rsidR="009A2D37" w:rsidRPr="00C93430" w:rsidRDefault="00DD4C7E" w:rsidP="00C93430">
      <w:pPr>
        <w:spacing w:after="120" w:line="240" w:lineRule="auto"/>
        <w:ind w:left="426" w:right="260"/>
        <w:jc w:val="both"/>
        <w:rPr>
          <w:rFonts w:ascii="Arial" w:hAnsi="Arial" w:cs="Arial"/>
          <w:iCs/>
        </w:rPr>
      </w:pPr>
      <w:r>
        <w:rPr>
          <w:rFonts w:ascii="Arial" w:hAnsi="Arial" w:cs="Arial"/>
        </w:rPr>
        <w:t xml:space="preserve">MEMS8840 (MT884) </w:t>
      </w:r>
      <w:r w:rsidR="00AC318E">
        <w:rPr>
          <w:rFonts w:ascii="Arial" w:hAnsi="Arial" w:cs="Arial"/>
        </w:rPr>
        <w:t>Pre-modern Paris</w:t>
      </w:r>
    </w:p>
    <w:p w14:paraId="6E94F10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2EF77F3" w14:textId="77777777" w:rsidR="009A2D37" w:rsidRPr="00C93430" w:rsidRDefault="00EC7C12" w:rsidP="00C93430">
      <w:pPr>
        <w:spacing w:after="120" w:line="240" w:lineRule="auto"/>
        <w:ind w:right="260" w:firstLine="426"/>
        <w:rPr>
          <w:rFonts w:ascii="Arial" w:hAnsi="Arial" w:cs="Arial"/>
          <w:iCs/>
        </w:rPr>
      </w:pPr>
      <w:r w:rsidRPr="00EC7C12">
        <w:rPr>
          <w:rFonts w:ascii="Arial" w:hAnsi="Arial" w:cs="Arial"/>
          <w:iCs/>
        </w:rPr>
        <w:t>Canterbury Centre for Medieval and Early Modern Studies</w:t>
      </w:r>
      <w:r w:rsidR="00C93430">
        <w:rPr>
          <w:rFonts w:ascii="Arial" w:hAnsi="Arial" w:cs="Arial"/>
          <w:iCs/>
        </w:rPr>
        <w:t xml:space="preserve"> (MEMS)</w:t>
      </w:r>
      <w:r w:rsidR="00572DF1">
        <w:rPr>
          <w:rFonts w:ascii="Arial" w:hAnsi="Arial" w:cs="Arial"/>
          <w:iCs/>
        </w:rPr>
        <w:t>, Paris pathway</w:t>
      </w:r>
    </w:p>
    <w:p w14:paraId="17D9A06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12EABA27" w14:textId="77777777" w:rsidR="009A2D37" w:rsidRPr="00EC7C12" w:rsidRDefault="00EC7C12" w:rsidP="00302082">
      <w:pPr>
        <w:spacing w:after="120" w:line="240" w:lineRule="auto"/>
        <w:ind w:left="426" w:right="260"/>
        <w:rPr>
          <w:rFonts w:ascii="Arial" w:hAnsi="Arial" w:cs="Arial"/>
          <w:iCs/>
        </w:rPr>
      </w:pPr>
      <w:r w:rsidRPr="00EC7C12">
        <w:rPr>
          <w:rFonts w:ascii="Arial" w:hAnsi="Arial" w:cs="Arial"/>
        </w:rPr>
        <w:t>Level 7</w:t>
      </w:r>
    </w:p>
    <w:p w14:paraId="51F428E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ED14137" w14:textId="77777777" w:rsidR="009A2D37" w:rsidRPr="00EC7C12" w:rsidRDefault="008329C9" w:rsidP="00302082">
      <w:pPr>
        <w:spacing w:after="120" w:line="240" w:lineRule="auto"/>
        <w:ind w:left="426" w:right="260"/>
        <w:rPr>
          <w:rFonts w:ascii="Arial" w:hAnsi="Arial" w:cs="Arial"/>
        </w:rPr>
      </w:pPr>
      <w:r>
        <w:rPr>
          <w:rFonts w:ascii="Arial" w:hAnsi="Arial" w:cs="Arial"/>
        </w:rPr>
        <w:t>30 credits</w:t>
      </w:r>
      <w:r w:rsidR="00EE1810">
        <w:rPr>
          <w:rFonts w:ascii="Arial" w:hAnsi="Arial" w:cs="Arial"/>
        </w:rPr>
        <w:t xml:space="preserve"> (</w:t>
      </w:r>
      <w:r>
        <w:rPr>
          <w:rFonts w:ascii="Arial" w:hAnsi="Arial" w:cs="Arial"/>
        </w:rPr>
        <w:t>15</w:t>
      </w:r>
      <w:r w:rsidR="00EC7C12" w:rsidRPr="00EC7C12">
        <w:rPr>
          <w:rFonts w:ascii="Arial" w:hAnsi="Arial" w:cs="Arial"/>
        </w:rPr>
        <w:t xml:space="preserve"> ECTS</w:t>
      </w:r>
      <w:r w:rsidR="00EE1810">
        <w:rPr>
          <w:rFonts w:ascii="Arial" w:hAnsi="Arial" w:cs="Arial"/>
        </w:rPr>
        <w:t>)</w:t>
      </w:r>
    </w:p>
    <w:p w14:paraId="5CBFB00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0D0B63D" w14:textId="77777777" w:rsidR="009A2D37" w:rsidRPr="00EC7C12" w:rsidRDefault="00EC7C12" w:rsidP="00302082">
      <w:pPr>
        <w:spacing w:after="120" w:line="240" w:lineRule="auto"/>
        <w:ind w:left="426" w:right="260"/>
        <w:rPr>
          <w:rFonts w:ascii="Arial" w:hAnsi="Arial" w:cs="Arial"/>
          <w:iCs/>
        </w:rPr>
      </w:pPr>
      <w:r w:rsidRPr="00EC7C12">
        <w:rPr>
          <w:rFonts w:ascii="Arial" w:hAnsi="Arial" w:cs="Arial"/>
          <w:iCs/>
        </w:rPr>
        <w:t>Spring</w:t>
      </w:r>
    </w:p>
    <w:p w14:paraId="21EC16C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31C6B9" w14:textId="77777777" w:rsidR="009A2D37" w:rsidRPr="00EC7C12" w:rsidRDefault="00EC7C12" w:rsidP="00302082">
      <w:pPr>
        <w:spacing w:after="120" w:line="240" w:lineRule="auto"/>
        <w:ind w:left="426" w:right="260"/>
        <w:rPr>
          <w:rFonts w:ascii="Arial" w:hAnsi="Arial" w:cs="Arial"/>
          <w:iCs/>
        </w:rPr>
      </w:pPr>
      <w:r w:rsidRPr="00EC7C12">
        <w:rPr>
          <w:rFonts w:ascii="Arial" w:hAnsi="Arial" w:cs="Arial"/>
          <w:iCs/>
        </w:rPr>
        <w:t>N/A</w:t>
      </w:r>
    </w:p>
    <w:p w14:paraId="05A1948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2CBD97C" w14:textId="77777777" w:rsidR="009A2D37" w:rsidRPr="00C93430" w:rsidRDefault="00EC7C12" w:rsidP="00C93430">
      <w:pPr>
        <w:spacing w:after="120" w:line="240" w:lineRule="auto"/>
        <w:ind w:left="426" w:right="260"/>
        <w:rPr>
          <w:rFonts w:ascii="Arial" w:hAnsi="Arial" w:cs="Arial"/>
          <w:iCs/>
        </w:rPr>
      </w:pPr>
      <w:r w:rsidRPr="00EC7C12">
        <w:rPr>
          <w:rFonts w:ascii="Arial" w:hAnsi="Arial" w:cs="Arial"/>
          <w:iCs/>
        </w:rPr>
        <w:t>MA</w:t>
      </w:r>
      <w:r w:rsidR="00C93430">
        <w:rPr>
          <w:rFonts w:ascii="Arial" w:hAnsi="Arial" w:cs="Arial"/>
          <w:iCs/>
        </w:rPr>
        <w:t xml:space="preserve"> </w:t>
      </w:r>
      <w:r w:rsidR="00BA0EF0">
        <w:rPr>
          <w:rFonts w:ascii="Arial" w:hAnsi="Arial" w:cs="Arial"/>
          <w:iCs/>
        </w:rPr>
        <w:t xml:space="preserve">in Medieval &amp; Early Modern Studies </w:t>
      </w:r>
      <w:r w:rsidR="00AC318E">
        <w:rPr>
          <w:rFonts w:ascii="Arial" w:hAnsi="Arial" w:cs="Arial"/>
          <w:iCs/>
        </w:rPr>
        <w:t>Paris Pathway</w:t>
      </w:r>
    </w:p>
    <w:p w14:paraId="016326BE" w14:textId="77777777" w:rsidR="002A5328" w:rsidRPr="002A5328" w:rsidRDefault="009A2D37" w:rsidP="002A5328">
      <w:pPr>
        <w:numPr>
          <w:ilvl w:val="0"/>
          <w:numId w:val="1"/>
        </w:numPr>
        <w:spacing w:after="120" w:line="240" w:lineRule="auto"/>
        <w:ind w:left="426" w:right="260" w:hanging="426"/>
        <w:rPr>
          <w:rFonts w:ascii="Arial" w:hAnsi="Arial" w:cs="Arial"/>
        </w:rPr>
      </w:pPr>
      <w:r w:rsidRPr="00302082">
        <w:rPr>
          <w:rFonts w:ascii="Arial" w:hAnsi="Arial" w:cs="Arial"/>
          <w:b/>
        </w:rPr>
        <w:t>The intended subject specific learning outcomes</w:t>
      </w:r>
    </w:p>
    <w:p w14:paraId="53D1FF72" w14:textId="77777777" w:rsidR="009A2D37" w:rsidRDefault="00C729D7" w:rsidP="002A5328">
      <w:pPr>
        <w:spacing w:after="120" w:line="240" w:lineRule="auto"/>
        <w:ind w:left="426" w:right="260"/>
        <w:rPr>
          <w:rFonts w:ascii="Arial" w:hAnsi="Arial" w:cs="Arial"/>
        </w:rPr>
      </w:pPr>
      <w:r w:rsidRPr="002A5328">
        <w:rPr>
          <w:rFonts w:ascii="Arial" w:hAnsi="Arial" w:cs="Arial"/>
        </w:rPr>
        <w:t>On successfully completing the module students will be able to:</w:t>
      </w:r>
    </w:p>
    <w:p w14:paraId="3A4189A3" w14:textId="77777777" w:rsidR="005F00DB" w:rsidRDefault="00BE7183" w:rsidP="005F00DB">
      <w:pPr>
        <w:pStyle w:val="ListParagraph"/>
        <w:spacing w:after="120" w:line="240" w:lineRule="auto"/>
        <w:ind w:right="260"/>
        <w:rPr>
          <w:rFonts w:ascii="Arial" w:hAnsi="Arial" w:cs="Arial"/>
        </w:rPr>
      </w:pPr>
      <w:r>
        <w:rPr>
          <w:rFonts w:ascii="Arial" w:hAnsi="Arial" w:cs="Arial"/>
        </w:rPr>
        <w:t>8.1 – D</w:t>
      </w:r>
      <w:r w:rsidR="005F00DB" w:rsidRPr="00980DCA">
        <w:rPr>
          <w:rFonts w:ascii="Arial" w:hAnsi="Arial" w:cs="Arial"/>
        </w:rPr>
        <w:t xml:space="preserve">emonstrate a systematic understanding of </w:t>
      </w:r>
      <w:r w:rsidR="005F00DB">
        <w:rPr>
          <w:rFonts w:ascii="Arial" w:hAnsi="Arial" w:cs="Arial"/>
        </w:rPr>
        <w:t xml:space="preserve">the development of Paris as a capital city. </w:t>
      </w:r>
    </w:p>
    <w:p w14:paraId="7F4A139E" w14:textId="77777777" w:rsidR="005F00DB" w:rsidRDefault="005F00DB" w:rsidP="00973AE1">
      <w:pPr>
        <w:pStyle w:val="ListParagraph"/>
        <w:spacing w:after="120" w:line="240" w:lineRule="auto"/>
        <w:ind w:right="260"/>
        <w:rPr>
          <w:rFonts w:ascii="Arial" w:hAnsi="Arial" w:cs="Arial"/>
        </w:rPr>
      </w:pPr>
      <w:r w:rsidRPr="00980DCA">
        <w:rPr>
          <w:rFonts w:ascii="Arial" w:hAnsi="Arial" w:cs="Arial"/>
        </w:rPr>
        <w:t xml:space="preserve">8.2 – </w:t>
      </w:r>
      <w:r w:rsidRPr="00FC13CB">
        <w:rPr>
          <w:rFonts w:ascii="Arial" w:hAnsi="Arial" w:cs="Arial"/>
        </w:rPr>
        <w:t>Show a sophisticated critical awareness of the</w:t>
      </w:r>
      <w:r>
        <w:rPr>
          <w:rFonts w:ascii="Arial" w:hAnsi="Arial" w:cs="Arial"/>
        </w:rPr>
        <w:t xml:space="preserve"> need to employ a wide range of source materials when approaching the pre-modern world</w:t>
      </w:r>
      <w:r w:rsidRPr="00FC13CB">
        <w:rPr>
          <w:rFonts w:ascii="Arial" w:hAnsi="Arial" w:cs="Arial"/>
        </w:rPr>
        <w:t xml:space="preserve">. </w:t>
      </w:r>
      <w:r w:rsidRPr="00980DCA">
        <w:rPr>
          <w:rFonts w:ascii="Arial" w:hAnsi="Arial" w:cs="Arial"/>
        </w:rPr>
        <w:t>in order to critically assess primary source materials</w:t>
      </w:r>
    </w:p>
    <w:p w14:paraId="57DF99B2" w14:textId="77777777" w:rsidR="005F00DB" w:rsidRDefault="005F00DB" w:rsidP="00973AE1">
      <w:pPr>
        <w:pStyle w:val="ListParagraph"/>
        <w:rPr>
          <w:rFonts w:ascii="Arial" w:hAnsi="Arial" w:cs="Arial"/>
        </w:rPr>
      </w:pPr>
      <w:r w:rsidRPr="00980DCA">
        <w:rPr>
          <w:rFonts w:ascii="Arial" w:hAnsi="Arial" w:cs="Arial"/>
        </w:rPr>
        <w:t xml:space="preserve">8.3 – </w:t>
      </w:r>
      <w:r>
        <w:rPr>
          <w:rFonts w:ascii="Arial" w:hAnsi="Arial" w:cs="Arial"/>
        </w:rPr>
        <w:t>Critically evaluate the existing scholarly literature on these subjects across disciplines with reference to the interrogation of primary sources to suggest original approaches to historical or literary problems.</w:t>
      </w:r>
    </w:p>
    <w:p w14:paraId="381820E6" w14:textId="77777777" w:rsidR="005F00DB" w:rsidRDefault="005F00DB" w:rsidP="00973AE1">
      <w:pPr>
        <w:ind w:left="720"/>
        <w:rPr>
          <w:rFonts w:ascii="Arial" w:hAnsi="Arial" w:cs="Arial"/>
        </w:rPr>
      </w:pPr>
      <w:r w:rsidRPr="00980DCA">
        <w:rPr>
          <w:rFonts w:ascii="Arial" w:hAnsi="Arial" w:cs="Arial"/>
        </w:rPr>
        <w:t>8.</w:t>
      </w:r>
      <w:r>
        <w:rPr>
          <w:rFonts w:ascii="Arial" w:hAnsi="Arial" w:cs="Arial"/>
        </w:rPr>
        <w:t>4</w:t>
      </w:r>
      <w:r w:rsidRPr="00980DCA">
        <w:rPr>
          <w:rFonts w:ascii="Arial" w:hAnsi="Arial" w:cs="Arial"/>
        </w:rPr>
        <w:t xml:space="preserve"> – </w:t>
      </w:r>
      <w:r w:rsidRPr="00FC13CB">
        <w:rPr>
          <w:rFonts w:ascii="Arial" w:hAnsi="Arial" w:cs="Arial"/>
        </w:rPr>
        <w:t>Have a sophisticated understanding of the issues of</w:t>
      </w:r>
      <w:r>
        <w:rPr>
          <w:rFonts w:ascii="Arial" w:hAnsi="Arial" w:cs="Arial"/>
        </w:rPr>
        <w:t xml:space="preserve"> urban development and its congruence or conflict with royal authority</w:t>
      </w:r>
      <w:r w:rsidRPr="00FC13CB">
        <w:rPr>
          <w:rFonts w:ascii="Arial" w:hAnsi="Arial" w:cs="Arial"/>
        </w:rPr>
        <w:t>, and critically evaluate how this affected the use of various media and source survival.</w:t>
      </w:r>
    </w:p>
    <w:p w14:paraId="10B2EC3A" w14:textId="77777777" w:rsidR="00FC13CB" w:rsidRPr="00C93430" w:rsidRDefault="005F00DB" w:rsidP="00973AE1">
      <w:pPr>
        <w:ind w:left="714"/>
        <w:rPr>
          <w:rFonts w:ascii="Arial" w:hAnsi="Arial" w:cs="Arial"/>
        </w:rPr>
      </w:pPr>
      <w:r>
        <w:rPr>
          <w:rFonts w:ascii="Arial" w:hAnsi="Arial" w:cs="Arial"/>
        </w:rPr>
        <w:t xml:space="preserve">8.5 - </w:t>
      </w:r>
      <w:r w:rsidR="00163C6F">
        <w:rPr>
          <w:rFonts w:ascii="Arial" w:hAnsi="Arial" w:cs="Arial"/>
        </w:rPr>
        <w:t>Have a comprehensive understanding of the international nature of</w:t>
      </w:r>
      <w:r w:rsidR="00AC318E">
        <w:rPr>
          <w:rFonts w:ascii="Arial" w:hAnsi="Arial" w:cs="Arial"/>
        </w:rPr>
        <w:t xml:space="preserve"> pre-modern Paris and its status as a locus where networks of exchange could intersect and overlap</w:t>
      </w:r>
      <w:r w:rsidR="00163C6F">
        <w:rPr>
          <w:rFonts w:ascii="Arial" w:hAnsi="Arial" w:cs="Arial"/>
        </w:rPr>
        <w:t>.</w:t>
      </w:r>
      <w:r w:rsidR="003A3D03">
        <w:rPr>
          <w:rFonts w:ascii="Arial" w:hAnsi="Arial" w:cs="Arial"/>
        </w:rPr>
        <w:t xml:space="preserve"> </w:t>
      </w:r>
    </w:p>
    <w:p w14:paraId="3B1D2A4A" w14:textId="77777777" w:rsidR="00163C6F" w:rsidRPr="00C93430" w:rsidRDefault="005F00DB" w:rsidP="00973AE1">
      <w:pPr>
        <w:pStyle w:val="MediumGrid1-Accent2"/>
        <w:spacing w:after="120" w:line="240" w:lineRule="auto"/>
        <w:ind w:left="714"/>
        <w:rPr>
          <w:rFonts w:ascii="Arial" w:hAnsi="Arial" w:cs="Arial"/>
        </w:rPr>
      </w:pPr>
      <w:r>
        <w:rPr>
          <w:rFonts w:ascii="Arial" w:hAnsi="Arial" w:cs="Arial"/>
        </w:rPr>
        <w:t xml:space="preserve">8.6 - </w:t>
      </w:r>
      <w:r w:rsidR="00163C6F" w:rsidRPr="00FC13CB">
        <w:rPr>
          <w:rFonts w:ascii="Arial" w:hAnsi="Arial" w:cs="Arial"/>
        </w:rPr>
        <w:t>Demonstrate a sophisticated critical awareness of the problems surrounding</w:t>
      </w:r>
      <w:r w:rsidR="00AC318E">
        <w:rPr>
          <w:rFonts w:ascii="Arial" w:hAnsi="Arial" w:cs="Arial"/>
        </w:rPr>
        <w:t xml:space="preserve"> our study of pre-modern Paris</w:t>
      </w:r>
      <w:r w:rsidR="00163C6F" w:rsidRPr="00FC13CB">
        <w:rPr>
          <w:rFonts w:ascii="Arial" w:hAnsi="Arial" w:cs="Arial"/>
        </w:rPr>
        <w:t xml:space="preserve">, and critically interrogate implications which </w:t>
      </w:r>
      <w:r w:rsidR="00AC318E">
        <w:rPr>
          <w:rFonts w:ascii="Arial" w:hAnsi="Arial" w:cs="Arial"/>
        </w:rPr>
        <w:t>different methods of investigation</w:t>
      </w:r>
      <w:r w:rsidR="00163C6F" w:rsidRPr="00FC13CB">
        <w:rPr>
          <w:rFonts w:ascii="Arial" w:hAnsi="Arial" w:cs="Arial"/>
        </w:rPr>
        <w:t xml:space="preserve"> have</w:t>
      </w:r>
      <w:r w:rsidR="00AC318E">
        <w:rPr>
          <w:rFonts w:ascii="Arial" w:hAnsi="Arial" w:cs="Arial"/>
        </w:rPr>
        <w:t xml:space="preserve"> for the research conclusions reached</w:t>
      </w:r>
      <w:r w:rsidR="00163C6F" w:rsidRPr="00FC13CB">
        <w:rPr>
          <w:rFonts w:ascii="Arial" w:hAnsi="Arial" w:cs="Arial"/>
        </w:rPr>
        <w:t xml:space="preserve">. </w:t>
      </w:r>
    </w:p>
    <w:p w14:paraId="68EC1BB7" w14:textId="77777777" w:rsidR="00C93430" w:rsidRDefault="005F00DB" w:rsidP="00973AE1">
      <w:pPr>
        <w:spacing w:after="120" w:line="240" w:lineRule="auto"/>
        <w:ind w:right="260"/>
        <w:rPr>
          <w:rFonts w:ascii="Arial" w:hAnsi="Arial" w:cs="Arial"/>
          <w:b/>
        </w:rPr>
      </w:pPr>
      <w:r>
        <w:rPr>
          <w:rFonts w:ascii="Arial" w:hAnsi="Arial" w:cs="Arial"/>
          <w:b/>
        </w:rPr>
        <w:t>9</w:t>
      </w:r>
      <w:r>
        <w:rPr>
          <w:rFonts w:ascii="Arial" w:hAnsi="Arial" w:cs="Arial"/>
          <w:b/>
        </w:rPr>
        <w:tab/>
      </w:r>
      <w:r w:rsidR="009A2D37" w:rsidRPr="00302082">
        <w:rPr>
          <w:rFonts w:ascii="Arial" w:hAnsi="Arial" w:cs="Arial"/>
          <w:b/>
        </w:rPr>
        <w:t>The intended generic learning outcomes</w:t>
      </w:r>
    </w:p>
    <w:p w14:paraId="44F03C95" w14:textId="77777777" w:rsidR="00C729D7" w:rsidRPr="00C93430" w:rsidRDefault="00C729D7" w:rsidP="00C93430">
      <w:pPr>
        <w:spacing w:after="120" w:line="240" w:lineRule="auto"/>
        <w:ind w:left="426" w:right="260"/>
        <w:rPr>
          <w:rFonts w:ascii="Arial" w:hAnsi="Arial" w:cs="Arial"/>
        </w:rPr>
      </w:pPr>
      <w:r w:rsidRPr="00C93430">
        <w:rPr>
          <w:rFonts w:ascii="Arial" w:hAnsi="Arial" w:cs="Arial"/>
        </w:rPr>
        <w:t>On successfully completing the module students will be able to:</w:t>
      </w:r>
    </w:p>
    <w:p w14:paraId="4F50F8B2" w14:textId="77777777" w:rsidR="00FC13CB" w:rsidRPr="00C93430" w:rsidRDefault="005F00DB" w:rsidP="00973AE1">
      <w:pPr>
        <w:pStyle w:val="MediumGrid1-Accent2"/>
        <w:numPr>
          <w:ilvl w:val="1"/>
          <w:numId w:val="16"/>
        </w:numPr>
        <w:spacing w:after="0" w:line="240" w:lineRule="auto"/>
        <w:rPr>
          <w:rFonts w:ascii="Arial" w:hAnsi="Arial" w:cs="Arial"/>
        </w:rPr>
      </w:pPr>
      <w:r>
        <w:rPr>
          <w:rFonts w:ascii="Arial" w:hAnsi="Arial"/>
        </w:rPr>
        <w:t xml:space="preserve">- </w:t>
      </w:r>
      <w:r w:rsidR="00F15130" w:rsidRPr="00C93430">
        <w:rPr>
          <w:rFonts w:ascii="Arial" w:hAnsi="Arial"/>
        </w:rPr>
        <w:t xml:space="preserve">Demonstrate sound </w:t>
      </w:r>
      <w:r w:rsidR="001F180C" w:rsidRPr="00C93430">
        <w:rPr>
          <w:rFonts w:ascii="Arial" w:hAnsi="Arial"/>
        </w:rPr>
        <w:t xml:space="preserve">critical </w:t>
      </w:r>
      <w:r w:rsidR="00F15130" w:rsidRPr="00C93430">
        <w:rPr>
          <w:rFonts w:ascii="Arial" w:hAnsi="Arial"/>
        </w:rPr>
        <w:t xml:space="preserve">judgement in their assessment of </w:t>
      </w:r>
      <w:r w:rsidR="001F180C" w:rsidRPr="00C93430">
        <w:rPr>
          <w:rFonts w:ascii="Arial" w:hAnsi="Arial"/>
        </w:rPr>
        <w:t>complex and</w:t>
      </w:r>
      <w:r w:rsidR="00F15130" w:rsidRPr="00C93430">
        <w:rPr>
          <w:rFonts w:ascii="Arial" w:hAnsi="Arial"/>
        </w:rPr>
        <w:t xml:space="preserve"> conflicting sources of information. </w:t>
      </w:r>
    </w:p>
    <w:p w14:paraId="706192F6" w14:textId="77777777" w:rsidR="00FC13CB" w:rsidRPr="00C93430" w:rsidRDefault="005F00DB" w:rsidP="00973AE1">
      <w:pPr>
        <w:pStyle w:val="MediumGrid1-Accent2"/>
        <w:numPr>
          <w:ilvl w:val="1"/>
          <w:numId w:val="16"/>
        </w:numPr>
        <w:spacing w:after="0" w:line="240" w:lineRule="auto"/>
        <w:rPr>
          <w:rFonts w:ascii="Arial" w:hAnsi="Arial" w:cs="Arial"/>
        </w:rPr>
      </w:pPr>
      <w:r>
        <w:rPr>
          <w:rFonts w:ascii="Arial" w:hAnsi="Arial"/>
        </w:rPr>
        <w:t xml:space="preserve">- </w:t>
      </w:r>
      <w:r w:rsidR="00F15130" w:rsidRPr="00C93430">
        <w:rPr>
          <w:rFonts w:ascii="Arial" w:hAnsi="Arial"/>
        </w:rPr>
        <w:t xml:space="preserve">Make judicious use of incomplete source material, and show originality with extant sources to overcome </w:t>
      </w:r>
      <w:r w:rsidR="00A51C8A" w:rsidRPr="00C93430">
        <w:rPr>
          <w:rFonts w:ascii="Arial" w:hAnsi="Arial"/>
        </w:rPr>
        <w:t xml:space="preserve">or mitigate </w:t>
      </w:r>
      <w:r w:rsidR="00F15130" w:rsidRPr="00C93430">
        <w:rPr>
          <w:rFonts w:ascii="Arial" w:hAnsi="Arial"/>
        </w:rPr>
        <w:t xml:space="preserve">archival gaps. </w:t>
      </w:r>
    </w:p>
    <w:p w14:paraId="6A4FE073" w14:textId="77777777" w:rsidR="00F15130" w:rsidRPr="00C93430" w:rsidRDefault="005F00DB" w:rsidP="00973AE1">
      <w:pPr>
        <w:pStyle w:val="Default"/>
        <w:numPr>
          <w:ilvl w:val="1"/>
          <w:numId w:val="16"/>
        </w:numPr>
        <w:ind w:right="261"/>
        <w:rPr>
          <w:color w:val="auto"/>
          <w:sz w:val="22"/>
          <w:szCs w:val="22"/>
        </w:rPr>
      </w:pPr>
      <w:r>
        <w:rPr>
          <w:color w:val="auto"/>
          <w:sz w:val="22"/>
          <w:szCs w:val="22"/>
        </w:rPr>
        <w:t xml:space="preserve">- </w:t>
      </w:r>
      <w:r w:rsidR="00F15130" w:rsidRPr="00C93430">
        <w:rPr>
          <w:color w:val="auto"/>
          <w:sz w:val="22"/>
          <w:szCs w:val="22"/>
        </w:rPr>
        <w:t>Show autonomy and self-direction in developing original approaches to research problems</w:t>
      </w:r>
      <w:r w:rsidR="001F180C" w:rsidRPr="00C93430">
        <w:rPr>
          <w:color w:val="auto"/>
          <w:sz w:val="22"/>
          <w:szCs w:val="22"/>
        </w:rPr>
        <w:t>.</w:t>
      </w:r>
      <w:r w:rsidR="00FC13CB" w:rsidRPr="00C93430">
        <w:rPr>
          <w:color w:val="auto"/>
          <w:sz w:val="22"/>
          <w:szCs w:val="22"/>
        </w:rPr>
        <w:t xml:space="preserve"> </w:t>
      </w:r>
    </w:p>
    <w:p w14:paraId="15628A00" w14:textId="77777777" w:rsidR="001F180C" w:rsidRPr="00C93430" w:rsidRDefault="005F00DB" w:rsidP="00973AE1">
      <w:pPr>
        <w:pStyle w:val="Default"/>
        <w:numPr>
          <w:ilvl w:val="1"/>
          <w:numId w:val="16"/>
        </w:numPr>
        <w:ind w:right="260"/>
        <w:rPr>
          <w:color w:val="auto"/>
          <w:sz w:val="22"/>
          <w:szCs w:val="22"/>
        </w:rPr>
      </w:pPr>
      <w:r>
        <w:rPr>
          <w:color w:val="auto"/>
          <w:sz w:val="22"/>
          <w:szCs w:val="22"/>
        </w:rPr>
        <w:t xml:space="preserve">- </w:t>
      </w:r>
      <w:r w:rsidR="001F180C" w:rsidRPr="00C93430">
        <w:rPr>
          <w:color w:val="auto"/>
          <w:sz w:val="22"/>
          <w:szCs w:val="22"/>
        </w:rPr>
        <w:t xml:space="preserve">Communicate the results of their research clearly and in an appropriate </w:t>
      </w:r>
      <w:r w:rsidR="00B955D3">
        <w:rPr>
          <w:color w:val="auto"/>
          <w:sz w:val="22"/>
          <w:szCs w:val="22"/>
        </w:rPr>
        <w:t>manner</w:t>
      </w:r>
      <w:r w:rsidR="001F180C" w:rsidRPr="00C93430">
        <w:rPr>
          <w:color w:val="auto"/>
          <w:sz w:val="22"/>
          <w:szCs w:val="22"/>
        </w:rPr>
        <w:t xml:space="preserve"> for the</w:t>
      </w:r>
      <w:r w:rsidR="00A51C8A" w:rsidRPr="00C93430">
        <w:rPr>
          <w:color w:val="auto"/>
          <w:sz w:val="22"/>
          <w:szCs w:val="22"/>
        </w:rPr>
        <w:t xml:space="preserve"> context and</w:t>
      </w:r>
      <w:r w:rsidR="001F180C" w:rsidRPr="00C93430">
        <w:rPr>
          <w:color w:val="auto"/>
          <w:sz w:val="22"/>
          <w:szCs w:val="22"/>
        </w:rPr>
        <w:t xml:space="preserve"> audience. </w:t>
      </w:r>
    </w:p>
    <w:p w14:paraId="0054DCE6" w14:textId="77777777" w:rsidR="00B927AE" w:rsidRPr="00C93430" w:rsidRDefault="005F00DB" w:rsidP="00973AE1">
      <w:pPr>
        <w:pStyle w:val="Default"/>
        <w:numPr>
          <w:ilvl w:val="1"/>
          <w:numId w:val="16"/>
        </w:numPr>
        <w:spacing w:after="120"/>
        <w:ind w:right="261"/>
        <w:rPr>
          <w:color w:val="auto"/>
          <w:sz w:val="22"/>
          <w:szCs w:val="22"/>
        </w:rPr>
      </w:pPr>
      <w:r>
        <w:rPr>
          <w:color w:val="auto"/>
          <w:sz w:val="22"/>
          <w:szCs w:val="22"/>
        </w:rPr>
        <w:t xml:space="preserve">- </w:t>
      </w:r>
      <w:r w:rsidR="001F180C" w:rsidRPr="00C93430">
        <w:rPr>
          <w:color w:val="auto"/>
          <w:sz w:val="22"/>
          <w:szCs w:val="22"/>
        </w:rPr>
        <w:t xml:space="preserve">Take responsibility for </w:t>
      </w:r>
      <w:r w:rsidR="00E0438E">
        <w:rPr>
          <w:color w:val="auto"/>
          <w:sz w:val="22"/>
          <w:szCs w:val="22"/>
        </w:rPr>
        <w:t xml:space="preserve">planning </w:t>
      </w:r>
      <w:r w:rsidR="001F180C" w:rsidRPr="00C93430">
        <w:rPr>
          <w:color w:val="auto"/>
          <w:sz w:val="22"/>
          <w:szCs w:val="22"/>
        </w:rPr>
        <w:t xml:space="preserve">a research project, including identifying an appropriate question, planning the project to take account for appropriate source materials, and undertaking independent research and learning to bring the project to completion. </w:t>
      </w:r>
    </w:p>
    <w:p w14:paraId="52AB0E30" w14:textId="77777777" w:rsidR="009A2D37" w:rsidRPr="00302082" w:rsidRDefault="009A2D37" w:rsidP="00973AE1">
      <w:pPr>
        <w:numPr>
          <w:ilvl w:val="0"/>
          <w:numId w:val="16"/>
        </w:numPr>
        <w:spacing w:after="120" w:line="240" w:lineRule="auto"/>
        <w:ind w:right="260"/>
        <w:rPr>
          <w:rFonts w:ascii="Arial" w:hAnsi="Arial" w:cs="Arial"/>
          <w:b/>
        </w:rPr>
      </w:pPr>
      <w:r w:rsidRPr="00302082">
        <w:rPr>
          <w:rFonts w:ascii="Arial" w:hAnsi="Arial" w:cs="Arial"/>
          <w:b/>
        </w:rPr>
        <w:lastRenderedPageBreak/>
        <w:t>A synopsis of the curriculum</w:t>
      </w:r>
    </w:p>
    <w:p w14:paraId="074C2ED8" w14:textId="77777777" w:rsidR="00695D50" w:rsidRDefault="00AC318E" w:rsidP="00302082">
      <w:pPr>
        <w:spacing w:after="120" w:line="240" w:lineRule="auto"/>
        <w:ind w:left="426" w:right="260"/>
        <w:rPr>
          <w:rFonts w:ascii="Arial" w:hAnsi="Arial" w:cs="Arial"/>
          <w:iCs/>
        </w:rPr>
      </w:pPr>
      <w:r>
        <w:rPr>
          <w:rFonts w:ascii="Arial" w:hAnsi="Arial" w:cs="Arial"/>
          <w:iCs/>
        </w:rPr>
        <w:t>This module is designed to introduce students to the range of evidence and approaches to that evidence available to investigate the pre-modern past. This objective will be achieved in the context of providing them with the opportunity to undertake in-depth investigation of the city in which they are studying: Paris. Paris was one of the great cities of the pre-modern w</w:t>
      </w:r>
      <w:r w:rsidR="00695D50">
        <w:rPr>
          <w:rFonts w:ascii="Arial" w:hAnsi="Arial" w:cs="Arial"/>
          <w:iCs/>
        </w:rPr>
        <w:t>orld and l</w:t>
      </w:r>
      <w:r w:rsidR="00695D50" w:rsidRPr="00695D50">
        <w:rPr>
          <w:rFonts w:ascii="Arial" w:hAnsi="Arial" w:cs="Arial"/>
          <w:iCs/>
        </w:rPr>
        <w:t xml:space="preserve">ong before the French Revolution, Paris was a crucible of cultural change throughout the Medieval and Early Modern period. Here, surrounding the banks of the Seine, the city witnessed the rise of the University, the creation of Parliament, the invention of Gothic art and architecture, and the formation of the Huguenots, leading to the spread of scholasticism, democracy, artistic development, and religious reformation across Europe and beyond. </w:t>
      </w:r>
    </w:p>
    <w:p w14:paraId="10ADC972" w14:textId="77777777" w:rsidR="00112DCD" w:rsidRDefault="00E0438E" w:rsidP="00302082">
      <w:pPr>
        <w:spacing w:after="120" w:line="240" w:lineRule="auto"/>
        <w:ind w:left="426" w:right="260"/>
        <w:rPr>
          <w:rFonts w:ascii="Arial" w:hAnsi="Arial" w:cs="Arial"/>
          <w:iCs/>
        </w:rPr>
      </w:pPr>
      <w:r>
        <w:rPr>
          <w:rFonts w:ascii="Arial" w:hAnsi="Arial" w:cs="Arial"/>
          <w:iCs/>
        </w:rPr>
        <w:t>A</w:t>
      </w:r>
      <w:r w:rsidR="006C714B">
        <w:rPr>
          <w:rFonts w:ascii="Arial" w:hAnsi="Arial" w:cs="Arial"/>
          <w:iCs/>
        </w:rPr>
        <w:t xml:space="preserve"> study of its history offers unparalle</w:t>
      </w:r>
      <w:r w:rsidR="00BE7183">
        <w:rPr>
          <w:rFonts w:ascii="Arial" w:hAnsi="Arial" w:cs="Arial"/>
          <w:iCs/>
        </w:rPr>
        <w:t>le</w:t>
      </w:r>
      <w:r w:rsidR="006C714B">
        <w:rPr>
          <w:rFonts w:ascii="Arial" w:hAnsi="Arial" w:cs="Arial"/>
          <w:iCs/>
        </w:rPr>
        <w:t>d opportunities for students to examine themes of European relevance, such as the beginning of urbanisation, the growth of Universities, or the outbreak of religious violence during the Protestant reformation, grounded in a particular historical</w:t>
      </w:r>
      <w:r w:rsidR="00695D50">
        <w:rPr>
          <w:rFonts w:ascii="Arial" w:hAnsi="Arial" w:cs="Arial"/>
          <w:iCs/>
        </w:rPr>
        <w:t>, literary or artistic</w:t>
      </w:r>
      <w:r w:rsidR="006C714B">
        <w:rPr>
          <w:rFonts w:ascii="Arial" w:hAnsi="Arial" w:cs="Arial"/>
          <w:iCs/>
        </w:rPr>
        <w:t xml:space="preserve"> context. Likewise, the study of Paris in Paris </w:t>
      </w:r>
      <w:r w:rsidR="008E522B">
        <w:rPr>
          <w:rFonts w:ascii="Arial" w:hAnsi="Arial" w:cs="Arial"/>
          <w:iCs/>
        </w:rPr>
        <w:t>will allow staff</w:t>
      </w:r>
      <w:r w:rsidR="006C714B">
        <w:rPr>
          <w:rFonts w:ascii="Arial" w:hAnsi="Arial" w:cs="Arial"/>
          <w:iCs/>
        </w:rPr>
        <w:t xml:space="preserve"> delivering the module to introduce students to a range of types of evidence</w:t>
      </w:r>
      <w:r w:rsidR="00C33D78">
        <w:rPr>
          <w:rFonts w:ascii="Arial" w:hAnsi="Arial" w:cs="Arial"/>
          <w:iCs/>
        </w:rPr>
        <w:t xml:space="preserve"> and of scholarly approaches to that evidence</w:t>
      </w:r>
      <w:r w:rsidR="006C714B">
        <w:rPr>
          <w:rFonts w:ascii="Arial" w:hAnsi="Arial" w:cs="Arial"/>
          <w:iCs/>
        </w:rPr>
        <w:t>, thus giving them the skills they need to proceed to the MA dissertation. This aspect of the course will include appropriate field trips, locations might include the royal palaces of Saint</w:t>
      </w:r>
      <w:r w:rsidR="00BE7183">
        <w:rPr>
          <w:rFonts w:ascii="Arial" w:hAnsi="Arial" w:cs="Arial"/>
          <w:iCs/>
        </w:rPr>
        <w:t>e</w:t>
      </w:r>
      <w:r w:rsidR="006C714B">
        <w:rPr>
          <w:rFonts w:ascii="Arial" w:hAnsi="Arial" w:cs="Arial"/>
          <w:iCs/>
        </w:rPr>
        <w:t>-Chapell</w:t>
      </w:r>
      <w:r w:rsidR="00BE7183">
        <w:rPr>
          <w:rFonts w:ascii="Arial" w:hAnsi="Arial" w:cs="Arial"/>
          <w:iCs/>
        </w:rPr>
        <w:t>e</w:t>
      </w:r>
      <w:r w:rsidR="006C714B">
        <w:rPr>
          <w:rFonts w:ascii="Arial" w:hAnsi="Arial" w:cs="Arial"/>
          <w:iCs/>
        </w:rPr>
        <w:t xml:space="preserve"> and Versailles, leading museums such as the Musée </w:t>
      </w:r>
      <w:r w:rsidR="00BE7183">
        <w:rPr>
          <w:rFonts w:ascii="Arial" w:hAnsi="Arial" w:cs="Arial"/>
          <w:iCs/>
        </w:rPr>
        <w:t xml:space="preserve">national </w:t>
      </w:r>
      <w:r w:rsidR="006C714B">
        <w:rPr>
          <w:rFonts w:ascii="Arial" w:hAnsi="Arial" w:cs="Arial"/>
          <w:iCs/>
        </w:rPr>
        <w:t xml:space="preserve">du Moyen </w:t>
      </w:r>
      <w:r w:rsidR="00BE7183" w:rsidRPr="00BE7183">
        <w:rPr>
          <w:rFonts w:ascii="Arial" w:hAnsi="Arial" w:cs="Arial"/>
          <w:bCs/>
          <w:color w:val="262626"/>
          <w:sz w:val="21"/>
          <w:szCs w:val="21"/>
          <w:lang w:val="en"/>
        </w:rPr>
        <w:t>Â</w:t>
      </w:r>
      <w:r w:rsidR="00BE7183">
        <w:rPr>
          <w:rFonts w:ascii="Arial" w:hAnsi="Arial" w:cs="Arial"/>
          <w:color w:val="262626"/>
          <w:sz w:val="21"/>
          <w:szCs w:val="21"/>
          <w:lang w:val="en"/>
        </w:rPr>
        <w:t>ge</w:t>
      </w:r>
      <w:r w:rsidR="006C714B">
        <w:rPr>
          <w:rFonts w:ascii="Arial" w:hAnsi="Arial" w:cs="Arial"/>
          <w:iCs/>
        </w:rPr>
        <w:t>, or to world-class libraries, such as the Bibliothèque Nationale de France.</w:t>
      </w:r>
      <w:r w:rsidR="00C33D78">
        <w:rPr>
          <w:rFonts w:ascii="Arial" w:hAnsi="Arial" w:cs="Arial"/>
          <w:iCs/>
        </w:rPr>
        <w:t xml:space="preserve"> The opportunity to</w:t>
      </w:r>
      <w:r w:rsidR="00572DF1">
        <w:rPr>
          <w:rFonts w:ascii="Arial" w:hAnsi="Arial" w:cs="Arial"/>
          <w:iCs/>
        </w:rPr>
        <w:t xml:space="preserve"> study the history of Paris in situ</w:t>
      </w:r>
      <w:r w:rsidR="00C33D78">
        <w:rPr>
          <w:rFonts w:ascii="Arial" w:hAnsi="Arial" w:cs="Arial"/>
          <w:iCs/>
        </w:rPr>
        <w:t xml:space="preserve"> using real artefacts will present a uniquely stimulating opportunity </w:t>
      </w:r>
      <w:r w:rsidR="00572DF1">
        <w:rPr>
          <w:rFonts w:ascii="Arial" w:hAnsi="Arial" w:cs="Arial"/>
          <w:iCs/>
        </w:rPr>
        <w:t xml:space="preserve">for students </w:t>
      </w:r>
      <w:r w:rsidR="00C33D78">
        <w:rPr>
          <w:rFonts w:ascii="Arial" w:hAnsi="Arial" w:cs="Arial"/>
          <w:iCs/>
        </w:rPr>
        <w:t>to develop their understanding of the period and of the use of evidence in research.</w:t>
      </w:r>
    </w:p>
    <w:p w14:paraId="7615DDFF" w14:textId="77777777" w:rsidR="00876C40" w:rsidRDefault="00112DCD" w:rsidP="00302082">
      <w:pPr>
        <w:spacing w:after="120" w:line="240" w:lineRule="auto"/>
        <w:ind w:left="426" w:right="260"/>
        <w:rPr>
          <w:rFonts w:ascii="Arial" w:hAnsi="Arial" w:cs="Arial"/>
          <w:iCs/>
        </w:rPr>
      </w:pPr>
      <w:r w:rsidRPr="00112DCD">
        <w:rPr>
          <w:rFonts w:ascii="Arial" w:hAnsi="Arial" w:cs="Arial"/>
          <w:iCs/>
        </w:rPr>
        <w:t>By providing research-driven teaching, access to source material through site-specific analysis, and facilitating pedagogical encounters with the history of the city in which they are studying, this core module presents an exceptional pathway for MEMS gr</w:t>
      </w:r>
      <w:r w:rsidR="00BE7183">
        <w:rPr>
          <w:rFonts w:ascii="Arial" w:hAnsi="Arial" w:cs="Arial"/>
          <w:iCs/>
        </w:rPr>
        <w:t>aduates. The curriculum design</w:t>
      </w:r>
      <w:r w:rsidRPr="00112DCD">
        <w:rPr>
          <w:rFonts w:ascii="Arial" w:hAnsi="Arial" w:cs="Arial"/>
          <w:iCs/>
        </w:rPr>
        <w:t xml:space="preserve"> will enable MEMS students to enhance their historical</w:t>
      </w:r>
      <w:r>
        <w:rPr>
          <w:rFonts w:ascii="Arial" w:hAnsi="Arial" w:cs="Arial"/>
          <w:iCs/>
        </w:rPr>
        <w:t>, literary and artistic</w:t>
      </w:r>
      <w:r w:rsidRPr="00112DCD">
        <w:rPr>
          <w:rFonts w:ascii="Arial" w:hAnsi="Arial" w:cs="Arial"/>
          <w:iCs/>
        </w:rPr>
        <w:t xml:space="preserve"> knowledge, cultivate their interdisciplinary skills, and acquire the necessary methodological tools to prepare for their dissertation. Above all, the study of pre-modern Paris in modern-day Paris will present MEMS students with an unparalleled opportunity to engage with the past in a dynamic learning environment.</w:t>
      </w:r>
    </w:p>
    <w:p w14:paraId="3FF279B2" w14:textId="77777777" w:rsidR="00AC318E" w:rsidRDefault="00AC318E" w:rsidP="00302082">
      <w:pPr>
        <w:spacing w:after="120" w:line="240" w:lineRule="auto"/>
        <w:ind w:left="426" w:right="260"/>
        <w:rPr>
          <w:rFonts w:ascii="Arial" w:hAnsi="Arial" w:cs="Arial"/>
          <w:iCs/>
        </w:rPr>
      </w:pPr>
    </w:p>
    <w:p w14:paraId="54337775" w14:textId="77777777" w:rsidR="009A2D37" w:rsidRDefault="00E058AA" w:rsidP="00636BFB">
      <w:pPr>
        <w:numPr>
          <w:ilvl w:val="0"/>
          <w:numId w:val="16"/>
        </w:numPr>
        <w:spacing w:after="120" w:line="240" w:lineRule="auto"/>
        <w:ind w:left="426" w:right="260" w:hanging="426"/>
        <w:rPr>
          <w:rFonts w:ascii="Arial" w:hAnsi="Arial" w:cs="Arial"/>
          <w:b/>
        </w:rPr>
      </w:pPr>
      <w:r>
        <w:rPr>
          <w:rFonts w:ascii="Arial" w:hAnsi="Arial" w:cs="Arial"/>
          <w:b/>
        </w:rPr>
        <w:t>Reading l</w:t>
      </w:r>
      <w:r w:rsidR="009A2D37" w:rsidRPr="00302082">
        <w:rPr>
          <w:rFonts w:ascii="Arial" w:hAnsi="Arial" w:cs="Arial"/>
          <w:b/>
        </w:rPr>
        <w:t xml:space="preserve">ist </w:t>
      </w:r>
      <w:r>
        <w:rPr>
          <w:rFonts w:ascii="Arial" w:hAnsi="Arial" w:cs="Arial"/>
          <w:b/>
        </w:rPr>
        <w:t>(i</w:t>
      </w:r>
      <w:r w:rsidR="00274ED7" w:rsidRPr="00302082">
        <w:rPr>
          <w:rFonts w:ascii="Arial" w:hAnsi="Arial" w:cs="Arial"/>
          <w:b/>
        </w:rPr>
        <w:t>ndicative list, current at time of publication. Reading lists will be published annually)</w:t>
      </w:r>
    </w:p>
    <w:p w14:paraId="557A9C85" w14:textId="77777777" w:rsidR="00F429B6" w:rsidRPr="00BE7183" w:rsidRDefault="00F429B6" w:rsidP="00F429B6">
      <w:pPr>
        <w:numPr>
          <w:ilvl w:val="0"/>
          <w:numId w:val="13"/>
        </w:numPr>
        <w:spacing w:after="0" w:line="240" w:lineRule="auto"/>
        <w:contextualSpacing/>
        <w:rPr>
          <w:rFonts w:ascii="Arial" w:hAnsi="Arial" w:cs="Arial"/>
        </w:rPr>
      </w:pPr>
      <w:r w:rsidRPr="00BE7183">
        <w:rPr>
          <w:rFonts w:ascii="Arial" w:hAnsi="Arial" w:cs="Arial"/>
        </w:rPr>
        <w:t xml:space="preserve">Baldwin, J., </w:t>
      </w:r>
      <w:r w:rsidRPr="00BE7183">
        <w:rPr>
          <w:rFonts w:ascii="Arial" w:hAnsi="Arial" w:cs="Arial"/>
          <w:i/>
        </w:rPr>
        <w:t xml:space="preserve">Paris 1200 </w:t>
      </w:r>
      <w:r w:rsidRPr="00BE7183">
        <w:rPr>
          <w:rFonts w:ascii="Arial" w:hAnsi="Arial" w:cs="Arial"/>
        </w:rPr>
        <w:t>(2000)</w:t>
      </w:r>
    </w:p>
    <w:p w14:paraId="5BD36C10" w14:textId="77777777" w:rsidR="00F429B6" w:rsidRPr="00BE7183" w:rsidRDefault="00F429B6" w:rsidP="00F429B6">
      <w:pPr>
        <w:numPr>
          <w:ilvl w:val="0"/>
          <w:numId w:val="13"/>
        </w:numPr>
        <w:spacing w:after="0" w:line="240" w:lineRule="auto"/>
        <w:contextualSpacing/>
        <w:rPr>
          <w:rFonts w:ascii="Arial" w:hAnsi="Arial" w:cs="Arial"/>
          <w:szCs w:val="24"/>
        </w:rPr>
      </w:pPr>
      <w:r w:rsidRPr="00BE7183">
        <w:rPr>
          <w:rFonts w:ascii="Arial" w:hAnsi="Arial" w:cs="Arial"/>
          <w:szCs w:val="24"/>
        </w:rPr>
        <w:t xml:space="preserve">Diefendorf, B., </w:t>
      </w:r>
      <w:r w:rsidRPr="00BE7183">
        <w:rPr>
          <w:rFonts w:ascii="Arial" w:hAnsi="Arial" w:cs="Arial"/>
          <w:i/>
          <w:szCs w:val="24"/>
        </w:rPr>
        <w:t>Beneath the Cross: Catholics and Huguenots in Sixteenth Century Paris</w:t>
      </w:r>
      <w:r w:rsidRPr="00BE7183">
        <w:rPr>
          <w:rFonts w:ascii="Arial" w:hAnsi="Arial" w:cs="Arial"/>
          <w:szCs w:val="24"/>
        </w:rPr>
        <w:t xml:space="preserve"> (1991)</w:t>
      </w:r>
    </w:p>
    <w:p w14:paraId="58E5822B" w14:textId="77777777" w:rsidR="00F429B6" w:rsidRPr="00BE7183" w:rsidRDefault="00F429B6" w:rsidP="00F429B6">
      <w:pPr>
        <w:numPr>
          <w:ilvl w:val="0"/>
          <w:numId w:val="13"/>
        </w:numPr>
        <w:spacing w:after="0" w:line="240" w:lineRule="auto"/>
        <w:contextualSpacing/>
        <w:rPr>
          <w:rFonts w:ascii="Arial" w:eastAsia="Calibri" w:hAnsi="Arial" w:cs="Arial"/>
          <w:szCs w:val="24"/>
        </w:rPr>
      </w:pPr>
      <w:r w:rsidRPr="00BE7183">
        <w:rPr>
          <w:rFonts w:ascii="Arial" w:eastAsia="Calibri" w:hAnsi="Arial" w:cs="Arial"/>
          <w:szCs w:val="24"/>
        </w:rPr>
        <w:t xml:space="preserve">Geremek, B., </w:t>
      </w:r>
      <w:r w:rsidRPr="00BE7183">
        <w:rPr>
          <w:rFonts w:ascii="Arial" w:eastAsia="Calibri" w:hAnsi="Arial" w:cs="Arial"/>
          <w:i/>
          <w:szCs w:val="24"/>
        </w:rPr>
        <w:t>The Margins of Society in Late Medieval Paris</w:t>
      </w:r>
      <w:r w:rsidRPr="00BE7183">
        <w:rPr>
          <w:rFonts w:ascii="Arial" w:eastAsia="Calibri" w:hAnsi="Arial" w:cs="Arial"/>
          <w:szCs w:val="24"/>
        </w:rPr>
        <w:t xml:space="preserve"> (1987)</w:t>
      </w:r>
    </w:p>
    <w:p w14:paraId="77BF9C16" w14:textId="77777777" w:rsidR="00F429B6" w:rsidRPr="00BE7183" w:rsidRDefault="00F429B6" w:rsidP="00F429B6">
      <w:pPr>
        <w:numPr>
          <w:ilvl w:val="0"/>
          <w:numId w:val="13"/>
        </w:numPr>
        <w:spacing w:after="0" w:line="240" w:lineRule="auto"/>
        <w:contextualSpacing/>
        <w:rPr>
          <w:rFonts w:ascii="Arial" w:hAnsi="Arial" w:cs="Arial"/>
          <w:szCs w:val="24"/>
          <w:lang w:val="fr-FR"/>
        </w:rPr>
      </w:pPr>
      <w:r w:rsidRPr="00BE7183">
        <w:rPr>
          <w:rFonts w:ascii="Arial" w:hAnsi="Arial" w:cs="Arial"/>
          <w:szCs w:val="24"/>
          <w:lang w:val="fr-FR"/>
        </w:rPr>
        <w:t xml:space="preserve">Mullally, E., ed. and trans., </w:t>
      </w:r>
      <w:r w:rsidRPr="00BE7183">
        <w:rPr>
          <w:rFonts w:ascii="Arial" w:hAnsi="Arial" w:cs="Arial"/>
          <w:i/>
          <w:szCs w:val="24"/>
          <w:lang w:val="fr-FR"/>
        </w:rPr>
        <w:t xml:space="preserve">Description de la ville de Paris, 1434 </w:t>
      </w:r>
      <w:r w:rsidRPr="00BE7183">
        <w:rPr>
          <w:rFonts w:ascii="Arial" w:hAnsi="Arial" w:cs="Arial"/>
          <w:szCs w:val="24"/>
          <w:lang w:val="fr-FR"/>
        </w:rPr>
        <w:t>(2015)</w:t>
      </w:r>
    </w:p>
    <w:p w14:paraId="0CD3EA7C" w14:textId="77777777" w:rsidR="00F429B6" w:rsidRPr="00BE7183" w:rsidRDefault="00F429B6" w:rsidP="00F429B6">
      <w:pPr>
        <w:numPr>
          <w:ilvl w:val="0"/>
          <w:numId w:val="13"/>
        </w:numPr>
        <w:spacing w:after="0" w:line="240" w:lineRule="auto"/>
        <w:contextualSpacing/>
        <w:rPr>
          <w:rFonts w:ascii="Arial" w:hAnsi="Arial" w:cs="Arial"/>
          <w:szCs w:val="24"/>
        </w:rPr>
      </w:pPr>
      <w:r w:rsidRPr="00BE7183">
        <w:rPr>
          <w:rFonts w:ascii="Arial" w:hAnsi="Arial" w:cs="Arial"/>
          <w:szCs w:val="24"/>
        </w:rPr>
        <w:t xml:space="preserve">Roux, S., </w:t>
      </w:r>
      <w:r w:rsidRPr="00BE7183">
        <w:rPr>
          <w:rFonts w:ascii="Arial" w:hAnsi="Arial" w:cs="Arial"/>
          <w:i/>
          <w:szCs w:val="24"/>
        </w:rPr>
        <w:t xml:space="preserve">Paris in the Middle Ages </w:t>
      </w:r>
      <w:r w:rsidRPr="00BE7183">
        <w:rPr>
          <w:rFonts w:ascii="Arial" w:hAnsi="Arial" w:cs="Arial"/>
          <w:szCs w:val="24"/>
        </w:rPr>
        <w:t>(2009)</w:t>
      </w:r>
    </w:p>
    <w:p w14:paraId="38D75F81" w14:textId="77777777" w:rsidR="00F429B6" w:rsidRPr="00BE7183" w:rsidRDefault="00F429B6" w:rsidP="00F429B6">
      <w:pPr>
        <w:numPr>
          <w:ilvl w:val="0"/>
          <w:numId w:val="13"/>
        </w:numPr>
        <w:spacing w:after="0" w:line="240" w:lineRule="auto"/>
        <w:contextualSpacing/>
        <w:rPr>
          <w:rFonts w:ascii="Arial" w:hAnsi="Arial" w:cs="Arial"/>
          <w:szCs w:val="24"/>
        </w:rPr>
      </w:pPr>
      <w:r w:rsidRPr="00BE7183">
        <w:rPr>
          <w:rFonts w:ascii="Arial" w:hAnsi="Arial" w:cs="Arial"/>
          <w:szCs w:val="24"/>
        </w:rPr>
        <w:t xml:space="preserve">Wei, I., </w:t>
      </w:r>
      <w:r w:rsidRPr="00BE7183">
        <w:rPr>
          <w:rFonts w:ascii="Arial" w:hAnsi="Arial" w:cs="Arial"/>
          <w:i/>
          <w:szCs w:val="24"/>
        </w:rPr>
        <w:t xml:space="preserve">Intellectual Culture in Medieval Paris: Theologians and the University, c.1100–1330 </w:t>
      </w:r>
      <w:r w:rsidRPr="00BE7183">
        <w:rPr>
          <w:rFonts w:ascii="Arial" w:hAnsi="Arial" w:cs="Arial"/>
          <w:szCs w:val="24"/>
        </w:rPr>
        <w:t>(2012)</w:t>
      </w:r>
    </w:p>
    <w:p w14:paraId="3977A424" w14:textId="77777777" w:rsidR="00F429B6" w:rsidRDefault="00F429B6" w:rsidP="00C05E6E">
      <w:pPr>
        <w:spacing w:after="120" w:line="240" w:lineRule="auto"/>
        <w:ind w:right="260"/>
        <w:rPr>
          <w:rFonts w:ascii="Arial" w:hAnsi="Arial" w:cs="Arial"/>
        </w:rPr>
      </w:pPr>
    </w:p>
    <w:p w14:paraId="3DE0CF79" w14:textId="77777777" w:rsidR="00F429B6" w:rsidRPr="00C05E6E" w:rsidRDefault="00F429B6" w:rsidP="00C05E6E">
      <w:pPr>
        <w:spacing w:after="120" w:line="240" w:lineRule="auto"/>
        <w:ind w:right="260"/>
        <w:rPr>
          <w:rFonts w:ascii="Arial" w:hAnsi="Arial" w:cs="Arial"/>
        </w:rPr>
      </w:pPr>
    </w:p>
    <w:p w14:paraId="748418FD" w14:textId="77777777" w:rsidR="002A5328" w:rsidRPr="00E058AA" w:rsidRDefault="009A2D37" w:rsidP="00636BFB">
      <w:pPr>
        <w:pStyle w:val="MediumGrid1-Accent2"/>
        <w:numPr>
          <w:ilvl w:val="0"/>
          <w:numId w:val="16"/>
        </w:numPr>
        <w:spacing w:after="120" w:line="240" w:lineRule="auto"/>
        <w:ind w:left="426" w:right="261" w:hanging="426"/>
        <w:rPr>
          <w:rFonts w:ascii="Arial" w:hAnsi="Arial" w:cs="Arial"/>
          <w:i/>
          <w:iCs/>
        </w:rPr>
      </w:pPr>
      <w:r w:rsidRPr="00E058AA">
        <w:rPr>
          <w:rFonts w:ascii="Arial" w:hAnsi="Arial" w:cs="Arial"/>
          <w:b/>
        </w:rPr>
        <w:t>Learning</w:t>
      </w:r>
      <w:r w:rsidR="00E058AA">
        <w:rPr>
          <w:rFonts w:ascii="Arial" w:hAnsi="Arial" w:cs="Arial"/>
          <w:b/>
        </w:rPr>
        <w:t xml:space="preserve"> and t</w:t>
      </w:r>
      <w:r w:rsidR="006F3F8B" w:rsidRPr="00E058AA">
        <w:rPr>
          <w:rFonts w:ascii="Arial" w:hAnsi="Arial" w:cs="Arial"/>
          <w:b/>
        </w:rPr>
        <w:t>eaching m</w:t>
      </w:r>
      <w:r w:rsidRPr="00E058AA">
        <w:rPr>
          <w:rFonts w:ascii="Arial" w:hAnsi="Arial" w:cs="Arial"/>
          <w:b/>
        </w:rPr>
        <w:t>ethods</w:t>
      </w:r>
    </w:p>
    <w:p w14:paraId="0ABF9F6B" w14:textId="77777777" w:rsidR="008329C9" w:rsidRPr="00636BFB" w:rsidRDefault="00EE1810" w:rsidP="008329C9">
      <w:pPr>
        <w:spacing w:after="120" w:line="240" w:lineRule="auto"/>
        <w:ind w:left="426" w:right="261"/>
        <w:rPr>
          <w:rFonts w:ascii="Arial" w:hAnsi="Arial" w:cs="Arial"/>
        </w:rPr>
      </w:pPr>
      <w:r w:rsidRPr="00636BFB">
        <w:rPr>
          <w:rFonts w:ascii="Arial" w:hAnsi="Arial" w:cs="Arial"/>
        </w:rPr>
        <w:t>Contact hours: 20</w:t>
      </w:r>
    </w:p>
    <w:p w14:paraId="745388EF" w14:textId="77777777" w:rsidR="00EE1810" w:rsidRPr="00636BFB" w:rsidRDefault="00EE1810" w:rsidP="008329C9">
      <w:pPr>
        <w:spacing w:after="120" w:line="240" w:lineRule="auto"/>
        <w:ind w:left="426" w:right="261"/>
        <w:rPr>
          <w:rFonts w:ascii="Arial" w:hAnsi="Arial" w:cs="Arial"/>
        </w:rPr>
      </w:pPr>
      <w:r w:rsidRPr="00636BFB">
        <w:rPr>
          <w:rFonts w:ascii="Arial" w:hAnsi="Arial" w:cs="Arial"/>
        </w:rPr>
        <w:t>Private Study hours: 280</w:t>
      </w:r>
    </w:p>
    <w:p w14:paraId="43B93A73" w14:textId="77777777" w:rsidR="00EE1810" w:rsidRPr="00636BFB" w:rsidRDefault="00EE1810" w:rsidP="008329C9">
      <w:pPr>
        <w:spacing w:after="120" w:line="240" w:lineRule="auto"/>
        <w:ind w:left="426" w:right="261"/>
        <w:rPr>
          <w:rFonts w:ascii="Arial" w:hAnsi="Arial" w:cs="Arial"/>
        </w:rPr>
      </w:pPr>
      <w:r w:rsidRPr="00636BFB">
        <w:rPr>
          <w:rFonts w:ascii="Arial" w:hAnsi="Arial" w:cs="Arial"/>
        </w:rPr>
        <w:t>Total hours: 300</w:t>
      </w:r>
    </w:p>
    <w:p w14:paraId="340430E9" w14:textId="77777777" w:rsidR="002A5328" w:rsidRPr="002A5328" w:rsidRDefault="007F65A8" w:rsidP="00636BFB">
      <w:pPr>
        <w:numPr>
          <w:ilvl w:val="0"/>
          <w:numId w:val="16"/>
        </w:numPr>
        <w:spacing w:after="120" w:line="240" w:lineRule="auto"/>
        <w:ind w:right="261"/>
        <w:rPr>
          <w:rFonts w:ascii="Arial" w:hAnsi="Arial" w:cs="Arial"/>
          <w:iCs/>
        </w:rPr>
      </w:pPr>
      <w:r>
        <w:rPr>
          <w:rFonts w:ascii="Arial" w:hAnsi="Arial" w:cs="Arial"/>
          <w:b/>
        </w:rPr>
        <w:br w:type="page"/>
      </w:r>
      <w:r w:rsidR="00EF4933" w:rsidRPr="00302082">
        <w:rPr>
          <w:rFonts w:ascii="Arial" w:hAnsi="Arial" w:cs="Arial"/>
          <w:b/>
        </w:rPr>
        <w:lastRenderedPageBreak/>
        <w:t>Assessment methods</w:t>
      </w:r>
    </w:p>
    <w:p w14:paraId="1FD51A09" w14:textId="77777777" w:rsidR="00EE1810" w:rsidRDefault="00EE1810" w:rsidP="00636BFB">
      <w:pPr>
        <w:numPr>
          <w:ilvl w:val="1"/>
          <w:numId w:val="16"/>
        </w:numPr>
        <w:spacing w:after="120" w:line="240" w:lineRule="auto"/>
        <w:ind w:right="260"/>
        <w:rPr>
          <w:rFonts w:ascii="Arial" w:hAnsi="Arial" w:cs="Arial"/>
          <w:iCs/>
        </w:rPr>
      </w:pPr>
      <w:r>
        <w:rPr>
          <w:rFonts w:ascii="Arial" w:hAnsi="Arial" w:cs="Arial"/>
          <w:iCs/>
        </w:rPr>
        <w:t>Main assessment methods</w:t>
      </w:r>
    </w:p>
    <w:p w14:paraId="4D54985F" w14:textId="77777777" w:rsidR="00EE1810" w:rsidRDefault="00EE1810" w:rsidP="00636BFB">
      <w:pPr>
        <w:spacing w:after="120" w:line="240" w:lineRule="auto"/>
        <w:ind w:left="921" w:right="260"/>
        <w:rPr>
          <w:rFonts w:ascii="Arial" w:hAnsi="Arial" w:cs="Arial"/>
          <w:iCs/>
        </w:rPr>
      </w:pPr>
      <w:r>
        <w:rPr>
          <w:rFonts w:ascii="Arial" w:hAnsi="Arial" w:cs="Arial"/>
          <w:iCs/>
        </w:rPr>
        <w:t>Essay, 1,500 words (</w:t>
      </w:r>
      <w:r w:rsidR="00636BFB">
        <w:rPr>
          <w:rFonts w:ascii="Arial" w:hAnsi="Arial" w:cs="Arial"/>
          <w:iCs/>
        </w:rPr>
        <w:t>30</w:t>
      </w:r>
      <w:r>
        <w:rPr>
          <w:rFonts w:ascii="Arial" w:hAnsi="Arial" w:cs="Arial"/>
          <w:iCs/>
        </w:rPr>
        <w:t>%)</w:t>
      </w:r>
    </w:p>
    <w:p w14:paraId="41664AD4" w14:textId="77777777" w:rsidR="00EE1810" w:rsidRDefault="00EE1810" w:rsidP="00636BFB">
      <w:pPr>
        <w:spacing w:after="120" w:line="240" w:lineRule="auto"/>
        <w:ind w:left="921" w:right="260"/>
        <w:rPr>
          <w:rFonts w:ascii="Arial" w:hAnsi="Arial" w:cs="Arial"/>
          <w:iCs/>
        </w:rPr>
      </w:pPr>
      <w:r>
        <w:rPr>
          <w:rFonts w:ascii="Arial" w:hAnsi="Arial" w:cs="Arial"/>
          <w:iCs/>
        </w:rPr>
        <w:t>Essay, 3,500 words (</w:t>
      </w:r>
      <w:r w:rsidR="00636BFB">
        <w:rPr>
          <w:rFonts w:ascii="Arial" w:hAnsi="Arial" w:cs="Arial"/>
          <w:iCs/>
        </w:rPr>
        <w:t>70</w:t>
      </w:r>
      <w:r>
        <w:rPr>
          <w:rFonts w:ascii="Arial" w:hAnsi="Arial" w:cs="Arial"/>
          <w:iCs/>
        </w:rPr>
        <w:t>%)</w:t>
      </w:r>
    </w:p>
    <w:p w14:paraId="0C518A73" w14:textId="77777777" w:rsidR="008329C9" w:rsidRDefault="008329C9" w:rsidP="008329C9">
      <w:pPr>
        <w:spacing w:after="120" w:line="240" w:lineRule="auto"/>
        <w:ind w:left="426" w:right="260"/>
        <w:rPr>
          <w:rFonts w:ascii="Arial" w:hAnsi="Arial" w:cs="Arial"/>
          <w:iCs/>
        </w:rPr>
      </w:pPr>
    </w:p>
    <w:p w14:paraId="2F3912AE" w14:textId="77777777" w:rsidR="008329C9" w:rsidRDefault="00EE1810" w:rsidP="00EE1810">
      <w:pPr>
        <w:spacing w:after="120" w:line="240" w:lineRule="auto"/>
        <w:ind w:left="426" w:right="260"/>
        <w:rPr>
          <w:rFonts w:ascii="Arial" w:hAnsi="Arial" w:cs="Arial"/>
          <w:iCs/>
        </w:rPr>
      </w:pPr>
      <w:r w:rsidRPr="00EE1810">
        <w:rPr>
          <w:rFonts w:ascii="Arial" w:hAnsi="Arial" w:cs="Arial"/>
          <w:iCs/>
        </w:rPr>
        <w:t>13.</w:t>
      </w:r>
      <w:r>
        <w:rPr>
          <w:rFonts w:ascii="Arial" w:hAnsi="Arial" w:cs="Arial"/>
          <w:iCs/>
        </w:rPr>
        <w:t>2 Re-assessment methods</w:t>
      </w:r>
    </w:p>
    <w:p w14:paraId="3B8E59D4" w14:textId="77777777" w:rsidR="008329C9" w:rsidRDefault="005F00DB" w:rsidP="008329C9">
      <w:pPr>
        <w:spacing w:after="120" w:line="240" w:lineRule="auto"/>
        <w:ind w:left="426" w:right="260"/>
        <w:rPr>
          <w:rFonts w:ascii="Arial" w:hAnsi="Arial" w:cs="Arial"/>
          <w:iCs/>
        </w:rPr>
      </w:pPr>
      <w:r>
        <w:rPr>
          <w:rFonts w:ascii="Arial" w:hAnsi="Arial" w:cs="Arial"/>
          <w:iCs/>
        </w:rPr>
        <w:tab/>
        <w:t>100% Coursework</w:t>
      </w:r>
      <w:r w:rsidR="007F65A8">
        <w:rPr>
          <w:rFonts w:ascii="Arial" w:hAnsi="Arial" w:cs="Arial"/>
          <w:iCs/>
        </w:rPr>
        <w:t>: students will resubmit one</w:t>
      </w:r>
      <w:r w:rsidR="00636BFB">
        <w:rPr>
          <w:rFonts w:ascii="Arial" w:hAnsi="Arial" w:cs="Arial"/>
          <w:iCs/>
        </w:rPr>
        <w:t xml:space="preserve"> item of coursework in question. This is standard practice on all modules in this MA. </w:t>
      </w:r>
    </w:p>
    <w:p w14:paraId="5F18F1D4" w14:textId="77777777" w:rsidR="008329C9" w:rsidRDefault="008329C9" w:rsidP="008329C9">
      <w:pPr>
        <w:spacing w:after="120" w:line="240" w:lineRule="auto"/>
        <w:ind w:left="426" w:right="260"/>
        <w:rPr>
          <w:rFonts w:ascii="Arial" w:hAnsi="Arial" w:cs="Arial"/>
          <w:iCs/>
        </w:rPr>
      </w:pPr>
    </w:p>
    <w:p w14:paraId="5B024DB9" w14:textId="77777777" w:rsidR="00274ED7" w:rsidRPr="00E058AA" w:rsidRDefault="00E058AA" w:rsidP="00636BFB">
      <w:pPr>
        <w:numPr>
          <w:ilvl w:val="0"/>
          <w:numId w:val="16"/>
        </w:numPr>
        <w:spacing w:after="120" w:line="240" w:lineRule="auto"/>
        <w:ind w:right="260"/>
        <w:rPr>
          <w:rFonts w:ascii="Arial" w:hAnsi="Arial" w:cs="Arial"/>
          <w:b/>
          <w:iCs/>
        </w:rPr>
      </w:pPr>
      <w:r>
        <w:rPr>
          <w:rFonts w:ascii="Arial" w:hAnsi="Arial" w:cs="Arial"/>
          <w:b/>
          <w:iCs/>
        </w:rPr>
        <w:t>Map of module learning o</w:t>
      </w:r>
      <w:r w:rsidR="006F3F8B" w:rsidRPr="00E058AA">
        <w:rPr>
          <w:rFonts w:ascii="Arial" w:hAnsi="Arial" w:cs="Arial"/>
          <w:b/>
          <w:iCs/>
        </w:rPr>
        <w:t>utcomes</w:t>
      </w:r>
      <w:r w:rsidR="00B30E07" w:rsidRPr="00E058AA">
        <w:rPr>
          <w:rFonts w:ascii="Arial" w:hAnsi="Arial" w:cs="Arial"/>
          <w:b/>
          <w:iCs/>
        </w:rPr>
        <w:t xml:space="preserve"> (sections 8 &amp; 9)</w:t>
      </w:r>
      <w:r>
        <w:rPr>
          <w:rFonts w:ascii="Arial" w:hAnsi="Arial" w:cs="Arial"/>
          <w:b/>
          <w:iCs/>
        </w:rPr>
        <w:t xml:space="preserve"> to l</w:t>
      </w:r>
      <w:r w:rsidR="006F3F8B" w:rsidRPr="00E058AA">
        <w:rPr>
          <w:rFonts w:ascii="Arial" w:hAnsi="Arial" w:cs="Arial"/>
          <w:b/>
          <w:iCs/>
        </w:rPr>
        <w:t>earning</w:t>
      </w:r>
      <w:r>
        <w:rPr>
          <w:rFonts w:ascii="Arial" w:hAnsi="Arial" w:cs="Arial"/>
          <w:b/>
          <w:iCs/>
        </w:rPr>
        <w:t xml:space="preserve"> and teaching m</w:t>
      </w:r>
      <w:r w:rsidR="00B30E07" w:rsidRPr="00E058AA">
        <w:rPr>
          <w:rFonts w:ascii="Arial" w:hAnsi="Arial" w:cs="Arial"/>
          <w:b/>
          <w:iCs/>
        </w:rPr>
        <w:t>ethods (section12</w:t>
      </w:r>
      <w:r w:rsidR="006F3F8B" w:rsidRPr="00E058AA">
        <w:rPr>
          <w:rFonts w:ascii="Arial" w:hAnsi="Arial" w:cs="Arial"/>
          <w:b/>
          <w:iCs/>
        </w:rPr>
        <w:t>) and m</w:t>
      </w:r>
      <w:r>
        <w:rPr>
          <w:rFonts w:ascii="Arial" w:hAnsi="Arial" w:cs="Arial"/>
          <w:b/>
          <w:iCs/>
        </w:rPr>
        <w:t>ethods of a</w:t>
      </w:r>
      <w:r w:rsidR="00B30E07" w:rsidRPr="00E058AA">
        <w:rPr>
          <w:rFonts w:ascii="Arial" w:hAnsi="Arial" w:cs="Arial"/>
          <w:b/>
          <w:iCs/>
        </w:rPr>
        <w:t>ssessment (section 13</w:t>
      </w:r>
      <w:r w:rsidR="00EF4933" w:rsidRPr="00E058AA">
        <w:rPr>
          <w:rFonts w:ascii="Arial" w:hAnsi="Arial" w:cs="Arial"/>
          <w:b/>
          <w:iCs/>
        </w:rPr>
        <w:t>)</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tblGrid>
      <w:tr w:rsidR="00EE1810" w:rsidRPr="00E058AA" w14:paraId="695FB649" w14:textId="77777777" w:rsidTr="00636BFB">
        <w:tc>
          <w:tcPr>
            <w:tcW w:w="2126" w:type="dxa"/>
            <w:shd w:val="clear" w:color="auto" w:fill="D9D9D9"/>
          </w:tcPr>
          <w:p w14:paraId="026C87C7" w14:textId="77777777" w:rsidR="00EE1810" w:rsidRPr="00E058AA" w:rsidRDefault="00EE1810" w:rsidP="00E058AA">
            <w:pPr>
              <w:spacing w:after="120" w:line="240" w:lineRule="auto"/>
              <w:ind w:left="33"/>
              <w:rPr>
                <w:rFonts w:ascii="Arial" w:hAnsi="Arial" w:cs="Arial"/>
                <w:b/>
              </w:rPr>
            </w:pPr>
            <w:r w:rsidRPr="00E058AA">
              <w:rPr>
                <w:rFonts w:ascii="Arial" w:hAnsi="Arial" w:cs="Arial"/>
                <w:b/>
              </w:rPr>
              <w:t>Module learning outcome</w:t>
            </w:r>
          </w:p>
        </w:tc>
        <w:tc>
          <w:tcPr>
            <w:tcW w:w="567" w:type="dxa"/>
            <w:shd w:val="clear" w:color="auto" w:fill="auto"/>
          </w:tcPr>
          <w:p w14:paraId="18A1A168" w14:textId="77777777" w:rsidR="00EE1810" w:rsidRPr="00E058AA" w:rsidRDefault="00EE1810" w:rsidP="00E058AA">
            <w:pPr>
              <w:spacing w:after="120" w:line="240" w:lineRule="auto"/>
              <w:rPr>
                <w:rFonts w:ascii="Arial" w:hAnsi="Arial" w:cs="Arial"/>
                <w:i/>
              </w:rPr>
            </w:pPr>
            <w:r w:rsidRPr="00E058AA">
              <w:rPr>
                <w:rFonts w:ascii="Arial" w:hAnsi="Arial" w:cs="Arial"/>
                <w:i/>
              </w:rPr>
              <w:t>8.1</w:t>
            </w:r>
          </w:p>
        </w:tc>
        <w:tc>
          <w:tcPr>
            <w:tcW w:w="567" w:type="dxa"/>
            <w:shd w:val="clear" w:color="auto" w:fill="auto"/>
          </w:tcPr>
          <w:p w14:paraId="0BB9CA89" w14:textId="77777777" w:rsidR="00EE1810" w:rsidRPr="00E058AA" w:rsidRDefault="00EE1810" w:rsidP="00E058AA">
            <w:pPr>
              <w:spacing w:after="120" w:line="240" w:lineRule="auto"/>
              <w:rPr>
                <w:rFonts w:ascii="Arial" w:hAnsi="Arial" w:cs="Arial"/>
                <w:i/>
              </w:rPr>
            </w:pPr>
            <w:r w:rsidRPr="00E058AA">
              <w:rPr>
                <w:rFonts w:ascii="Arial" w:hAnsi="Arial" w:cs="Arial"/>
                <w:i/>
              </w:rPr>
              <w:t>8.2</w:t>
            </w:r>
          </w:p>
        </w:tc>
        <w:tc>
          <w:tcPr>
            <w:tcW w:w="567" w:type="dxa"/>
            <w:shd w:val="clear" w:color="auto" w:fill="auto"/>
          </w:tcPr>
          <w:p w14:paraId="719B9347" w14:textId="77777777" w:rsidR="00EE1810" w:rsidRPr="00E058AA" w:rsidRDefault="00EE1810" w:rsidP="00E058AA">
            <w:pPr>
              <w:spacing w:after="120" w:line="240" w:lineRule="auto"/>
              <w:rPr>
                <w:rFonts w:ascii="Arial" w:hAnsi="Arial" w:cs="Arial"/>
                <w:i/>
              </w:rPr>
            </w:pPr>
            <w:r w:rsidRPr="00E058AA">
              <w:rPr>
                <w:rFonts w:ascii="Arial" w:hAnsi="Arial" w:cs="Arial"/>
                <w:i/>
              </w:rPr>
              <w:t>8.3</w:t>
            </w:r>
          </w:p>
        </w:tc>
        <w:tc>
          <w:tcPr>
            <w:tcW w:w="567" w:type="dxa"/>
            <w:shd w:val="clear" w:color="auto" w:fill="auto"/>
          </w:tcPr>
          <w:p w14:paraId="786DFCC1" w14:textId="77777777" w:rsidR="00EE1810" w:rsidRPr="00E058AA" w:rsidRDefault="00EE1810" w:rsidP="00E058AA">
            <w:pPr>
              <w:spacing w:after="120" w:line="240" w:lineRule="auto"/>
              <w:rPr>
                <w:rFonts w:ascii="Arial" w:hAnsi="Arial" w:cs="Arial"/>
                <w:i/>
              </w:rPr>
            </w:pPr>
            <w:r w:rsidRPr="00E058AA">
              <w:rPr>
                <w:rFonts w:ascii="Arial" w:hAnsi="Arial" w:cs="Arial"/>
                <w:i/>
              </w:rPr>
              <w:t>8.4</w:t>
            </w:r>
          </w:p>
        </w:tc>
        <w:tc>
          <w:tcPr>
            <w:tcW w:w="567" w:type="dxa"/>
            <w:shd w:val="clear" w:color="auto" w:fill="auto"/>
          </w:tcPr>
          <w:p w14:paraId="2E8682F5" w14:textId="77777777" w:rsidR="00EE1810" w:rsidRPr="00E058AA" w:rsidRDefault="00EE1810" w:rsidP="00E058AA">
            <w:pPr>
              <w:spacing w:after="120" w:line="240" w:lineRule="auto"/>
              <w:rPr>
                <w:rFonts w:ascii="Arial" w:hAnsi="Arial" w:cs="Arial"/>
                <w:i/>
              </w:rPr>
            </w:pPr>
            <w:r w:rsidRPr="00E058AA">
              <w:rPr>
                <w:rFonts w:ascii="Arial" w:hAnsi="Arial" w:cs="Arial"/>
                <w:i/>
              </w:rPr>
              <w:t>8.5</w:t>
            </w:r>
          </w:p>
        </w:tc>
        <w:tc>
          <w:tcPr>
            <w:tcW w:w="567" w:type="dxa"/>
            <w:shd w:val="clear" w:color="auto" w:fill="auto"/>
          </w:tcPr>
          <w:p w14:paraId="795ABACE" w14:textId="77777777" w:rsidR="00EE1810" w:rsidRPr="00E058AA" w:rsidRDefault="00EE1810" w:rsidP="00E058AA">
            <w:pPr>
              <w:spacing w:after="120" w:line="240" w:lineRule="auto"/>
              <w:rPr>
                <w:rFonts w:ascii="Arial" w:hAnsi="Arial" w:cs="Arial"/>
                <w:i/>
              </w:rPr>
            </w:pPr>
            <w:r w:rsidRPr="00E058AA">
              <w:rPr>
                <w:rFonts w:ascii="Arial" w:hAnsi="Arial" w:cs="Arial"/>
                <w:i/>
              </w:rPr>
              <w:t>8.6</w:t>
            </w:r>
          </w:p>
        </w:tc>
        <w:tc>
          <w:tcPr>
            <w:tcW w:w="567" w:type="dxa"/>
            <w:shd w:val="clear" w:color="auto" w:fill="auto"/>
          </w:tcPr>
          <w:p w14:paraId="28BD6DD1" w14:textId="77777777" w:rsidR="00EE1810" w:rsidRPr="00E058AA" w:rsidRDefault="00EE1810" w:rsidP="00E058AA">
            <w:pPr>
              <w:spacing w:after="120" w:line="240" w:lineRule="auto"/>
              <w:rPr>
                <w:rFonts w:ascii="Arial" w:hAnsi="Arial" w:cs="Arial"/>
                <w:i/>
              </w:rPr>
            </w:pPr>
            <w:r w:rsidRPr="00E058AA">
              <w:rPr>
                <w:rFonts w:ascii="Arial" w:hAnsi="Arial" w:cs="Arial"/>
                <w:i/>
              </w:rPr>
              <w:t>9.1</w:t>
            </w:r>
          </w:p>
        </w:tc>
        <w:tc>
          <w:tcPr>
            <w:tcW w:w="567" w:type="dxa"/>
            <w:shd w:val="clear" w:color="auto" w:fill="auto"/>
          </w:tcPr>
          <w:p w14:paraId="062AC3DF" w14:textId="77777777" w:rsidR="00EE1810" w:rsidRPr="00E058AA" w:rsidRDefault="00EE1810" w:rsidP="00E058AA">
            <w:pPr>
              <w:spacing w:after="120" w:line="240" w:lineRule="auto"/>
              <w:rPr>
                <w:rFonts w:ascii="Arial" w:hAnsi="Arial" w:cs="Arial"/>
                <w:i/>
              </w:rPr>
            </w:pPr>
            <w:r w:rsidRPr="00E058AA">
              <w:rPr>
                <w:rFonts w:ascii="Arial" w:hAnsi="Arial" w:cs="Arial"/>
                <w:i/>
              </w:rPr>
              <w:t>9.2</w:t>
            </w:r>
          </w:p>
        </w:tc>
        <w:tc>
          <w:tcPr>
            <w:tcW w:w="567" w:type="dxa"/>
            <w:shd w:val="clear" w:color="auto" w:fill="auto"/>
          </w:tcPr>
          <w:p w14:paraId="31A8E66E" w14:textId="77777777" w:rsidR="00EE1810" w:rsidRPr="00E058AA" w:rsidRDefault="00EE1810" w:rsidP="00E058AA">
            <w:pPr>
              <w:spacing w:after="120" w:line="240" w:lineRule="auto"/>
              <w:rPr>
                <w:rFonts w:ascii="Arial" w:hAnsi="Arial" w:cs="Arial"/>
                <w:i/>
              </w:rPr>
            </w:pPr>
            <w:r w:rsidRPr="00E058AA">
              <w:rPr>
                <w:rFonts w:ascii="Arial" w:hAnsi="Arial" w:cs="Arial"/>
                <w:i/>
              </w:rPr>
              <w:t>9.3</w:t>
            </w:r>
          </w:p>
        </w:tc>
        <w:tc>
          <w:tcPr>
            <w:tcW w:w="567" w:type="dxa"/>
            <w:shd w:val="clear" w:color="auto" w:fill="auto"/>
          </w:tcPr>
          <w:p w14:paraId="379CC814" w14:textId="77777777" w:rsidR="00EE1810" w:rsidRPr="00E058AA" w:rsidRDefault="00EE1810" w:rsidP="00E058AA">
            <w:pPr>
              <w:spacing w:after="120" w:line="240" w:lineRule="auto"/>
              <w:rPr>
                <w:rFonts w:ascii="Arial" w:hAnsi="Arial" w:cs="Arial"/>
                <w:i/>
              </w:rPr>
            </w:pPr>
            <w:r w:rsidRPr="00E058AA">
              <w:rPr>
                <w:rFonts w:ascii="Arial" w:hAnsi="Arial" w:cs="Arial"/>
                <w:i/>
              </w:rPr>
              <w:t>9.4</w:t>
            </w:r>
          </w:p>
        </w:tc>
        <w:tc>
          <w:tcPr>
            <w:tcW w:w="567" w:type="dxa"/>
            <w:shd w:val="clear" w:color="auto" w:fill="auto"/>
          </w:tcPr>
          <w:p w14:paraId="14B470FF" w14:textId="77777777" w:rsidR="00EE1810" w:rsidRPr="00E058AA" w:rsidRDefault="00EE1810" w:rsidP="00E058AA">
            <w:pPr>
              <w:spacing w:after="120" w:line="240" w:lineRule="auto"/>
              <w:rPr>
                <w:rFonts w:ascii="Arial" w:hAnsi="Arial" w:cs="Arial"/>
                <w:i/>
              </w:rPr>
            </w:pPr>
            <w:r w:rsidRPr="00E058AA">
              <w:rPr>
                <w:rFonts w:ascii="Arial" w:hAnsi="Arial" w:cs="Arial"/>
                <w:i/>
              </w:rPr>
              <w:t>9.5</w:t>
            </w:r>
          </w:p>
        </w:tc>
      </w:tr>
      <w:tr w:rsidR="00EE1810" w:rsidRPr="00E058AA" w14:paraId="7CDE0334" w14:textId="77777777" w:rsidTr="00636BFB">
        <w:tc>
          <w:tcPr>
            <w:tcW w:w="2126" w:type="dxa"/>
            <w:shd w:val="clear" w:color="auto" w:fill="D9D9D9"/>
          </w:tcPr>
          <w:p w14:paraId="17E0EB95" w14:textId="77777777" w:rsidR="00EE1810" w:rsidRPr="00E058AA" w:rsidRDefault="00EE1810" w:rsidP="00E058AA">
            <w:pPr>
              <w:spacing w:after="120" w:line="240" w:lineRule="auto"/>
              <w:rPr>
                <w:rFonts w:ascii="Arial" w:hAnsi="Arial" w:cs="Arial"/>
                <w:b/>
              </w:rPr>
            </w:pPr>
            <w:r w:rsidRPr="00E058AA">
              <w:rPr>
                <w:rFonts w:ascii="Arial" w:hAnsi="Arial" w:cs="Arial"/>
                <w:b/>
              </w:rPr>
              <w:t>Learning/ teaching method</w:t>
            </w:r>
          </w:p>
        </w:tc>
        <w:tc>
          <w:tcPr>
            <w:tcW w:w="567" w:type="dxa"/>
            <w:shd w:val="clear" w:color="auto" w:fill="auto"/>
          </w:tcPr>
          <w:p w14:paraId="2ABA7D89"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4F6EB268"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64BF1E1D"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12F332AD"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16EBDF28"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71DCBFDE"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3CB9ACA6"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3A211FAA"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3C8A1EA"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62F849B9"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6A31357E" w14:textId="77777777" w:rsidR="00EE1810" w:rsidRPr="00E058AA" w:rsidRDefault="00EE1810" w:rsidP="00E058AA">
            <w:pPr>
              <w:spacing w:after="120" w:line="240" w:lineRule="auto"/>
              <w:rPr>
                <w:rFonts w:ascii="Arial" w:hAnsi="Arial" w:cs="Arial"/>
                <w:b/>
              </w:rPr>
            </w:pPr>
          </w:p>
        </w:tc>
      </w:tr>
      <w:tr w:rsidR="00EE1810" w:rsidRPr="00E058AA" w14:paraId="074666EA" w14:textId="77777777" w:rsidTr="00636BFB">
        <w:tc>
          <w:tcPr>
            <w:tcW w:w="2126" w:type="dxa"/>
            <w:shd w:val="clear" w:color="auto" w:fill="auto"/>
          </w:tcPr>
          <w:p w14:paraId="6C2DD953" w14:textId="77777777" w:rsidR="00EE1810" w:rsidRPr="00AC318E" w:rsidRDefault="00EE1810" w:rsidP="00E058AA">
            <w:pPr>
              <w:spacing w:after="120" w:line="240" w:lineRule="auto"/>
              <w:rPr>
                <w:rFonts w:ascii="Arial" w:hAnsi="Arial" w:cs="Arial"/>
              </w:rPr>
            </w:pPr>
            <w:r w:rsidRPr="00AC318E">
              <w:rPr>
                <w:rFonts w:ascii="Arial" w:hAnsi="Arial" w:cs="Arial"/>
              </w:rPr>
              <w:t>Private Study</w:t>
            </w:r>
          </w:p>
        </w:tc>
        <w:tc>
          <w:tcPr>
            <w:tcW w:w="567" w:type="dxa"/>
            <w:shd w:val="clear" w:color="auto" w:fill="auto"/>
          </w:tcPr>
          <w:p w14:paraId="35F733AC"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7862453"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202C720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41E286A"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401501C"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16B27B2"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6DEDCAA" w14:textId="77777777" w:rsidR="00EE1810" w:rsidRPr="002D0120" w:rsidRDefault="00EE1810" w:rsidP="00E058AA">
            <w:pPr>
              <w:spacing w:after="120" w:line="240" w:lineRule="auto"/>
              <w:rPr>
                <w:rFonts w:ascii="Arial" w:hAnsi="Arial" w:cs="Arial"/>
              </w:rPr>
            </w:pPr>
          </w:p>
        </w:tc>
        <w:tc>
          <w:tcPr>
            <w:tcW w:w="567" w:type="dxa"/>
            <w:shd w:val="clear" w:color="auto" w:fill="auto"/>
          </w:tcPr>
          <w:p w14:paraId="1EC4291F"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66A490D"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168159CF" w14:textId="77777777" w:rsidR="00EE1810" w:rsidRPr="002D0120" w:rsidRDefault="00EE1810" w:rsidP="00E058AA">
            <w:pPr>
              <w:spacing w:after="120" w:line="240" w:lineRule="auto"/>
              <w:rPr>
                <w:rFonts w:ascii="Arial" w:hAnsi="Arial" w:cs="Arial"/>
              </w:rPr>
            </w:pPr>
          </w:p>
        </w:tc>
        <w:tc>
          <w:tcPr>
            <w:tcW w:w="567" w:type="dxa"/>
            <w:shd w:val="clear" w:color="auto" w:fill="auto"/>
          </w:tcPr>
          <w:p w14:paraId="7B5F04C1" w14:textId="77777777" w:rsidR="00EE1810" w:rsidRPr="002D0120" w:rsidRDefault="00EE1810" w:rsidP="00E058AA">
            <w:pPr>
              <w:spacing w:after="120" w:line="240" w:lineRule="auto"/>
              <w:rPr>
                <w:rFonts w:ascii="Arial" w:hAnsi="Arial" w:cs="Arial"/>
              </w:rPr>
            </w:pPr>
            <w:r>
              <w:rPr>
                <w:rFonts w:ascii="Arial" w:hAnsi="Arial" w:cs="Arial"/>
              </w:rPr>
              <w:t>X</w:t>
            </w:r>
          </w:p>
        </w:tc>
      </w:tr>
      <w:tr w:rsidR="00EE1810" w:rsidRPr="00E058AA" w14:paraId="7B79BB05" w14:textId="77777777" w:rsidTr="00636BFB">
        <w:tc>
          <w:tcPr>
            <w:tcW w:w="2126" w:type="dxa"/>
            <w:shd w:val="clear" w:color="auto" w:fill="auto"/>
          </w:tcPr>
          <w:p w14:paraId="32E6C9CB" w14:textId="77777777" w:rsidR="00EE1810" w:rsidRPr="002D0120" w:rsidRDefault="00EE1810" w:rsidP="00E058AA">
            <w:pPr>
              <w:spacing w:after="120" w:line="240" w:lineRule="auto"/>
              <w:rPr>
                <w:rFonts w:ascii="Arial" w:hAnsi="Arial" w:cs="Arial"/>
              </w:rPr>
            </w:pPr>
            <w:r w:rsidRPr="002D0120">
              <w:rPr>
                <w:rFonts w:ascii="Arial" w:hAnsi="Arial" w:cs="Arial"/>
              </w:rPr>
              <w:t>Seminar</w:t>
            </w:r>
          </w:p>
        </w:tc>
        <w:tc>
          <w:tcPr>
            <w:tcW w:w="567" w:type="dxa"/>
            <w:shd w:val="clear" w:color="auto" w:fill="auto"/>
          </w:tcPr>
          <w:p w14:paraId="5AD83FB8"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51160EB"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6BFE08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A147321"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D9190BB"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146A245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46FFC463"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5D1DF410"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6128EB71"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79DD41E3" w14:textId="77777777" w:rsidR="00EE1810" w:rsidRPr="002D0120" w:rsidRDefault="00EE1810" w:rsidP="00E058AA">
            <w:pPr>
              <w:spacing w:after="120" w:line="240" w:lineRule="auto"/>
              <w:rPr>
                <w:rFonts w:ascii="Arial" w:hAnsi="Arial" w:cs="Arial"/>
              </w:rPr>
            </w:pPr>
            <w:r>
              <w:rPr>
                <w:rFonts w:ascii="Arial" w:hAnsi="Arial" w:cs="Arial"/>
              </w:rPr>
              <w:t>X</w:t>
            </w:r>
          </w:p>
        </w:tc>
        <w:tc>
          <w:tcPr>
            <w:tcW w:w="567" w:type="dxa"/>
            <w:shd w:val="clear" w:color="auto" w:fill="auto"/>
          </w:tcPr>
          <w:p w14:paraId="38359AA0"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r>
      <w:tr w:rsidR="00EE1810" w:rsidRPr="00E058AA" w14:paraId="3EC67259" w14:textId="77777777" w:rsidTr="00636BFB">
        <w:tc>
          <w:tcPr>
            <w:tcW w:w="2126" w:type="dxa"/>
            <w:shd w:val="clear" w:color="auto" w:fill="D9D9D9"/>
          </w:tcPr>
          <w:p w14:paraId="0808B94A" w14:textId="77777777" w:rsidR="00EE1810" w:rsidRPr="00E058AA" w:rsidRDefault="00EE1810" w:rsidP="00E058AA">
            <w:pPr>
              <w:spacing w:after="120" w:line="240" w:lineRule="auto"/>
              <w:rPr>
                <w:rFonts w:ascii="Arial" w:hAnsi="Arial" w:cs="Arial"/>
                <w:b/>
              </w:rPr>
            </w:pPr>
            <w:r w:rsidRPr="00E058AA">
              <w:rPr>
                <w:rFonts w:ascii="Arial" w:hAnsi="Arial" w:cs="Arial"/>
                <w:b/>
              </w:rPr>
              <w:t>Assessment method</w:t>
            </w:r>
          </w:p>
        </w:tc>
        <w:tc>
          <w:tcPr>
            <w:tcW w:w="567" w:type="dxa"/>
            <w:shd w:val="clear" w:color="auto" w:fill="auto"/>
          </w:tcPr>
          <w:p w14:paraId="51B8F2C5"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3F4653D2"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080A7A7B"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15097656"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70D76D1"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4A9404E5"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B8C9E48"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4CA108DF"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58DE2F3F"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5EC774BA" w14:textId="77777777" w:rsidR="00EE1810" w:rsidRPr="00E058AA" w:rsidRDefault="00EE1810" w:rsidP="00E058AA">
            <w:pPr>
              <w:spacing w:after="120" w:line="240" w:lineRule="auto"/>
              <w:rPr>
                <w:rFonts w:ascii="Arial" w:hAnsi="Arial" w:cs="Arial"/>
                <w:b/>
              </w:rPr>
            </w:pPr>
          </w:p>
        </w:tc>
        <w:tc>
          <w:tcPr>
            <w:tcW w:w="567" w:type="dxa"/>
            <w:shd w:val="clear" w:color="auto" w:fill="auto"/>
          </w:tcPr>
          <w:p w14:paraId="24D5F28B" w14:textId="77777777" w:rsidR="00EE1810" w:rsidRPr="00E058AA" w:rsidRDefault="00EE1810" w:rsidP="00E058AA">
            <w:pPr>
              <w:spacing w:after="120" w:line="240" w:lineRule="auto"/>
              <w:rPr>
                <w:rFonts w:ascii="Arial" w:hAnsi="Arial" w:cs="Arial"/>
                <w:b/>
              </w:rPr>
            </w:pPr>
          </w:p>
        </w:tc>
      </w:tr>
      <w:tr w:rsidR="00EE1810" w:rsidRPr="00E058AA" w14:paraId="4BF11BBF" w14:textId="77777777" w:rsidTr="00636BFB">
        <w:tc>
          <w:tcPr>
            <w:tcW w:w="2126" w:type="dxa"/>
            <w:shd w:val="clear" w:color="auto" w:fill="auto"/>
          </w:tcPr>
          <w:p w14:paraId="5E1D8E7B" w14:textId="77777777" w:rsidR="00EE1810" w:rsidRPr="002D0120" w:rsidRDefault="00EE1810" w:rsidP="00E058AA">
            <w:pPr>
              <w:spacing w:after="120" w:line="240" w:lineRule="auto"/>
              <w:rPr>
                <w:rFonts w:ascii="Arial" w:hAnsi="Arial" w:cs="Arial"/>
              </w:rPr>
            </w:pPr>
            <w:r>
              <w:rPr>
                <w:rFonts w:ascii="Arial" w:hAnsi="Arial" w:cs="Arial"/>
              </w:rPr>
              <w:t>Essay, 1,500 words</w:t>
            </w:r>
          </w:p>
        </w:tc>
        <w:tc>
          <w:tcPr>
            <w:tcW w:w="567" w:type="dxa"/>
            <w:shd w:val="clear" w:color="auto" w:fill="auto"/>
          </w:tcPr>
          <w:p w14:paraId="2EEFEFD5"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45D08E7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6CF6BED3"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5103A30E"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3933A6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2349E52"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7AA70E8"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30BA21D7"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6FB0F95D"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735B50D4"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138D286" w14:textId="77777777" w:rsidR="00EE1810" w:rsidRPr="00636BFB" w:rsidRDefault="00EE1810" w:rsidP="00E058AA">
            <w:pPr>
              <w:spacing w:after="120" w:line="240" w:lineRule="auto"/>
              <w:rPr>
                <w:rFonts w:ascii="Arial" w:hAnsi="Arial" w:cs="Arial"/>
              </w:rPr>
            </w:pPr>
          </w:p>
        </w:tc>
      </w:tr>
      <w:tr w:rsidR="00EE1810" w:rsidRPr="00E058AA" w14:paraId="3695FC6A" w14:textId="77777777" w:rsidTr="00636BFB">
        <w:tc>
          <w:tcPr>
            <w:tcW w:w="2126" w:type="dxa"/>
            <w:shd w:val="clear" w:color="auto" w:fill="auto"/>
          </w:tcPr>
          <w:p w14:paraId="7BC249A5" w14:textId="77777777" w:rsidR="00EE1810" w:rsidRPr="002D0120" w:rsidRDefault="00EE1810" w:rsidP="00E058AA">
            <w:pPr>
              <w:spacing w:after="120" w:line="240" w:lineRule="auto"/>
              <w:rPr>
                <w:rFonts w:ascii="Arial" w:hAnsi="Arial" w:cs="Arial"/>
              </w:rPr>
            </w:pPr>
            <w:r>
              <w:rPr>
                <w:rFonts w:ascii="Arial" w:hAnsi="Arial" w:cs="Arial"/>
              </w:rPr>
              <w:t>Essay, 3,500 words</w:t>
            </w:r>
          </w:p>
        </w:tc>
        <w:tc>
          <w:tcPr>
            <w:tcW w:w="567" w:type="dxa"/>
            <w:shd w:val="clear" w:color="auto" w:fill="auto"/>
          </w:tcPr>
          <w:p w14:paraId="67904848"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2531F06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7E0C876"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557701F3"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5192B220"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3C85038"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36BA189C"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C4EEF37"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1B3BE2F4"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637E798A"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c>
          <w:tcPr>
            <w:tcW w:w="567" w:type="dxa"/>
            <w:shd w:val="clear" w:color="auto" w:fill="auto"/>
          </w:tcPr>
          <w:p w14:paraId="0609873E" w14:textId="77777777" w:rsidR="00EE1810" w:rsidRPr="00636BFB" w:rsidRDefault="00EE1810" w:rsidP="00E058AA">
            <w:pPr>
              <w:spacing w:after="120" w:line="240" w:lineRule="auto"/>
              <w:rPr>
                <w:rFonts w:ascii="Arial" w:hAnsi="Arial" w:cs="Arial"/>
              </w:rPr>
            </w:pPr>
            <w:r w:rsidRPr="00636BFB">
              <w:rPr>
                <w:rFonts w:ascii="Arial" w:hAnsi="Arial" w:cs="Arial"/>
              </w:rPr>
              <w:t>X</w:t>
            </w:r>
          </w:p>
        </w:tc>
      </w:tr>
    </w:tbl>
    <w:p w14:paraId="33012C66" w14:textId="77777777" w:rsidR="007A6245" w:rsidRDefault="007A6245" w:rsidP="00302082">
      <w:pPr>
        <w:spacing w:after="120" w:line="240" w:lineRule="auto"/>
        <w:ind w:left="426" w:right="260"/>
        <w:rPr>
          <w:rFonts w:ascii="Arial" w:hAnsi="Arial" w:cs="Arial"/>
          <w:b/>
          <w:iCs/>
        </w:rPr>
      </w:pPr>
    </w:p>
    <w:p w14:paraId="4F11203E" w14:textId="77777777" w:rsidR="00EE1810" w:rsidRPr="00636BFB" w:rsidRDefault="00EE1810" w:rsidP="00636BFB">
      <w:pPr>
        <w:numPr>
          <w:ilvl w:val="0"/>
          <w:numId w:val="16"/>
        </w:numPr>
        <w:spacing w:after="120" w:line="240" w:lineRule="auto"/>
        <w:ind w:left="426" w:right="260" w:hanging="426"/>
        <w:rPr>
          <w:rFonts w:ascii="Arial" w:hAnsi="Arial" w:cs="Arial"/>
          <w:b/>
        </w:rPr>
      </w:pPr>
      <w:r w:rsidRPr="00636BFB">
        <w:rPr>
          <w:rFonts w:ascii="Arial" w:hAnsi="Arial" w:cs="Arial"/>
          <w:b/>
        </w:rPr>
        <w:t>Inclusive module design</w:t>
      </w:r>
    </w:p>
    <w:p w14:paraId="5F0EC689" w14:textId="77777777" w:rsidR="009A2D37" w:rsidRDefault="00F75333" w:rsidP="00636BFB">
      <w:pPr>
        <w:spacing w:after="120" w:line="240" w:lineRule="auto"/>
        <w:ind w:left="426" w:right="260"/>
        <w:rPr>
          <w:rFonts w:ascii="Arial" w:hAnsi="Arial" w:cs="Arial"/>
        </w:rPr>
      </w:pPr>
      <w:r w:rsidRPr="002A5328">
        <w:rPr>
          <w:rFonts w:ascii="Arial" w:hAnsi="Arial" w:cs="Arial"/>
        </w:rPr>
        <w:t>The School</w:t>
      </w:r>
      <w:r w:rsidR="009A2D37" w:rsidRPr="002A5328">
        <w:rPr>
          <w:rFonts w:ascii="Arial" w:hAnsi="Arial" w:cs="Arial"/>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Pr="002A5328">
        <w:rPr>
          <w:rFonts w:ascii="Arial" w:hAnsi="Arial" w:cs="Arial"/>
        </w:rPr>
        <w:t>sultation with the University’s</w:t>
      </w:r>
      <w:r w:rsidR="009A2D37" w:rsidRPr="002A5328">
        <w:rPr>
          <w:rFonts w:ascii="Arial" w:hAnsi="Arial" w:cs="Arial"/>
        </w:rPr>
        <w:t xml:space="preserve"> disability/dyslexia </w:t>
      </w:r>
      <w:r w:rsidR="00637A50" w:rsidRPr="002A5328">
        <w:rPr>
          <w:rFonts w:ascii="Arial" w:hAnsi="Arial" w:cs="Arial"/>
        </w:rPr>
        <w:t xml:space="preserve">student </w:t>
      </w:r>
      <w:r w:rsidR="009A2D37" w:rsidRPr="002A5328">
        <w:rPr>
          <w:rFonts w:ascii="Arial" w:hAnsi="Arial" w:cs="Arial"/>
        </w:rPr>
        <w:t>support service, and specialist support will be provided where needed.</w:t>
      </w:r>
    </w:p>
    <w:p w14:paraId="54E351B5" w14:textId="77777777" w:rsidR="007F65A8" w:rsidRPr="002A5328" w:rsidRDefault="007F65A8" w:rsidP="00636BFB">
      <w:pPr>
        <w:spacing w:after="120" w:line="240" w:lineRule="auto"/>
        <w:ind w:left="426" w:right="260"/>
        <w:rPr>
          <w:rFonts w:ascii="Arial" w:hAnsi="Arial" w:cs="Arial"/>
        </w:rPr>
      </w:pPr>
    </w:p>
    <w:p w14:paraId="2FC261B9" w14:textId="77777777" w:rsidR="009A2D37" w:rsidRPr="00302082" w:rsidRDefault="009A2D37" w:rsidP="00636BFB">
      <w:pPr>
        <w:numPr>
          <w:ilvl w:val="0"/>
          <w:numId w:val="16"/>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4F2BCF4C" w14:textId="77777777" w:rsidR="009A2D37" w:rsidRPr="00AC318E" w:rsidRDefault="00AC318E" w:rsidP="00302082">
      <w:pPr>
        <w:spacing w:after="120" w:line="240" w:lineRule="auto"/>
        <w:ind w:left="426" w:right="260"/>
        <w:jc w:val="both"/>
        <w:rPr>
          <w:rFonts w:ascii="Arial" w:hAnsi="Arial" w:cs="Arial"/>
          <w:b/>
        </w:rPr>
      </w:pPr>
      <w:r w:rsidRPr="00AC318E">
        <w:rPr>
          <w:rFonts w:ascii="Arial" w:hAnsi="Arial" w:cs="Arial"/>
        </w:rPr>
        <w:t>Paris</w:t>
      </w:r>
      <w:r w:rsidR="009A2D37" w:rsidRPr="00AC318E">
        <w:rPr>
          <w:rFonts w:ascii="Arial" w:hAnsi="Arial" w:cs="Arial"/>
        </w:rPr>
        <w:t xml:space="preserve"> </w:t>
      </w:r>
    </w:p>
    <w:p w14:paraId="5EBC6F53" w14:textId="77777777" w:rsidR="009A2D37" w:rsidRDefault="007F65A8" w:rsidP="00636BFB">
      <w:pPr>
        <w:numPr>
          <w:ilvl w:val="0"/>
          <w:numId w:val="16"/>
        </w:numPr>
        <w:spacing w:after="120" w:line="240" w:lineRule="auto"/>
        <w:ind w:right="260"/>
        <w:rPr>
          <w:rFonts w:ascii="Arial" w:hAnsi="Arial" w:cs="Arial"/>
          <w:b/>
          <w:iCs/>
        </w:rPr>
      </w:pPr>
      <w:r>
        <w:rPr>
          <w:rFonts w:ascii="Arial" w:hAnsi="Arial" w:cs="Arial"/>
          <w:b/>
          <w:iCs/>
        </w:rPr>
        <w:br w:type="page"/>
      </w:r>
      <w:r w:rsidR="00EE1810" w:rsidRPr="00636BFB">
        <w:rPr>
          <w:rFonts w:ascii="Arial" w:hAnsi="Arial" w:cs="Arial"/>
          <w:b/>
          <w:iCs/>
        </w:rPr>
        <w:lastRenderedPageBreak/>
        <w:t>Internationalisation</w:t>
      </w:r>
    </w:p>
    <w:p w14:paraId="7E079F63" w14:textId="77777777" w:rsidR="00636BFB" w:rsidRDefault="00636BFB" w:rsidP="00636BFB">
      <w:pPr>
        <w:spacing w:after="120" w:line="240" w:lineRule="auto"/>
        <w:ind w:left="360" w:right="260"/>
        <w:rPr>
          <w:rFonts w:ascii="Arial" w:hAnsi="Arial" w:cs="Arial"/>
          <w:iCs/>
        </w:rPr>
      </w:pPr>
      <w:r>
        <w:rPr>
          <w:rFonts w:ascii="Arial" w:hAnsi="Arial" w:cs="Arial"/>
          <w:iCs/>
        </w:rPr>
        <w:t xml:space="preserve">This module contributes to the internationalisation agenda in the following ways: </w:t>
      </w:r>
    </w:p>
    <w:p w14:paraId="057A89D0" w14:textId="77777777" w:rsidR="00636BFB" w:rsidRDefault="00636BFB" w:rsidP="00636BFB">
      <w:pPr>
        <w:numPr>
          <w:ilvl w:val="0"/>
          <w:numId w:val="17"/>
        </w:numPr>
        <w:spacing w:after="120" w:line="240" w:lineRule="auto"/>
        <w:ind w:right="260"/>
        <w:rPr>
          <w:rFonts w:ascii="Arial" w:hAnsi="Arial" w:cs="Arial"/>
          <w:iCs/>
        </w:rPr>
      </w:pPr>
      <w:r>
        <w:rPr>
          <w:rFonts w:ascii="Arial" w:hAnsi="Arial" w:cs="Arial"/>
          <w:iCs/>
        </w:rPr>
        <w:t xml:space="preserve">It is the core module on a new split-site MA based between Canterbury and Paris. </w:t>
      </w:r>
    </w:p>
    <w:p w14:paraId="490592F4" w14:textId="77777777" w:rsidR="00636BFB" w:rsidRDefault="00636BFB" w:rsidP="00636BFB">
      <w:pPr>
        <w:numPr>
          <w:ilvl w:val="0"/>
          <w:numId w:val="17"/>
        </w:numPr>
        <w:spacing w:after="120" w:line="240" w:lineRule="auto"/>
        <w:ind w:right="260"/>
        <w:rPr>
          <w:rFonts w:ascii="Arial" w:hAnsi="Arial" w:cs="Arial"/>
          <w:iCs/>
        </w:rPr>
      </w:pPr>
      <w:r>
        <w:rPr>
          <w:rFonts w:ascii="Arial" w:hAnsi="Arial" w:cs="Arial"/>
          <w:iCs/>
        </w:rPr>
        <w:t xml:space="preserve">It is focused specifically on French (Parisian) history – it is helping to expand the curriculum away from its traditional Anglo-Centric focus. </w:t>
      </w:r>
    </w:p>
    <w:p w14:paraId="75E382CA" w14:textId="77777777" w:rsidR="00636BFB" w:rsidRPr="00636BFB" w:rsidRDefault="00636BFB" w:rsidP="00636BFB">
      <w:pPr>
        <w:numPr>
          <w:ilvl w:val="0"/>
          <w:numId w:val="17"/>
        </w:numPr>
        <w:spacing w:after="120" w:line="240" w:lineRule="auto"/>
        <w:ind w:right="260"/>
        <w:rPr>
          <w:rFonts w:ascii="Arial" w:hAnsi="Arial" w:cs="Arial"/>
          <w:iCs/>
        </w:rPr>
      </w:pPr>
      <w:r>
        <w:rPr>
          <w:rFonts w:ascii="Arial" w:hAnsi="Arial" w:cs="Arial"/>
          <w:iCs/>
        </w:rPr>
        <w:t xml:space="preserve">The course will include an emphasis on Paris as a cultural crossroads, with an emphasis on cultural exchange at sites such as the royal court, University and religious foundations. </w:t>
      </w:r>
    </w:p>
    <w:p w14:paraId="341D6B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B7D1A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F2509B"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02082" w:rsidRPr="00E058AA" w14:paraId="0633E25B" w14:textId="77777777" w:rsidTr="00E058AA">
        <w:trPr>
          <w:trHeight w:val="317"/>
        </w:trPr>
        <w:tc>
          <w:tcPr>
            <w:tcW w:w="1526" w:type="dxa"/>
            <w:shd w:val="clear" w:color="auto" w:fill="auto"/>
          </w:tcPr>
          <w:p w14:paraId="180AFD7D" w14:textId="77777777" w:rsidR="00422B69" w:rsidRPr="00E058AA" w:rsidRDefault="00422B69" w:rsidP="00E058AA">
            <w:pPr>
              <w:spacing w:after="120" w:line="240" w:lineRule="auto"/>
              <w:ind w:right="-330"/>
              <w:rPr>
                <w:rFonts w:ascii="Arial" w:hAnsi="Arial" w:cs="Arial"/>
                <w:sz w:val="18"/>
              </w:rPr>
            </w:pPr>
            <w:r w:rsidRPr="00E058AA">
              <w:rPr>
                <w:rFonts w:ascii="Arial" w:hAnsi="Arial" w:cs="Arial"/>
                <w:sz w:val="18"/>
              </w:rPr>
              <w:t>Date approved</w:t>
            </w:r>
          </w:p>
        </w:tc>
        <w:tc>
          <w:tcPr>
            <w:tcW w:w="1701" w:type="dxa"/>
            <w:shd w:val="clear" w:color="auto" w:fill="auto"/>
          </w:tcPr>
          <w:p w14:paraId="78AB5A35" w14:textId="77777777" w:rsidR="00422B69" w:rsidRPr="00E058AA" w:rsidRDefault="00422B69" w:rsidP="00E058AA">
            <w:pPr>
              <w:spacing w:after="120" w:line="240" w:lineRule="auto"/>
              <w:rPr>
                <w:rFonts w:ascii="Arial" w:hAnsi="Arial" w:cs="Arial"/>
                <w:sz w:val="18"/>
              </w:rPr>
            </w:pPr>
            <w:r w:rsidRPr="00E058AA">
              <w:rPr>
                <w:rFonts w:ascii="Arial" w:hAnsi="Arial" w:cs="Arial"/>
                <w:sz w:val="18"/>
              </w:rPr>
              <w:t>Major/minor revision</w:t>
            </w:r>
          </w:p>
        </w:tc>
        <w:tc>
          <w:tcPr>
            <w:tcW w:w="2410" w:type="dxa"/>
            <w:shd w:val="clear" w:color="auto" w:fill="auto"/>
          </w:tcPr>
          <w:p w14:paraId="60B08D20" w14:textId="77777777" w:rsidR="00422B69" w:rsidRPr="00E058AA" w:rsidRDefault="00422B69" w:rsidP="00E058AA">
            <w:pPr>
              <w:spacing w:after="120" w:line="240" w:lineRule="auto"/>
              <w:ind w:right="-34"/>
              <w:rPr>
                <w:rFonts w:ascii="Arial" w:hAnsi="Arial" w:cs="Arial"/>
                <w:sz w:val="18"/>
              </w:rPr>
            </w:pPr>
            <w:r w:rsidRPr="00E058AA">
              <w:rPr>
                <w:rFonts w:ascii="Arial" w:hAnsi="Arial" w:cs="Arial"/>
                <w:sz w:val="18"/>
              </w:rPr>
              <w:t>Start date of the delivery of  revised version</w:t>
            </w:r>
          </w:p>
        </w:tc>
        <w:tc>
          <w:tcPr>
            <w:tcW w:w="2448" w:type="dxa"/>
            <w:shd w:val="clear" w:color="auto" w:fill="auto"/>
          </w:tcPr>
          <w:p w14:paraId="7022F7CA" w14:textId="77777777" w:rsidR="00422B69" w:rsidRPr="00E058AA" w:rsidRDefault="00422B69" w:rsidP="00E058AA">
            <w:pPr>
              <w:spacing w:after="120" w:line="240" w:lineRule="auto"/>
              <w:ind w:right="-330"/>
              <w:rPr>
                <w:rFonts w:ascii="Arial" w:hAnsi="Arial" w:cs="Arial"/>
                <w:sz w:val="18"/>
              </w:rPr>
            </w:pPr>
            <w:r w:rsidRPr="00E058AA">
              <w:rPr>
                <w:rFonts w:ascii="Arial" w:hAnsi="Arial" w:cs="Arial"/>
                <w:sz w:val="18"/>
              </w:rPr>
              <w:t>Section revised</w:t>
            </w:r>
          </w:p>
        </w:tc>
        <w:tc>
          <w:tcPr>
            <w:tcW w:w="2597" w:type="dxa"/>
            <w:shd w:val="clear" w:color="auto" w:fill="auto"/>
          </w:tcPr>
          <w:p w14:paraId="0888E132" w14:textId="77777777" w:rsidR="00422B69" w:rsidRPr="00E058AA" w:rsidRDefault="00422B69" w:rsidP="00E058AA">
            <w:pPr>
              <w:spacing w:after="120" w:line="240" w:lineRule="auto"/>
              <w:ind w:right="-330"/>
              <w:rPr>
                <w:rFonts w:ascii="Arial" w:hAnsi="Arial" w:cs="Arial"/>
                <w:sz w:val="18"/>
              </w:rPr>
            </w:pPr>
            <w:r w:rsidRPr="00E058AA">
              <w:rPr>
                <w:rFonts w:ascii="Arial" w:hAnsi="Arial" w:cs="Arial"/>
                <w:sz w:val="18"/>
              </w:rPr>
              <w:t>Impacts PLOs</w:t>
            </w:r>
            <w:r w:rsidR="00694309" w:rsidRPr="00E058AA">
              <w:rPr>
                <w:rFonts w:ascii="Arial" w:hAnsi="Arial" w:cs="Arial"/>
                <w:sz w:val="18"/>
              </w:rPr>
              <w:t xml:space="preserve"> (</w:t>
            </w:r>
            <w:r w:rsidR="001A425B" w:rsidRPr="00E058AA">
              <w:rPr>
                <w:rFonts w:ascii="Arial" w:hAnsi="Arial" w:cs="Arial"/>
                <w:sz w:val="18"/>
              </w:rPr>
              <w:t>Q6&amp;7 cover sheet)</w:t>
            </w:r>
          </w:p>
        </w:tc>
      </w:tr>
      <w:tr w:rsidR="00302082" w:rsidRPr="00E058AA" w14:paraId="4AB37CEE" w14:textId="77777777" w:rsidTr="00E058AA">
        <w:trPr>
          <w:trHeight w:val="305"/>
        </w:trPr>
        <w:tc>
          <w:tcPr>
            <w:tcW w:w="1526" w:type="dxa"/>
            <w:shd w:val="clear" w:color="auto" w:fill="auto"/>
          </w:tcPr>
          <w:p w14:paraId="0F7F7076" w14:textId="77777777" w:rsidR="00422B69" w:rsidRPr="00E058AA" w:rsidRDefault="00422B69" w:rsidP="00E058AA">
            <w:pPr>
              <w:spacing w:after="120" w:line="240" w:lineRule="auto"/>
              <w:ind w:right="-330"/>
              <w:rPr>
                <w:rFonts w:ascii="Arial" w:hAnsi="Arial" w:cs="Arial"/>
              </w:rPr>
            </w:pPr>
          </w:p>
        </w:tc>
        <w:tc>
          <w:tcPr>
            <w:tcW w:w="1701" w:type="dxa"/>
            <w:shd w:val="clear" w:color="auto" w:fill="auto"/>
          </w:tcPr>
          <w:p w14:paraId="270A2993" w14:textId="77777777" w:rsidR="00422B69" w:rsidRPr="00E058AA" w:rsidRDefault="00422B69" w:rsidP="00E058AA">
            <w:pPr>
              <w:spacing w:after="120" w:line="240" w:lineRule="auto"/>
              <w:ind w:right="-330"/>
              <w:rPr>
                <w:rFonts w:ascii="Arial" w:hAnsi="Arial" w:cs="Arial"/>
              </w:rPr>
            </w:pPr>
          </w:p>
        </w:tc>
        <w:tc>
          <w:tcPr>
            <w:tcW w:w="2410" w:type="dxa"/>
            <w:shd w:val="clear" w:color="auto" w:fill="auto"/>
          </w:tcPr>
          <w:p w14:paraId="4BE9A38D" w14:textId="77777777" w:rsidR="00422B69" w:rsidRPr="00E058AA" w:rsidRDefault="00422B69" w:rsidP="00E058AA">
            <w:pPr>
              <w:spacing w:after="120" w:line="240" w:lineRule="auto"/>
              <w:ind w:right="-330"/>
              <w:rPr>
                <w:rFonts w:ascii="Arial" w:hAnsi="Arial" w:cs="Arial"/>
              </w:rPr>
            </w:pPr>
          </w:p>
        </w:tc>
        <w:tc>
          <w:tcPr>
            <w:tcW w:w="2448" w:type="dxa"/>
            <w:shd w:val="clear" w:color="auto" w:fill="auto"/>
          </w:tcPr>
          <w:p w14:paraId="5D342612" w14:textId="77777777" w:rsidR="00422B69" w:rsidRPr="00E058AA" w:rsidRDefault="00422B69" w:rsidP="00E058AA">
            <w:pPr>
              <w:spacing w:after="120" w:line="240" w:lineRule="auto"/>
              <w:ind w:right="-330"/>
              <w:rPr>
                <w:rFonts w:ascii="Arial" w:hAnsi="Arial" w:cs="Arial"/>
              </w:rPr>
            </w:pPr>
          </w:p>
        </w:tc>
        <w:tc>
          <w:tcPr>
            <w:tcW w:w="2597" w:type="dxa"/>
            <w:shd w:val="clear" w:color="auto" w:fill="auto"/>
          </w:tcPr>
          <w:p w14:paraId="34A5762D" w14:textId="77777777" w:rsidR="00422B69" w:rsidRPr="00E058AA" w:rsidRDefault="00422B69" w:rsidP="00E058AA">
            <w:pPr>
              <w:spacing w:after="120" w:line="240" w:lineRule="auto"/>
              <w:ind w:right="-330"/>
              <w:rPr>
                <w:rFonts w:ascii="Arial" w:hAnsi="Arial" w:cs="Arial"/>
              </w:rPr>
            </w:pPr>
          </w:p>
        </w:tc>
      </w:tr>
      <w:tr w:rsidR="00302082" w:rsidRPr="00E058AA" w14:paraId="339C20D6" w14:textId="77777777" w:rsidTr="00E058AA">
        <w:trPr>
          <w:trHeight w:val="305"/>
        </w:trPr>
        <w:tc>
          <w:tcPr>
            <w:tcW w:w="1526" w:type="dxa"/>
            <w:shd w:val="clear" w:color="auto" w:fill="auto"/>
          </w:tcPr>
          <w:p w14:paraId="62CC9578" w14:textId="77777777" w:rsidR="00422B69" w:rsidRPr="00E058AA" w:rsidRDefault="00422B69" w:rsidP="00E058AA">
            <w:pPr>
              <w:spacing w:after="120" w:line="240" w:lineRule="auto"/>
              <w:ind w:right="-330"/>
              <w:rPr>
                <w:rFonts w:ascii="Arial" w:hAnsi="Arial" w:cs="Arial"/>
              </w:rPr>
            </w:pPr>
          </w:p>
        </w:tc>
        <w:tc>
          <w:tcPr>
            <w:tcW w:w="1701" w:type="dxa"/>
            <w:shd w:val="clear" w:color="auto" w:fill="auto"/>
          </w:tcPr>
          <w:p w14:paraId="5D8F02B8" w14:textId="77777777" w:rsidR="00422B69" w:rsidRPr="00E058AA" w:rsidRDefault="00422B69" w:rsidP="00E058AA">
            <w:pPr>
              <w:spacing w:after="120" w:line="240" w:lineRule="auto"/>
              <w:ind w:right="-330"/>
              <w:rPr>
                <w:rFonts w:ascii="Arial" w:hAnsi="Arial" w:cs="Arial"/>
              </w:rPr>
            </w:pPr>
          </w:p>
        </w:tc>
        <w:tc>
          <w:tcPr>
            <w:tcW w:w="2410" w:type="dxa"/>
            <w:shd w:val="clear" w:color="auto" w:fill="auto"/>
          </w:tcPr>
          <w:p w14:paraId="52683CC9" w14:textId="77777777" w:rsidR="00422B69" w:rsidRPr="00E058AA" w:rsidRDefault="00422B69" w:rsidP="00E058AA">
            <w:pPr>
              <w:spacing w:after="120" w:line="240" w:lineRule="auto"/>
              <w:ind w:right="-330"/>
              <w:rPr>
                <w:rFonts w:ascii="Arial" w:hAnsi="Arial" w:cs="Arial"/>
              </w:rPr>
            </w:pPr>
          </w:p>
        </w:tc>
        <w:tc>
          <w:tcPr>
            <w:tcW w:w="2448" w:type="dxa"/>
            <w:shd w:val="clear" w:color="auto" w:fill="auto"/>
          </w:tcPr>
          <w:p w14:paraId="03F0D319" w14:textId="77777777" w:rsidR="00422B69" w:rsidRPr="00E058AA" w:rsidRDefault="00422B69" w:rsidP="00E058AA">
            <w:pPr>
              <w:spacing w:after="120" w:line="240" w:lineRule="auto"/>
              <w:ind w:right="-330"/>
              <w:rPr>
                <w:rFonts w:ascii="Arial" w:hAnsi="Arial" w:cs="Arial"/>
              </w:rPr>
            </w:pPr>
          </w:p>
        </w:tc>
        <w:tc>
          <w:tcPr>
            <w:tcW w:w="2597" w:type="dxa"/>
            <w:shd w:val="clear" w:color="auto" w:fill="auto"/>
          </w:tcPr>
          <w:p w14:paraId="48DF2506" w14:textId="77777777" w:rsidR="00422B69" w:rsidRPr="00E058AA" w:rsidRDefault="00422B69" w:rsidP="00E058AA">
            <w:pPr>
              <w:spacing w:after="120" w:line="240" w:lineRule="auto"/>
              <w:ind w:right="-330"/>
              <w:rPr>
                <w:rFonts w:ascii="Arial" w:hAnsi="Arial" w:cs="Arial"/>
              </w:rPr>
            </w:pPr>
          </w:p>
        </w:tc>
      </w:tr>
    </w:tbl>
    <w:p w14:paraId="07A47A6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20B8" w14:textId="77777777" w:rsidR="006A0E8A" w:rsidRDefault="006A0E8A" w:rsidP="009A2D37">
      <w:pPr>
        <w:spacing w:after="0" w:line="240" w:lineRule="auto"/>
      </w:pPr>
      <w:r>
        <w:separator/>
      </w:r>
    </w:p>
  </w:endnote>
  <w:endnote w:type="continuationSeparator" w:id="0">
    <w:p w14:paraId="04430F62" w14:textId="77777777" w:rsidR="006A0E8A" w:rsidRDefault="006A0E8A" w:rsidP="009A2D37">
      <w:pPr>
        <w:spacing w:after="0" w:line="240" w:lineRule="auto"/>
      </w:pPr>
      <w:r>
        <w:continuationSeparator/>
      </w:r>
    </w:p>
  </w:endnote>
  <w:endnote w:type="continuationNotice" w:id="1">
    <w:p w14:paraId="1123A6CB" w14:textId="77777777" w:rsidR="006A0E8A" w:rsidRDefault="006A0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73C6" w14:textId="77777777" w:rsidR="002A5328" w:rsidRDefault="002A5328" w:rsidP="009A2D37">
    <w:pPr>
      <w:pStyle w:val="Footer"/>
      <w:jc w:val="center"/>
    </w:pPr>
    <w:r>
      <w:fldChar w:fldCharType="begin"/>
    </w:r>
    <w:r>
      <w:instrText xml:space="preserve"> PAGE   \* MERGEFORMAT </w:instrText>
    </w:r>
    <w:r>
      <w:fldChar w:fldCharType="separate"/>
    </w:r>
    <w:r w:rsidR="00DD4C7E">
      <w:rPr>
        <w:noProof/>
      </w:rPr>
      <w:t>2</w:t>
    </w:r>
    <w:r>
      <w:rPr>
        <w:noProof/>
      </w:rPr>
      <w:fldChar w:fldCharType="end"/>
    </w:r>
  </w:p>
  <w:p w14:paraId="630A4F77" w14:textId="77777777" w:rsidR="002A5328" w:rsidRPr="007B7724" w:rsidRDefault="002A532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9491" w14:textId="77777777" w:rsidR="006A0E8A" w:rsidRDefault="006A0E8A" w:rsidP="009A2D37">
      <w:pPr>
        <w:spacing w:after="0" w:line="240" w:lineRule="auto"/>
      </w:pPr>
      <w:r>
        <w:separator/>
      </w:r>
    </w:p>
  </w:footnote>
  <w:footnote w:type="continuationSeparator" w:id="0">
    <w:p w14:paraId="200CE2A1" w14:textId="77777777" w:rsidR="006A0E8A" w:rsidRDefault="006A0E8A" w:rsidP="009A2D37">
      <w:pPr>
        <w:spacing w:after="0" w:line="240" w:lineRule="auto"/>
      </w:pPr>
      <w:r>
        <w:continuationSeparator/>
      </w:r>
    </w:p>
  </w:footnote>
  <w:footnote w:type="continuationNotice" w:id="1">
    <w:p w14:paraId="3A4369BF" w14:textId="77777777" w:rsidR="006A0E8A" w:rsidRDefault="006A0E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4CB7" w14:textId="77777777" w:rsidR="002A5328" w:rsidRPr="0075408A" w:rsidRDefault="00E058AA" w:rsidP="00441E76">
    <w:pPr>
      <w:jc w:val="center"/>
      <w:rPr>
        <w:rFonts w:ascii="Arial" w:hAnsi="Arial" w:cs="Arial"/>
        <w:b/>
        <w:sz w:val="28"/>
        <w:szCs w:val="28"/>
      </w:rPr>
    </w:pPr>
    <w:r>
      <w:rPr>
        <w:noProof/>
        <w:lang w:eastAsia="en-US"/>
      </w:rPr>
      <w:pict w14:anchorId="63789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429.75pt;margin-top:-12.3pt;width:92.2pt;height:46.5pt;z-index:-2;visibility:visible">
          <v:imagedata r:id="rId1" o:title=""/>
        </v:shape>
      </w:pict>
    </w:r>
    <w:r w:rsidR="002A5328">
      <w:rPr>
        <w:rFonts w:ascii="Arial" w:hAnsi="Arial" w:cs="Arial"/>
        <w:b/>
        <w:sz w:val="28"/>
        <w:szCs w:val="28"/>
      </w:rPr>
      <w:t>MODULE SPECIFICATION</w:t>
    </w:r>
  </w:p>
  <w:p w14:paraId="756CE11E" w14:textId="77777777" w:rsidR="002A5328" w:rsidRPr="008C00F8" w:rsidRDefault="002A5328" w:rsidP="005E6D38">
    <w:pPr>
      <w:pStyle w:val="Heading1"/>
      <w:spacing w:before="60" w:after="60"/>
      <w:rPr>
        <w:rFonts w:ascii="Arial" w:hAnsi="Arial" w:cs="Arial"/>
      </w:rPr>
    </w:pPr>
  </w:p>
  <w:p w14:paraId="6D053787" w14:textId="77777777" w:rsidR="002A5328" w:rsidRDefault="002A5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289D" w14:textId="77777777" w:rsidR="002A5328" w:rsidRPr="0075408A" w:rsidRDefault="00E058AA" w:rsidP="000F7FBF">
    <w:pPr>
      <w:jc w:val="center"/>
      <w:rPr>
        <w:rFonts w:ascii="Arial" w:hAnsi="Arial" w:cs="Arial"/>
        <w:b/>
        <w:sz w:val="28"/>
        <w:szCs w:val="28"/>
      </w:rPr>
    </w:pPr>
    <w:r>
      <w:rPr>
        <w:noProof/>
        <w:lang w:eastAsia="en-US"/>
      </w:rPr>
      <w:pict w14:anchorId="252D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429.75pt;margin-top:-12.3pt;width:92.2pt;height:46.5pt;z-index:-1;visibility:visible">
          <v:imagedata r:id="rId1" o:title=""/>
        </v:shape>
      </w:pict>
    </w:r>
    <w:r w:rsidR="007F65A8">
      <w:rPr>
        <w:rFonts w:ascii="Arial" w:hAnsi="Arial" w:cs="Arial"/>
        <w:b/>
        <w:sz w:val="28"/>
        <w:szCs w:val="28"/>
      </w:rPr>
      <w:t>MODULE SPECIFICATION</w:t>
    </w:r>
  </w:p>
  <w:p w14:paraId="4A74EABF" w14:textId="77777777" w:rsidR="002A5328" w:rsidRPr="000F7FBF" w:rsidRDefault="002A532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AAA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AE1E86"/>
    <w:multiLevelType w:val="hybridMultilevel"/>
    <w:tmpl w:val="9CEC7B3C"/>
    <w:lvl w:ilvl="0" w:tplc="4A34F9B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3F3AC5"/>
    <w:multiLevelType w:val="multilevel"/>
    <w:tmpl w:val="8B826976"/>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730FE8"/>
    <w:multiLevelType w:val="multilevel"/>
    <w:tmpl w:val="AA0AEB40"/>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7BE69DB"/>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2348A2"/>
    <w:multiLevelType w:val="multilevel"/>
    <w:tmpl w:val="776289AC"/>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423E0684"/>
    <w:multiLevelType w:val="hybridMultilevel"/>
    <w:tmpl w:val="572477D0"/>
    <w:lvl w:ilvl="0" w:tplc="7A12A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CC44C2"/>
    <w:multiLevelType w:val="hybridMultilevel"/>
    <w:tmpl w:val="73AAB6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C7A0C"/>
    <w:multiLevelType w:val="hybridMultilevel"/>
    <w:tmpl w:val="306AA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2"/>
  </w:num>
  <w:num w:numId="6">
    <w:abstractNumId w:val="10"/>
  </w:num>
  <w:num w:numId="7">
    <w:abstractNumId w:val="14"/>
  </w:num>
  <w:num w:numId="8">
    <w:abstractNumId w:val="11"/>
  </w:num>
  <w:num w:numId="9">
    <w:abstractNumId w:val="13"/>
  </w:num>
  <w:num w:numId="10">
    <w:abstractNumId w:val="9"/>
  </w:num>
  <w:num w:numId="11">
    <w:abstractNumId w:val="6"/>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27A"/>
    <w:rsid w:val="00021EA0"/>
    <w:rsid w:val="00025992"/>
    <w:rsid w:val="00027937"/>
    <w:rsid w:val="00030C9E"/>
    <w:rsid w:val="00031E67"/>
    <w:rsid w:val="000408CC"/>
    <w:rsid w:val="00042124"/>
    <w:rsid w:val="00045373"/>
    <w:rsid w:val="00063A2F"/>
    <w:rsid w:val="000678D3"/>
    <w:rsid w:val="00094810"/>
    <w:rsid w:val="000C0294"/>
    <w:rsid w:val="000C7A1C"/>
    <w:rsid w:val="000D2A8A"/>
    <w:rsid w:val="000D32AC"/>
    <w:rsid w:val="000E20C1"/>
    <w:rsid w:val="000E3B73"/>
    <w:rsid w:val="000F6C56"/>
    <w:rsid w:val="000F7FBF"/>
    <w:rsid w:val="001048FC"/>
    <w:rsid w:val="00106BE5"/>
    <w:rsid w:val="00110947"/>
    <w:rsid w:val="00111906"/>
    <w:rsid w:val="00111CB3"/>
    <w:rsid w:val="00112DCD"/>
    <w:rsid w:val="00117577"/>
    <w:rsid w:val="00117793"/>
    <w:rsid w:val="001206E4"/>
    <w:rsid w:val="001214D3"/>
    <w:rsid w:val="00121BFC"/>
    <w:rsid w:val="001306E3"/>
    <w:rsid w:val="00133970"/>
    <w:rsid w:val="001402AD"/>
    <w:rsid w:val="001540CE"/>
    <w:rsid w:val="0015717B"/>
    <w:rsid w:val="00157ACA"/>
    <w:rsid w:val="00160427"/>
    <w:rsid w:val="00162D46"/>
    <w:rsid w:val="00163C6F"/>
    <w:rsid w:val="00172793"/>
    <w:rsid w:val="00180558"/>
    <w:rsid w:val="001811E5"/>
    <w:rsid w:val="00183B34"/>
    <w:rsid w:val="00185F46"/>
    <w:rsid w:val="001905C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80C"/>
    <w:rsid w:val="001F3C3E"/>
    <w:rsid w:val="0020243A"/>
    <w:rsid w:val="0021578E"/>
    <w:rsid w:val="00223B8C"/>
    <w:rsid w:val="00227582"/>
    <w:rsid w:val="002308BE"/>
    <w:rsid w:val="002342A4"/>
    <w:rsid w:val="002407C0"/>
    <w:rsid w:val="002461AF"/>
    <w:rsid w:val="002465A1"/>
    <w:rsid w:val="00264576"/>
    <w:rsid w:val="0026585A"/>
    <w:rsid w:val="00266735"/>
    <w:rsid w:val="00273CF0"/>
    <w:rsid w:val="002748D4"/>
    <w:rsid w:val="00274ED7"/>
    <w:rsid w:val="0028461D"/>
    <w:rsid w:val="0028590C"/>
    <w:rsid w:val="00285DAA"/>
    <w:rsid w:val="00292C46"/>
    <w:rsid w:val="002938D6"/>
    <w:rsid w:val="00294B73"/>
    <w:rsid w:val="002A0C18"/>
    <w:rsid w:val="002A219B"/>
    <w:rsid w:val="002A22DB"/>
    <w:rsid w:val="002A5328"/>
    <w:rsid w:val="002B20F5"/>
    <w:rsid w:val="002B2A1A"/>
    <w:rsid w:val="002B71F2"/>
    <w:rsid w:val="002D0120"/>
    <w:rsid w:val="002E71C0"/>
    <w:rsid w:val="002F05F4"/>
    <w:rsid w:val="002F0CE4"/>
    <w:rsid w:val="002F23EF"/>
    <w:rsid w:val="002F2626"/>
    <w:rsid w:val="002F784F"/>
    <w:rsid w:val="00302082"/>
    <w:rsid w:val="00306620"/>
    <w:rsid w:val="00315FE1"/>
    <w:rsid w:val="003262B9"/>
    <w:rsid w:val="00334A02"/>
    <w:rsid w:val="00335875"/>
    <w:rsid w:val="00335FBE"/>
    <w:rsid w:val="003416C7"/>
    <w:rsid w:val="00352D8E"/>
    <w:rsid w:val="00356B68"/>
    <w:rsid w:val="0035702D"/>
    <w:rsid w:val="003604D4"/>
    <w:rsid w:val="003627B0"/>
    <w:rsid w:val="00374DF6"/>
    <w:rsid w:val="003759B0"/>
    <w:rsid w:val="00375F84"/>
    <w:rsid w:val="00376E34"/>
    <w:rsid w:val="003804E7"/>
    <w:rsid w:val="003934D2"/>
    <w:rsid w:val="003973A1"/>
    <w:rsid w:val="003A3D0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5A87"/>
    <w:rsid w:val="00446A75"/>
    <w:rsid w:val="004474A2"/>
    <w:rsid w:val="004552BB"/>
    <w:rsid w:val="00460925"/>
    <w:rsid w:val="00471C6C"/>
    <w:rsid w:val="00472023"/>
    <w:rsid w:val="00486993"/>
    <w:rsid w:val="00492DA4"/>
    <w:rsid w:val="00496AA3"/>
    <w:rsid w:val="00497C98"/>
    <w:rsid w:val="004A39D7"/>
    <w:rsid w:val="004A55FA"/>
    <w:rsid w:val="004B5D03"/>
    <w:rsid w:val="004C1EC4"/>
    <w:rsid w:val="004D035C"/>
    <w:rsid w:val="004E7D7C"/>
    <w:rsid w:val="004F3C18"/>
    <w:rsid w:val="004F4328"/>
    <w:rsid w:val="005005E4"/>
    <w:rsid w:val="00513689"/>
    <w:rsid w:val="0051375A"/>
    <w:rsid w:val="00521097"/>
    <w:rsid w:val="0053059E"/>
    <w:rsid w:val="00532F6F"/>
    <w:rsid w:val="00533663"/>
    <w:rsid w:val="00535BD9"/>
    <w:rsid w:val="005460C2"/>
    <w:rsid w:val="005526FB"/>
    <w:rsid w:val="0055280A"/>
    <w:rsid w:val="005548E1"/>
    <w:rsid w:val="0055585D"/>
    <w:rsid w:val="0056127B"/>
    <w:rsid w:val="00561D26"/>
    <w:rsid w:val="00564738"/>
    <w:rsid w:val="00567EC9"/>
    <w:rsid w:val="005707A7"/>
    <w:rsid w:val="00571630"/>
    <w:rsid w:val="00572DF1"/>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0DB"/>
    <w:rsid w:val="005F040F"/>
    <w:rsid w:val="005F2C42"/>
    <w:rsid w:val="006043FC"/>
    <w:rsid w:val="006050CF"/>
    <w:rsid w:val="006253AA"/>
    <w:rsid w:val="00626023"/>
    <w:rsid w:val="00633150"/>
    <w:rsid w:val="00636BFB"/>
    <w:rsid w:val="00637A50"/>
    <w:rsid w:val="00641D6D"/>
    <w:rsid w:val="0064364E"/>
    <w:rsid w:val="006438F3"/>
    <w:rsid w:val="006453D7"/>
    <w:rsid w:val="00647907"/>
    <w:rsid w:val="00651A82"/>
    <w:rsid w:val="006525E9"/>
    <w:rsid w:val="0066747B"/>
    <w:rsid w:val="006725EC"/>
    <w:rsid w:val="00674ED0"/>
    <w:rsid w:val="00682650"/>
    <w:rsid w:val="00683609"/>
    <w:rsid w:val="00684851"/>
    <w:rsid w:val="006933E4"/>
    <w:rsid w:val="00694309"/>
    <w:rsid w:val="00695285"/>
    <w:rsid w:val="00695D50"/>
    <w:rsid w:val="006A0E8A"/>
    <w:rsid w:val="006A6BB4"/>
    <w:rsid w:val="006A7FB0"/>
    <w:rsid w:val="006C2A9A"/>
    <w:rsid w:val="006C423D"/>
    <w:rsid w:val="006C46EF"/>
    <w:rsid w:val="006C4C67"/>
    <w:rsid w:val="006C714B"/>
    <w:rsid w:val="006D1243"/>
    <w:rsid w:val="006D41AB"/>
    <w:rsid w:val="006D444F"/>
    <w:rsid w:val="006F1A15"/>
    <w:rsid w:val="006F3F8B"/>
    <w:rsid w:val="00700488"/>
    <w:rsid w:val="00703404"/>
    <w:rsid w:val="00703F92"/>
    <w:rsid w:val="00704637"/>
    <w:rsid w:val="007105E4"/>
    <w:rsid w:val="00714EE5"/>
    <w:rsid w:val="00717C45"/>
    <w:rsid w:val="00720270"/>
    <w:rsid w:val="00724362"/>
    <w:rsid w:val="00727780"/>
    <w:rsid w:val="0073792C"/>
    <w:rsid w:val="00754069"/>
    <w:rsid w:val="007667DF"/>
    <w:rsid w:val="0077080B"/>
    <w:rsid w:val="00787070"/>
    <w:rsid w:val="007906FD"/>
    <w:rsid w:val="00795D54"/>
    <w:rsid w:val="00797197"/>
    <w:rsid w:val="007972A7"/>
    <w:rsid w:val="007A2BA2"/>
    <w:rsid w:val="007A6245"/>
    <w:rsid w:val="007B1DB2"/>
    <w:rsid w:val="007B375B"/>
    <w:rsid w:val="007B412A"/>
    <w:rsid w:val="007B635E"/>
    <w:rsid w:val="007B7724"/>
    <w:rsid w:val="007B7CDC"/>
    <w:rsid w:val="007C74B4"/>
    <w:rsid w:val="007E30C2"/>
    <w:rsid w:val="007E3412"/>
    <w:rsid w:val="007F393D"/>
    <w:rsid w:val="007F65A8"/>
    <w:rsid w:val="008029AF"/>
    <w:rsid w:val="00802FFA"/>
    <w:rsid w:val="008102E5"/>
    <w:rsid w:val="008111B4"/>
    <w:rsid w:val="008133F0"/>
    <w:rsid w:val="00815880"/>
    <w:rsid w:val="0082322C"/>
    <w:rsid w:val="00823942"/>
    <w:rsid w:val="00827FFD"/>
    <w:rsid w:val="008329C9"/>
    <w:rsid w:val="00854535"/>
    <w:rsid w:val="00856EB3"/>
    <w:rsid w:val="00863C96"/>
    <w:rsid w:val="00864A72"/>
    <w:rsid w:val="00873E9F"/>
    <w:rsid w:val="00874047"/>
    <w:rsid w:val="00876C40"/>
    <w:rsid w:val="008778CB"/>
    <w:rsid w:val="00881545"/>
    <w:rsid w:val="00883A3E"/>
    <w:rsid w:val="0089148D"/>
    <w:rsid w:val="00891E0D"/>
    <w:rsid w:val="008A0F36"/>
    <w:rsid w:val="008B2543"/>
    <w:rsid w:val="008B49B2"/>
    <w:rsid w:val="008B4B6E"/>
    <w:rsid w:val="008D7401"/>
    <w:rsid w:val="008E522B"/>
    <w:rsid w:val="00903DF6"/>
    <w:rsid w:val="00921CF6"/>
    <w:rsid w:val="00924EF0"/>
    <w:rsid w:val="00934D7B"/>
    <w:rsid w:val="00947180"/>
    <w:rsid w:val="00951CA3"/>
    <w:rsid w:val="009567BE"/>
    <w:rsid w:val="009676FA"/>
    <w:rsid w:val="009679E0"/>
    <w:rsid w:val="00973AE1"/>
    <w:rsid w:val="00977632"/>
    <w:rsid w:val="00982A8E"/>
    <w:rsid w:val="00987DB4"/>
    <w:rsid w:val="00996204"/>
    <w:rsid w:val="009A26CB"/>
    <w:rsid w:val="009A2D37"/>
    <w:rsid w:val="009A7587"/>
    <w:rsid w:val="009B0A69"/>
    <w:rsid w:val="009C2474"/>
    <w:rsid w:val="009C3123"/>
    <w:rsid w:val="009C7082"/>
    <w:rsid w:val="009D0006"/>
    <w:rsid w:val="009D068C"/>
    <w:rsid w:val="009F309E"/>
    <w:rsid w:val="009F3A2A"/>
    <w:rsid w:val="009F731F"/>
    <w:rsid w:val="00A020F5"/>
    <w:rsid w:val="00A021FE"/>
    <w:rsid w:val="00A1270E"/>
    <w:rsid w:val="00A15342"/>
    <w:rsid w:val="00A3007E"/>
    <w:rsid w:val="00A32048"/>
    <w:rsid w:val="00A41F06"/>
    <w:rsid w:val="00A4578B"/>
    <w:rsid w:val="00A50FD4"/>
    <w:rsid w:val="00A51C8A"/>
    <w:rsid w:val="00A52DB4"/>
    <w:rsid w:val="00A618E1"/>
    <w:rsid w:val="00A629B9"/>
    <w:rsid w:val="00A70C20"/>
    <w:rsid w:val="00A74292"/>
    <w:rsid w:val="00A776DE"/>
    <w:rsid w:val="00A80640"/>
    <w:rsid w:val="00A87FFD"/>
    <w:rsid w:val="00A97038"/>
    <w:rsid w:val="00AA3C15"/>
    <w:rsid w:val="00AA6330"/>
    <w:rsid w:val="00AC318E"/>
    <w:rsid w:val="00AC7501"/>
    <w:rsid w:val="00AD748B"/>
    <w:rsid w:val="00AE4865"/>
    <w:rsid w:val="00AF50EE"/>
    <w:rsid w:val="00B0591D"/>
    <w:rsid w:val="00B13402"/>
    <w:rsid w:val="00B14BC2"/>
    <w:rsid w:val="00B17024"/>
    <w:rsid w:val="00B17CD2"/>
    <w:rsid w:val="00B213D2"/>
    <w:rsid w:val="00B248BA"/>
    <w:rsid w:val="00B24B56"/>
    <w:rsid w:val="00B30E07"/>
    <w:rsid w:val="00B312E6"/>
    <w:rsid w:val="00B34ADD"/>
    <w:rsid w:val="00B52FF5"/>
    <w:rsid w:val="00B5498B"/>
    <w:rsid w:val="00B57219"/>
    <w:rsid w:val="00B658A3"/>
    <w:rsid w:val="00B746A8"/>
    <w:rsid w:val="00B7664D"/>
    <w:rsid w:val="00B80989"/>
    <w:rsid w:val="00B9109B"/>
    <w:rsid w:val="00B927AE"/>
    <w:rsid w:val="00B93721"/>
    <w:rsid w:val="00B937B1"/>
    <w:rsid w:val="00B955D3"/>
    <w:rsid w:val="00BA0EF0"/>
    <w:rsid w:val="00BA453C"/>
    <w:rsid w:val="00BA4E02"/>
    <w:rsid w:val="00BB2A6D"/>
    <w:rsid w:val="00BB4189"/>
    <w:rsid w:val="00BB7C3E"/>
    <w:rsid w:val="00BC19F7"/>
    <w:rsid w:val="00BC41ED"/>
    <w:rsid w:val="00BD009E"/>
    <w:rsid w:val="00BD0EF8"/>
    <w:rsid w:val="00BD7A8C"/>
    <w:rsid w:val="00BE2126"/>
    <w:rsid w:val="00BE3B17"/>
    <w:rsid w:val="00BE7183"/>
    <w:rsid w:val="00BF51AB"/>
    <w:rsid w:val="00BF716B"/>
    <w:rsid w:val="00BF7233"/>
    <w:rsid w:val="00C02AA2"/>
    <w:rsid w:val="00C04C95"/>
    <w:rsid w:val="00C05E6E"/>
    <w:rsid w:val="00C06A48"/>
    <w:rsid w:val="00C12613"/>
    <w:rsid w:val="00C16DEF"/>
    <w:rsid w:val="00C2492F"/>
    <w:rsid w:val="00C33D78"/>
    <w:rsid w:val="00C3744A"/>
    <w:rsid w:val="00C4002A"/>
    <w:rsid w:val="00C46912"/>
    <w:rsid w:val="00C612A8"/>
    <w:rsid w:val="00C67631"/>
    <w:rsid w:val="00C729D7"/>
    <w:rsid w:val="00C83354"/>
    <w:rsid w:val="00C84004"/>
    <w:rsid w:val="00C843F6"/>
    <w:rsid w:val="00C84507"/>
    <w:rsid w:val="00C862C7"/>
    <w:rsid w:val="00C93430"/>
    <w:rsid w:val="00CA3254"/>
    <w:rsid w:val="00CB11CE"/>
    <w:rsid w:val="00CC25A2"/>
    <w:rsid w:val="00CD7F07"/>
    <w:rsid w:val="00CE04F3"/>
    <w:rsid w:val="00CE12D8"/>
    <w:rsid w:val="00CE4574"/>
    <w:rsid w:val="00CE70E6"/>
    <w:rsid w:val="00CF2E1E"/>
    <w:rsid w:val="00D02E99"/>
    <w:rsid w:val="00D03828"/>
    <w:rsid w:val="00D042AC"/>
    <w:rsid w:val="00D13357"/>
    <w:rsid w:val="00D13A13"/>
    <w:rsid w:val="00D2689A"/>
    <w:rsid w:val="00D6189B"/>
    <w:rsid w:val="00D65506"/>
    <w:rsid w:val="00D773CF"/>
    <w:rsid w:val="00D83563"/>
    <w:rsid w:val="00D8448F"/>
    <w:rsid w:val="00DA3F7A"/>
    <w:rsid w:val="00DA64B6"/>
    <w:rsid w:val="00DB5C9D"/>
    <w:rsid w:val="00DC7BAC"/>
    <w:rsid w:val="00DD02E6"/>
    <w:rsid w:val="00DD4C7E"/>
    <w:rsid w:val="00DD50C6"/>
    <w:rsid w:val="00DE08A2"/>
    <w:rsid w:val="00DF282A"/>
    <w:rsid w:val="00DF5D3C"/>
    <w:rsid w:val="00DF665B"/>
    <w:rsid w:val="00E0152A"/>
    <w:rsid w:val="00E03394"/>
    <w:rsid w:val="00E0438E"/>
    <w:rsid w:val="00E058AA"/>
    <w:rsid w:val="00E066E5"/>
    <w:rsid w:val="00E22F03"/>
    <w:rsid w:val="00E233C1"/>
    <w:rsid w:val="00E51404"/>
    <w:rsid w:val="00E574C9"/>
    <w:rsid w:val="00E610DE"/>
    <w:rsid w:val="00E66167"/>
    <w:rsid w:val="00E6799B"/>
    <w:rsid w:val="00E67C91"/>
    <w:rsid w:val="00E71F2F"/>
    <w:rsid w:val="00E77786"/>
    <w:rsid w:val="00E806FB"/>
    <w:rsid w:val="00EA5887"/>
    <w:rsid w:val="00EB1C2D"/>
    <w:rsid w:val="00EC1810"/>
    <w:rsid w:val="00EC3FCC"/>
    <w:rsid w:val="00EC7C12"/>
    <w:rsid w:val="00ED32FF"/>
    <w:rsid w:val="00EE1810"/>
    <w:rsid w:val="00EE3A11"/>
    <w:rsid w:val="00EF039B"/>
    <w:rsid w:val="00EF4933"/>
    <w:rsid w:val="00EF5044"/>
    <w:rsid w:val="00F01228"/>
    <w:rsid w:val="00F01956"/>
    <w:rsid w:val="00F116CE"/>
    <w:rsid w:val="00F15130"/>
    <w:rsid w:val="00F176DE"/>
    <w:rsid w:val="00F21332"/>
    <w:rsid w:val="00F21C47"/>
    <w:rsid w:val="00F244E2"/>
    <w:rsid w:val="00F340DE"/>
    <w:rsid w:val="00F429B6"/>
    <w:rsid w:val="00F43542"/>
    <w:rsid w:val="00F527CB"/>
    <w:rsid w:val="00F52D02"/>
    <w:rsid w:val="00F562AA"/>
    <w:rsid w:val="00F7105A"/>
    <w:rsid w:val="00F75333"/>
    <w:rsid w:val="00F77676"/>
    <w:rsid w:val="00F8197C"/>
    <w:rsid w:val="00F82B4E"/>
    <w:rsid w:val="00F87559"/>
    <w:rsid w:val="00F96D71"/>
    <w:rsid w:val="00F97C9E"/>
    <w:rsid w:val="00FA20DE"/>
    <w:rsid w:val="00FA4EE8"/>
    <w:rsid w:val="00FB12CA"/>
    <w:rsid w:val="00FB36EC"/>
    <w:rsid w:val="00FB4E1B"/>
    <w:rsid w:val="00FC0291"/>
    <w:rsid w:val="00FC13CB"/>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E4B866B"/>
  <w15:chartTrackingRefBased/>
  <w15:docId w15:val="{41252348-404E-4333-A155-D7F60091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MS Mincho"/>
      <w:sz w:val="22"/>
      <w:szCs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MS Mincho"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styleId="MediumGrid1-Accent2">
    <w:name w:val="Medium Grid 1 Accent 2"/>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MS Mincho"/>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MS Mincho"/>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MS Mincho"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MS Mincho"/>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MS Mincho"/>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paragraph" w:styleId="ColorfulList-Accent1">
    <w:name w:val="Colorful List Accent 1"/>
    <w:basedOn w:val="Normal"/>
    <w:uiPriority w:val="72"/>
    <w:qFormat/>
    <w:rsid w:val="00AC318E"/>
    <w:pPr>
      <w:ind w:left="720"/>
    </w:pPr>
  </w:style>
  <w:style w:type="paragraph" w:styleId="ListParagraph">
    <w:name w:val="List Paragraph"/>
    <w:basedOn w:val="Normal"/>
    <w:uiPriority w:val="34"/>
    <w:qFormat/>
    <w:rsid w:val="005F00D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2725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08F5D-06EF-451A-AF5D-726CE06A7A58}">
  <ds:schemaRefs>
    <ds:schemaRef ds:uri="http://schemas.microsoft.com/sharepoint/v3/contenttype/forms"/>
  </ds:schemaRefs>
</ds:datastoreItem>
</file>

<file path=customXml/itemProps2.xml><?xml version="1.0" encoding="utf-8"?>
<ds:datastoreItem xmlns:ds="http://schemas.openxmlformats.org/officeDocument/2006/customXml" ds:itemID="{998C1935-8AAC-41BE-B074-280BBFB5FBEF}">
  <ds:schemaRefs>
    <ds:schemaRef ds:uri="http://schemas.openxmlformats.org/officeDocument/2006/bibliography"/>
  </ds:schemaRefs>
</ds:datastoreItem>
</file>

<file path=customXml/itemProps3.xml><?xml version="1.0" encoding="utf-8"?>
<ds:datastoreItem xmlns:ds="http://schemas.openxmlformats.org/officeDocument/2006/customXml" ds:itemID="{072AADBE-85B2-46FA-B2D9-7BA80A4E0E4D}"/>
</file>

<file path=customXml/itemProps4.xml><?xml version="1.0" encoding="utf-8"?>
<ds:datastoreItem xmlns:ds="http://schemas.openxmlformats.org/officeDocument/2006/customXml" ds:itemID="{F535C50A-6ED2-44A0-9CD3-2AEBAD8CD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Daiva Nacyte</cp:lastModifiedBy>
  <cp:revision>2</cp:revision>
  <cp:lastPrinted>2017-11-02T13:47:00Z</cp:lastPrinted>
  <dcterms:created xsi:type="dcterms:W3CDTF">2021-03-12T13:08:00Z</dcterms:created>
  <dcterms:modified xsi:type="dcterms:W3CDTF">2021-03-12T13:08:00Z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