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1A890487" w:rsidR="00DC490D" w:rsidRPr="00BB159E" w:rsidRDefault="00BB159E" w:rsidP="001A24FF">
      <w:pPr>
        <w:spacing w:after="120" w:line="240" w:lineRule="auto"/>
        <w:ind w:left="720" w:right="543"/>
        <w:jc w:val="both"/>
        <w:rPr>
          <w:rFonts w:ascii="Arial" w:hAnsi="Arial" w:cs="Arial"/>
          <w:iCs/>
          <w:sz w:val="24"/>
          <w:szCs w:val="24"/>
        </w:rPr>
      </w:pPr>
      <w:r>
        <w:rPr>
          <w:rFonts w:ascii="Arial" w:hAnsi="Arial" w:cs="Arial"/>
          <w:sz w:val="24"/>
          <w:szCs w:val="24"/>
        </w:rPr>
        <w:t>LING</w:t>
      </w:r>
      <w:r w:rsidR="00D84E2A">
        <w:rPr>
          <w:rFonts w:ascii="Arial" w:hAnsi="Arial" w:cs="Arial"/>
          <w:sz w:val="24"/>
          <w:szCs w:val="24"/>
        </w:rPr>
        <w:t>5002</w:t>
      </w:r>
      <w:r>
        <w:rPr>
          <w:rFonts w:ascii="Arial" w:hAnsi="Arial" w:cs="Arial"/>
          <w:sz w:val="24"/>
          <w:szCs w:val="24"/>
        </w:rPr>
        <w:t xml:space="preserve"> Language </w:t>
      </w:r>
      <w:r w:rsidR="00C26C4D">
        <w:rPr>
          <w:rFonts w:ascii="Arial" w:hAnsi="Arial" w:cs="Arial"/>
          <w:sz w:val="24"/>
          <w:szCs w:val="24"/>
        </w:rPr>
        <w:t>of Gaming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C4C19BF" w:rsidR="009A2D37" w:rsidRPr="00BB159E" w:rsidRDefault="00BB159E" w:rsidP="001A24FF">
      <w:pPr>
        <w:spacing w:after="120" w:line="240" w:lineRule="auto"/>
        <w:ind w:left="720" w:right="543"/>
        <w:jc w:val="both"/>
        <w:rPr>
          <w:rFonts w:ascii="Arial" w:hAnsi="Arial" w:cs="Arial"/>
          <w:sz w:val="24"/>
          <w:szCs w:val="24"/>
        </w:rPr>
      </w:pPr>
      <w:r w:rsidRPr="00BB159E">
        <w:rPr>
          <w:rFonts w:ascii="Arial" w:hAnsi="Arial" w:cs="Arial"/>
          <w:sz w:val="24"/>
          <w:szCs w:val="24"/>
        </w:rPr>
        <w:t>Arts &amp; Humanities, School of Culture and Languages (English Language and Linguistics)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C26659" w:rsidR="009A2D37" w:rsidRDefault="00BB159E" w:rsidP="001A24FF">
      <w:pPr>
        <w:spacing w:after="120" w:line="240" w:lineRule="auto"/>
        <w:ind w:left="720" w:right="543"/>
        <w:jc w:val="both"/>
        <w:rPr>
          <w:rFonts w:ascii="Arial" w:hAnsi="Arial" w:cs="Arial"/>
          <w:iCs/>
          <w:sz w:val="24"/>
          <w:szCs w:val="24"/>
        </w:rPr>
      </w:pPr>
      <w:r w:rsidRPr="00BB159E">
        <w:rPr>
          <w:rFonts w:ascii="Arial" w:hAnsi="Arial" w:cs="Arial"/>
          <w:iCs/>
          <w:sz w:val="24"/>
          <w:szCs w:val="24"/>
        </w:rPr>
        <w:t>Level 5</w:t>
      </w:r>
    </w:p>
    <w:p w14:paraId="11DD5999" w14:textId="77777777" w:rsidR="001A24FF" w:rsidRPr="00BB159E" w:rsidRDefault="001A24FF" w:rsidP="001A24FF">
      <w:pPr>
        <w:spacing w:after="120" w:line="240" w:lineRule="auto"/>
        <w:ind w:left="720"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50C0335" w:rsidR="00694B52" w:rsidRDefault="00DC490D" w:rsidP="001A24FF">
      <w:pPr>
        <w:spacing w:after="120" w:line="240" w:lineRule="auto"/>
        <w:ind w:left="720" w:right="543"/>
        <w:rPr>
          <w:rFonts w:ascii="Arial" w:hAnsi="Arial" w:cs="Arial"/>
          <w:iCs/>
          <w:sz w:val="24"/>
          <w:szCs w:val="24"/>
        </w:rPr>
      </w:pPr>
      <w:r w:rsidRPr="00BB159E">
        <w:rPr>
          <w:rFonts w:ascii="Arial" w:hAnsi="Arial" w:cs="Arial"/>
          <w:iCs/>
          <w:sz w:val="24"/>
          <w:szCs w:val="24"/>
        </w:rPr>
        <w:t>15 credits (7.5 ECTS)</w:t>
      </w:r>
    </w:p>
    <w:p w14:paraId="48E3FCD8" w14:textId="77777777" w:rsidR="001A24FF" w:rsidRDefault="001A24FF"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03513DD5" w:rsidR="00694B52" w:rsidRDefault="00BB159E" w:rsidP="001A24FF">
      <w:pPr>
        <w:spacing w:after="120" w:line="240" w:lineRule="auto"/>
        <w:ind w:left="720" w:right="543"/>
        <w:rPr>
          <w:rFonts w:ascii="Arial" w:hAnsi="Arial" w:cs="Arial"/>
          <w:sz w:val="24"/>
          <w:szCs w:val="24"/>
        </w:rPr>
      </w:pPr>
      <w:r>
        <w:rPr>
          <w:rFonts w:ascii="Arial" w:hAnsi="Arial" w:cs="Arial"/>
          <w:sz w:val="24"/>
          <w:szCs w:val="24"/>
        </w:rPr>
        <w:t xml:space="preserve">Autumn or </w:t>
      </w:r>
      <w:proofErr w:type="gramStart"/>
      <w:r>
        <w:rPr>
          <w:rFonts w:ascii="Arial" w:hAnsi="Arial" w:cs="Arial"/>
          <w:sz w:val="24"/>
          <w:szCs w:val="24"/>
        </w:rPr>
        <w:t>Spring</w:t>
      </w:r>
      <w:proofErr w:type="gramEnd"/>
      <w:r>
        <w:rPr>
          <w:rFonts w:ascii="Arial" w:hAnsi="Arial" w:cs="Arial"/>
          <w:sz w:val="24"/>
          <w:szCs w:val="24"/>
        </w:rPr>
        <w:t xml:space="preserve"> </w:t>
      </w:r>
    </w:p>
    <w:p w14:paraId="5EBDBF29" w14:textId="77777777" w:rsidR="001A24FF" w:rsidRPr="00BB159E" w:rsidRDefault="001A24FF" w:rsidP="00B72642">
      <w:pPr>
        <w:spacing w:after="120" w:line="240" w:lineRule="auto"/>
        <w:ind w:left="567"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12A1966" w:rsidR="00694B52" w:rsidRDefault="00BB159E" w:rsidP="001A24FF">
      <w:pPr>
        <w:spacing w:after="120" w:line="240" w:lineRule="auto"/>
        <w:ind w:left="720" w:right="543"/>
        <w:rPr>
          <w:rFonts w:ascii="Arial" w:hAnsi="Arial" w:cs="Arial"/>
          <w:bCs/>
          <w:iCs/>
          <w:sz w:val="24"/>
          <w:szCs w:val="24"/>
        </w:rPr>
      </w:pPr>
      <w:r>
        <w:rPr>
          <w:rFonts w:ascii="Arial" w:hAnsi="Arial" w:cs="Arial"/>
          <w:bCs/>
          <w:iCs/>
          <w:sz w:val="24"/>
          <w:szCs w:val="24"/>
        </w:rPr>
        <w:t>None</w:t>
      </w:r>
    </w:p>
    <w:p w14:paraId="571D4348" w14:textId="77777777" w:rsidR="007C6D95" w:rsidRPr="00BB159E" w:rsidRDefault="007C6D95" w:rsidP="001A24FF">
      <w:pPr>
        <w:spacing w:after="120" w:line="240" w:lineRule="auto"/>
        <w:ind w:left="720"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26CE1D0" w:rsidR="00E1736E" w:rsidRDefault="00E1736E" w:rsidP="001A24FF">
      <w:pPr>
        <w:spacing w:after="120" w:line="240" w:lineRule="auto"/>
        <w:ind w:left="720" w:right="543"/>
        <w:rPr>
          <w:rFonts w:ascii="Arial" w:hAnsi="Arial" w:cs="Arial"/>
          <w:iCs/>
          <w:sz w:val="24"/>
          <w:szCs w:val="24"/>
        </w:rPr>
      </w:pPr>
      <w:r>
        <w:rPr>
          <w:rFonts w:ascii="Arial" w:hAnsi="Arial" w:cs="Arial"/>
          <w:iCs/>
          <w:sz w:val="24"/>
          <w:szCs w:val="24"/>
        </w:rPr>
        <w:t>Optional to the following courses:</w:t>
      </w:r>
      <w:r w:rsidR="00BB159E">
        <w:rPr>
          <w:rFonts w:ascii="Arial" w:hAnsi="Arial" w:cs="Arial"/>
          <w:iCs/>
          <w:sz w:val="24"/>
          <w:szCs w:val="24"/>
        </w:rPr>
        <w:t xml:space="preserve"> BA</w:t>
      </w:r>
      <w:r w:rsidR="007C6D95">
        <w:rPr>
          <w:rFonts w:ascii="Arial" w:hAnsi="Arial" w:cs="Arial"/>
          <w:iCs/>
          <w:sz w:val="24"/>
          <w:szCs w:val="24"/>
        </w:rPr>
        <w:t xml:space="preserve"> </w:t>
      </w:r>
      <w:r w:rsidR="00BB159E">
        <w:rPr>
          <w:rFonts w:ascii="Arial" w:hAnsi="Arial" w:cs="Arial"/>
          <w:iCs/>
          <w:sz w:val="24"/>
          <w:szCs w:val="24"/>
        </w:rPr>
        <w:t xml:space="preserve">(Hons) English Language and Linguistics </w:t>
      </w:r>
    </w:p>
    <w:p w14:paraId="119D9EC5" w14:textId="29FB66BE" w:rsidR="00E1736E" w:rsidRDefault="00E1736E" w:rsidP="001A24FF">
      <w:pPr>
        <w:spacing w:after="120" w:line="240" w:lineRule="auto"/>
        <w:ind w:left="720"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25522CB"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4794165" w14:textId="2142BF32" w:rsidR="00B72642" w:rsidRPr="00B72642" w:rsidRDefault="00B72642" w:rsidP="00B72642">
      <w:pPr>
        <w:spacing w:after="120" w:line="240" w:lineRule="auto"/>
        <w:ind w:left="1418" w:right="260" w:hanging="567"/>
        <w:jc w:val="both"/>
        <w:rPr>
          <w:rFonts w:ascii="Arial" w:hAnsi="Arial" w:cs="Arial"/>
          <w:color w:val="000000" w:themeColor="text1"/>
          <w:sz w:val="24"/>
          <w:szCs w:val="24"/>
        </w:rPr>
      </w:pPr>
      <w:r w:rsidRPr="007C6D95">
        <w:rPr>
          <w:rFonts w:ascii="Arial" w:hAnsi="Arial" w:cs="Arial"/>
          <w:color w:val="000000" w:themeColor="text1"/>
          <w:sz w:val="24"/>
          <w:szCs w:val="24"/>
        </w:rPr>
        <w:t>8.1</w:t>
      </w:r>
      <w:r>
        <w:rPr>
          <w:rFonts w:ascii="Arial" w:hAnsi="Arial" w:cs="Arial"/>
          <w:color w:val="000000" w:themeColor="text1"/>
        </w:rPr>
        <w:tab/>
      </w:r>
      <w:r w:rsidRPr="00B72642">
        <w:rPr>
          <w:rFonts w:ascii="Arial" w:hAnsi="Arial" w:cs="Arial"/>
          <w:color w:val="000000" w:themeColor="text1"/>
          <w:sz w:val="24"/>
          <w:szCs w:val="24"/>
        </w:rPr>
        <w:t>Demonstrate knowledge and critical understanding of key narratology, ludology, and linguistic theories (</w:t>
      </w:r>
      <w:proofErr w:type="spellStart"/>
      <w:r w:rsidRPr="00B72642">
        <w:rPr>
          <w:rFonts w:ascii="Arial" w:hAnsi="Arial" w:cs="Arial"/>
          <w:color w:val="000000" w:themeColor="text1"/>
          <w:sz w:val="24"/>
          <w:szCs w:val="24"/>
        </w:rPr>
        <w:t>storyworlds</w:t>
      </w:r>
      <w:proofErr w:type="spellEnd"/>
      <w:r w:rsidRPr="00B72642">
        <w:rPr>
          <w:rFonts w:ascii="Arial" w:hAnsi="Arial" w:cs="Arial"/>
          <w:color w:val="000000" w:themeColor="text1"/>
          <w:sz w:val="24"/>
          <w:szCs w:val="24"/>
        </w:rPr>
        <w:t>, intertextuality, genre theory, semiotics) coming to a systematic understanding of key aspects of this field;</w:t>
      </w:r>
    </w:p>
    <w:p w14:paraId="4288F788" w14:textId="77777777" w:rsidR="005D1954" w:rsidRPr="00B72642" w:rsidRDefault="005D1954" w:rsidP="005D1954">
      <w:pPr>
        <w:spacing w:after="120" w:line="240" w:lineRule="auto"/>
        <w:ind w:left="1418" w:right="260" w:hanging="567"/>
        <w:jc w:val="both"/>
        <w:rPr>
          <w:rFonts w:ascii="Arial" w:hAnsi="Arial" w:cs="Arial"/>
          <w:color w:val="000000" w:themeColor="text1"/>
          <w:sz w:val="24"/>
          <w:szCs w:val="24"/>
        </w:rPr>
      </w:pPr>
      <w:r w:rsidRPr="00B72642">
        <w:rPr>
          <w:rFonts w:ascii="Arial" w:hAnsi="Arial" w:cs="Arial"/>
          <w:color w:val="000000" w:themeColor="text1"/>
          <w:sz w:val="24"/>
          <w:szCs w:val="24"/>
        </w:rPr>
        <w:t>8.2</w:t>
      </w:r>
      <w:r w:rsidRPr="00B72642">
        <w:rPr>
          <w:rFonts w:ascii="Arial" w:hAnsi="Arial" w:cs="Arial"/>
          <w:color w:val="000000" w:themeColor="text1"/>
          <w:sz w:val="24"/>
          <w:szCs w:val="24"/>
        </w:rPr>
        <w:tab/>
        <w:t>Demonstrate knowledge and critical understanding of the related fields of game studies and literary studies where they are relevant (</w:t>
      </w:r>
      <w:proofErr w:type="spellStart"/>
      <w:r w:rsidRPr="00B72642">
        <w:rPr>
          <w:rFonts w:ascii="Arial" w:hAnsi="Arial" w:cs="Arial"/>
          <w:color w:val="000000" w:themeColor="text1"/>
          <w:sz w:val="24"/>
          <w:szCs w:val="24"/>
        </w:rPr>
        <w:t>ludostylistics</w:t>
      </w:r>
      <w:proofErr w:type="spellEnd"/>
      <w:r w:rsidRPr="00B72642">
        <w:rPr>
          <w:rFonts w:ascii="Arial" w:hAnsi="Arial" w:cs="Arial"/>
          <w:color w:val="000000" w:themeColor="text1"/>
          <w:sz w:val="24"/>
          <w:szCs w:val="24"/>
        </w:rPr>
        <w:t>, immersion and attention);</w:t>
      </w:r>
    </w:p>
    <w:p w14:paraId="1B8CE7B6" w14:textId="77777777" w:rsidR="005D1954" w:rsidRPr="00B72642" w:rsidRDefault="005D1954" w:rsidP="005D1954">
      <w:pPr>
        <w:spacing w:after="120" w:line="240" w:lineRule="auto"/>
        <w:ind w:left="1418" w:right="260" w:hanging="567"/>
        <w:jc w:val="both"/>
        <w:rPr>
          <w:rFonts w:ascii="Arial" w:hAnsi="Arial" w:cs="Arial"/>
          <w:color w:val="000000" w:themeColor="text1"/>
          <w:sz w:val="24"/>
          <w:szCs w:val="24"/>
        </w:rPr>
      </w:pPr>
      <w:r w:rsidRPr="00B72642">
        <w:rPr>
          <w:rFonts w:ascii="Arial" w:hAnsi="Arial" w:cs="Arial"/>
          <w:color w:val="000000" w:themeColor="text1"/>
          <w:sz w:val="24"/>
          <w:szCs w:val="24"/>
        </w:rPr>
        <w:t>8.3</w:t>
      </w:r>
      <w:r w:rsidRPr="00B72642">
        <w:rPr>
          <w:rFonts w:ascii="Arial" w:hAnsi="Arial" w:cs="Arial"/>
          <w:color w:val="000000" w:themeColor="text1"/>
          <w:sz w:val="24"/>
          <w:szCs w:val="24"/>
        </w:rPr>
        <w:tab/>
        <w:t>Accurately carry out detailed analysis of a range of videogame discourse genres (including narrative design, world building, emergent player narratives) demonstrating cogent application of the particular linguistic approach under discussion;</w:t>
      </w:r>
    </w:p>
    <w:p w14:paraId="07A1F9A7" w14:textId="77777777" w:rsidR="005D1954" w:rsidRPr="00B72642" w:rsidRDefault="005D1954" w:rsidP="005D1954">
      <w:pPr>
        <w:spacing w:after="120" w:line="240" w:lineRule="auto"/>
        <w:ind w:left="1418" w:right="260" w:hanging="567"/>
        <w:jc w:val="both"/>
        <w:rPr>
          <w:rFonts w:ascii="Arial" w:hAnsi="Arial" w:cs="Arial"/>
          <w:color w:val="000000" w:themeColor="text1"/>
          <w:sz w:val="24"/>
          <w:szCs w:val="24"/>
        </w:rPr>
      </w:pPr>
      <w:r w:rsidRPr="00B72642">
        <w:rPr>
          <w:rFonts w:ascii="Arial" w:hAnsi="Arial" w:cs="Arial"/>
          <w:color w:val="000000" w:themeColor="text1"/>
          <w:sz w:val="24"/>
          <w:szCs w:val="24"/>
        </w:rPr>
        <w:t>8.4</w:t>
      </w:r>
      <w:r w:rsidRPr="00B72642">
        <w:rPr>
          <w:rFonts w:ascii="Arial" w:hAnsi="Arial" w:cs="Arial"/>
          <w:color w:val="000000" w:themeColor="text1"/>
          <w:sz w:val="24"/>
          <w:szCs w:val="24"/>
        </w:rPr>
        <w:tab/>
        <w:t xml:space="preserve">Use narrative, ludology, and linguistic theory and related scholarly apparatus to make informed critical and evaluative judgments about a wide range of videogames, </w:t>
      </w:r>
      <w:r w:rsidRPr="00B72642">
        <w:rPr>
          <w:rFonts w:ascii="Arial" w:hAnsi="Arial" w:cs="Arial"/>
          <w:color w:val="000000" w:themeColor="text1"/>
          <w:sz w:val="24"/>
          <w:szCs w:val="24"/>
        </w:rPr>
        <w:lastRenderedPageBreak/>
        <w:t>and be able to make use of this knowledge outside of the contexts in which it was first encountered;</w:t>
      </w:r>
    </w:p>
    <w:p w14:paraId="6BF3288C" w14:textId="77777777" w:rsidR="005D1954" w:rsidRPr="00B72642" w:rsidRDefault="005D1954" w:rsidP="005D1954">
      <w:pPr>
        <w:spacing w:after="120" w:line="240" w:lineRule="auto"/>
        <w:ind w:left="1418" w:right="260" w:hanging="567"/>
        <w:jc w:val="both"/>
        <w:rPr>
          <w:rFonts w:ascii="Arial" w:hAnsi="Arial" w:cs="Arial"/>
          <w:color w:val="000000" w:themeColor="text1"/>
          <w:sz w:val="24"/>
          <w:szCs w:val="24"/>
        </w:rPr>
      </w:pPr>
      <w:r w:rsidRPr="00B72642">
        <w:rPr>
          <w:rFonts w:ascii="Arial" w:hAnsi="Arial" w:cs="Arial"/>
          <w:color w:val="000000" w:themeColor="text1"/>
          <w:sz w:val="24"/>
          <w:szCs w:val="24"/>
        </w:rPr>
        <w:t>8.5</w:t>
      </w:r>
      <w:r w:rsidRPr="00B72642">
        <w:rPr>
          <w:rFonts w:ascii="Arial" w:hAnsi="Arial" w:cs="Arial"/>
          <w:color w:val="000000" w:themeColor="text1"/>
          <w:sz w:val="24"/>
          <w:szCs w:val="24"/>
        </w:rPr>
        <w:tab/>
        <w:t>Understand how theoretical approaches to the videogame industry impact on a wide range of themes and topics, for example: genre, narrative, and concepts of culture and community, gender, politics and ideology, identity;</w:t>
      </w:r>
    </w:p>
    <w:p w14:paraId="6A677B7E" w14:textId="77777777" w:rsidR="005D1954" w:rsidRPr="00B72642" w:rsidRDefault="005D1954" w:rsidP="005D1954">
      <w:pPr>
        <w:spacing w:after="120" w:line="240" w:lineRule="auto"/>
        <w:ind w:left="1418" w:right="260" w:hanging="567"/>
        <w:jc w:val="both"/>
        <w:rPr>
          <w:rFonts w:ascii="Arial" w:hAnsi="Arial" w:cs="Arial"/>
          <w:color w:val="000000" w:themeColor="text1"/>
          <w:sz w:val="24"/>
          <w:szCs w:val="24"/>
        </w:rPr>
      </w:pPr>
      <w:r w:rsidRPr="007C6D95">
        <w:rPr>
          <w:rFonts w:ascii="Arial" w:hAnsi="Arial" w:cs="Arial"/>
          <w:color w:val="000000" w:themeColor="text1"/>
          <w:sz w:val="24"/>
          <w:szCs w:val="24"/>
        </w:rPr>
        <w:t>8.6</w:t>
      </w:r>
      <w:r w:rsidRPr="00083442">
        <w:rPr>
          <w:rFonts w:ascii="Arial" w:hAnsi="Arial" w:cs="Arial"/>
          <w:color w:val="000000" w:themeColor="text1"/>
        </w:rPr>
        <w:tab/>
      </w:r>
      <w:r w:rsidRPr="00B72642">
        <w:rPr>
          <w:rFonts w:ascii="Arial" w:hAnsi="Arial" w:cs="Arial"/>
          <w:color w:val="000000" w:themeColor="text1"/>
          <w:sz w:val="24"/>
          <w:szCs w:val="24"/>
        </w:rPr>
        <w:t>Appreciate how their own knowledge and cultural background contributes to their understanding of media discourse.</w:t>
      </w:r>
    </w:p>
    <w:p w14:paraId="4DF406C0" w14:textId="77777777" w:rsidR="00A15631" w:rsidRPr="008D4447" w:rsidRDefault="00A15631" w:rsidP="009D52D0">
      <w:pPr>
        <w:spacing w:after="120" w:line="240" w:lineRule="auto"/>
        <w:ind w:left="426" w:right="543"/>
        <w:rPr>
          <w:rFonts w:ascii="Arial" w:hAnsi="Arial" w:cs="Arial"/>
          <w:b/>
          <w:sz w:val="24"/>
          <w:szCs w:val="24"/>
        </w:rPr>
      </w:pPr>
    </w:p>
    <w:p w14:paraId="035A14B0" w14:textId="7BD6A2D6"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F37FEC2" w14:textId="77777777" w:rsidR="00046104" w:rsidRPr="00731F77" w:rsidRDefault="00046104" w:rsidP="00046104">
      <w:pPr>
        <w:spacing w:after="120" w:line="240" w:lineRule="auto"/>
        <w:ind w:left="1418" w:right="260" w:hanging="567"/>
        <w:jc w:val="both"/>
        <w:rPr>
          <w:rFonts w:ascii="Arial" w:hAnsi="Arial" w:cs="Arial"/>
          <w:sz w:val="24"/>
          <w:szCs w:val="24"/>
        </w:rPr>
      </w:pPr>
      <w:r w:rsidRPr="007C6D95">
        <w:rPr>
          <w:rFonts w:ascii="Arial" w:hAnsi="Arial" w:cs="Arial"/>
          <w:sz w:val="24"/>
          <w:szCs w:val="24"/>
        </w:rPr>
        <w:t>9.1</w:t>
      </w:r>
      <w:r w:rsidRPr="007E7BF5">
        <w:rPr>
          <w:rFonts w:ascii="Arial" w:hAnsi="Arial" w:cs="Arial"/>
        </w:rPr>
        <w:tab/>
      </w:r>
      <w:r w:rsidRPr="00731F77">
        <w:rPr>
          <w:rFonts w:ascii="Arial" w:hAnsi="Arial" w:cs="Arial"/>
          <w:sz w:val="24"/>
          <w:szCs w:val="24"/>
        </w:rPr>
        <w:t>Engage in critical reflection, verbal discussion and written analysis and devise and sustain arguments relating to these analyses;</w:t>
      </w:r>
    </w:p>
    <w:p w14:paraId="52353D67" w14:textId="77777777" w:rsidR="00046104" w:rsidRPr="00731F77" w:rsidRDefault="00046104" w:rsidP="00046104">
      <w:pPr>
        <w:spacing w:after="120" w:line="240" w:lineRule="auto"/>
        <w:ind w:left="1418" w:right="260" w:hanging="567"/>
        <w:jc w:val="both"/>
        <w:rPr>
          <w:rFonts w:ascii="Arial" w:hAnsi="Arial" w:cs="Arial"/>
          <w:sz w:val="24"/>
          <w:szCs w:val="24"/>
        </w:rPr>
      </w:pPr>
      <w:r w:rsidRPr="00731F77">
        <w:rPr>
          <w:rFonts w:ascii="Arial" w:hAnsi="Arial" w:cs="Arial"/>
          <w:sz w:val="24"/>
          <w:szCs w:val="24"/>
        </w:rPr>
        <w:t>9.2</w:t>
      </w:r>
      <w:r w:rsidRPr="00731F77">
        <w:rPr>
          <w:rFonts w:ascii="Arial" w:hAnsi="Arial" w:cs="Arial"/>
          <w:sz w:val="24"/>
          <w:szCs w:val="24"/>
        </w:rPr>
        <w:tab/>
        <w:t>Make judgments about the appropriateness of different theoretical approaches and evaluate the efficacy of such approaches;</w:t>
      </w:r>
    </w:p>
    <w:p w14:paraId="5F818C08" w14:textId="77777777" w:rsidR="00046104" w:rsidRPr="00731F77" w:rsidRDefault="00046104" w:rsidP="00046104">
      <w:pPr>
        <w:spacing w:after="120" w:line="240" w:lineRule="auto"/>
        <w:ind w:left="1418" w:right="260" w:hanging="567"/>
        <w:jc w:val="both"/>
        <w:rPr>
          <w:rFonts w:ascii="Arial" w:hAnsi="Arial" w:cs="Arial"/>
          <w:sz w:val="24"/>
          <w:szCs w:val="24"/>
        </w:rPr>
      </w:pPr>
      <w:r w:rsidRPr="00731F77">
        <w:rPr>
          <w:rFonts w:ascii="Arial" w:hAnsi="Arial" w:cs="Arial"/>
          <w:sz w:val="24"/>
          <w:szCs w:val="24"/>
        </w:rPr>
        <w:t>9.3</w:t>
      </w:r>
      <w:r w:rsidRPr="00731F77">
        <w:rPr>
          <w:rFonts w:ascii="Arial" w:hAnsi="Arial" w:cs="Arial"/>
          <w:sz w:val="24"/>
          <w:szCs w:val="24"/>
        </w:rPr>
        <w:tab/>
        <w:t>Demonstrate the ability to undertake independent learning (exercising initiative and personal responsibility) and reflect critically on their own academic work;</w:t>
      </w:r>
    </w:p>
    <w:p w14:paraId="07E5F32A" w14:textId="77777777" w:rsidR="00046104" w:rsidRPr="00731F77" w:rsidRDefault="00046104" w:rsidP="00046104">
      <w:pPr>
        <w:spacing w:after="120" w:line="240" w:lineRule="auto"/>
        <w:ind w:left="1418" w:right="260" w:hanging="567"/>
        <w:jc w:val="both"/>
        <w:rPr>
          <w:rFonts w:ascii="Arial" w:hAnsi="Arial" w:cs="Arial"/>
          <w:sz w:val="24"/>
          <w:szCs w:val="24"/>
        </w:rPr>
      </w:pPr>
      <w:r w:rsidRPr="00731F77">
        <w:rPr>
          <w:rFonts w:ascii="Arial" w:hAnsi="Arial" w:cs="Arial"/>
          <w:sz w:val="24"/>
          <w:szCs w:val="24"/>
        </w:rPr>
        <w:t>9.4</w:t>
      </w:r>
      <w:r w:rsidRPr="00731F77">
        <w:rPr>
          <w:rFonts w:ascii="Arial" w:hAnsi="Arial" w:cs="Arial"/>
          <w:sz w:val="24"/>
          <w:szCs w:val="24"/>
        </w:rPr>
        <w:tab/>
        <w:t>Present cogent arguments in written form.</w:t>
      </w:r>
    </w:p>
    <w:p w14:paraId="1BAE4716" w14:textId="77777777" w:rsidR="00046104" w:rsidRDefault="00046104" w:rsidP="00046104">
      <w:pPr>
        <w:spacing w:after="120" w:line="240" w:lineRule="auto"/>
        <w:ind w:left="1418" w:right="260" w:hanging="567"/>
        <w:jc w:val="both"/>
        <w:rPr>
          <w:rFonts w:ascii="Arial" w:hAnsi="Arial" w:cs="Arial"/>
        </w:rPr>
      </w:pPr>
    </w:p>
    <w:p w14:paraId="73386C6A" w14:textId="624CAE29" w:rsidR="009A2D37" w:rsidRPr="009D52D0" w:rsidRDefault="009A2D37" w:rsidP="004C61F1">
      <w:pPr>
        <w:pStyle w:val="Heading2"/>
      </w:pPr>
      <w:r w:rsidRPr="009D52D0">
        <w:t>A synopsis of the curriculum</w:t>
      </w:r>
    </w:p>
    <w:p w14:paraId="28BC3DB8" w14:textId="68046930" w:rsidR="005B48EA" w:rsidRDefault="005B48EA" w:rsidP="00C35DCD">
      <w:pPr>
        <w:pStyle w:val="ListParagraph"/>
        <w:spacing w:after="120" w:line="240" w:lineRule="auto"/>
        <w:jc w:val="both"/>
        <w:rPr>
          <w:rFonts w:ascii="Arial" w:eastAsia="Times New Roman" w:hAnsi="Arial" w:cs="Arial"/>
          <w:sz w:val="24"/>
          <w:szCs w:val="24"/>
        </w:rPr>
      </w:pPr>
      <w:r w:rsidRPr="00B72642">
        <w:rPr>
          <w:rFonts w:ascii="Arial" w:eastAsia="Times New Roman" w:hAnsi="Arial" w:cs="Arial"/>
          <w:sz w:val="24"/>
          <w:szCs w:val="24"/>
        </w:rPr>
        <w:t xml:space="preserve">In this module, students develop a range of skills which will enable them to undertake the </w:t>
      </w:r>
      <w:proofErr w:type="spellStart"/>
      <w:r w:rsidRPr="00B72642">
        <w:rPr>
          <w:rFonts w:ascii="Arial" w:eastAsia="Times New Roman" w:hAnsi="Arial" w:cs="Arial"/>
          <w:sz w:val="24"/>
          <w:szCs w:val="24"/>
        </w:rPr>
        <w:t>narratological</w:t>
      </w:r>
      <w:proofErr w:type="spellEnd"/>
      <w:r w:rsidRPr="00B72642">
        <w:rPr>
          <w:rFonts w:ascii="Arial" w:eastAsia="Times New Roman" w:hAnsi="Arial" w:cs="Arial"/>
          <w:sz w:val="24"/>
          <w:szCs w:val="24"/>
        </w:rPr>
        <w:t xml:space="preserve">, </w:t>
      </w:r>
      <w:proofErr w:type="spellStart"/>
      <w:r w:rsidRPr="00B72642">
        <w:rPr>
          <w:rFonts w:ascii="Arial" w:eastAsia="Times New Roman" w:hAnsi="Arial" w:cs="Arial"/>
          <w:sz w:val="24"/>
          <w:szCs w:val="24"/>
        </w:rPr>
        <w:t>ludological</w:t>
      </w:r>
      <w:proofErr w:type="spellEnd"/>
      <w:r w:rsidRPr="00B72642">
        <w:rPr>
          <w:rFonts w:ascii="Arial" w:eastAsia="Times New Roman" w:hAnsi="Arial" w:cs="Arial"/>
          <w:sz w:val="24"/>
          <w:szCs w:val="24"/>
        </w:rPr>
        <w:t xml:space="preserve">, and linguistic analysis of videogames and related texts taken from a number of sources: widely available commercial 'Triple A' games, free 'indie' games, open gamer forums, YouTube and similar, and media commentary from magazines, newspapers, and website. Areas covered include: cultural and historical significance of videogames, ludology, </w:t>
      </w:r>
      <w:proofErr w:type="spellStart"/>
      <w:r w:rsidRPr="00B72642">
        <w:rPr>
          <w:rFonts w:ascii="Arial" w:eastAsia="Times New Roman" w:hAnsi="Arial" w:cs="Arial"/>
          <w:sz w:val="24"/>
          <w:szCs w:val="24"/>
        </w:rPr>
        <w:t>ludostylistics</w:t>
      </w:r>
      <w:proofErr w:type="spellEnd"/>
      <w:r w:rsidRPr="00B72642">
        <w:rPr>
          <w:rFonts w:ascii="Arial" w:eastAsia="Times New Roman" w:hAnsi="Arial" w:cs="Arial"/>
          <w:sz w:val="24"/>
          <w:szCs w:val="24"/>
        </w:rPr>
        <w:t xml:space="preserve">, discourse analysis, cognitive poetics, digital ethics, and narratology. Students will develop the ability to approach the language of gaming critically, to identify common narrative and cognitive structures evident in videogames and related writing. </w:t>
      </w:r>
    </w:p>
    <w:p w14:paraId="0C4446E9" w14:textId="77777777" w:rsidR="007C6D95" w:rsidRPr="00B72642" w:rsidRDefault="007C6D95" w:rsidP="00C35DCD">
      <w:pPr>
        <w:pStyle w:val="ListParagraph"/>
        <w:spacing w:after="120" w:line="240" w:lineRule="auto"/>
        <w:jc w:val="both"/>
        <w:rPr>
          <w:rFonts w:ascii="Arial" w:eastAsia="Times New Roman" w:hAnsi="Arial" w:cs="Arial"/>
          <w:sz w:val="24"/>
          <w:szCs w:val="24"/>
        </w:rPr>
      </w:pPr>
    </w:p>
    <w:p w14:paraId="54F0A3BD" w14:textId="77777777" w:rsidR="00B72642" w:rsidRPr="00B72642" w:rsidRDefault="00C80172" w:rsidP="00B72642">
      <w:pPr>
        <w:pStyle w:val="Heading2"/>
      </w:pPr>
      <w:r w:rsidRPr="00B72642">
        <w:t>Reading l</w:t>
      </w:r>
      <w:r w:rsidR="00B72642" w:rsidRPr="00B72642">
        <w:t xml:space="preserve">ist </w:t>
      </w:r>
    </w:p>
    <w:p w14:paraId="4A95F53F" w14:textId="6E01C508" w:rsidR="00B72642" w:rsidRPr="00B72642" w:rsidRDefault="00B72642" w:rsidP="00C35DCD">
      <w:pPr>
        <w:pStyle w:val="header2"/>
        <w:numPr>
          <w:ilvl w:val="0"/>
          <w:numId w:val="0"/>
        </w:numPr>
        <w:ind w:left="720"/>
        <w:rPr>
          <w:b w:val="0"/>
        </w:rPr>
      </w:pPr>
      <w:r w:rsidRPr="00B72642">
        <w:rPr>
          <w:b w:val="0"/>
        </w:rPr>
        <w:t xml:space="preserve">The University is committed to ensuring that core reading materials are in accessible electronic format in line with the Kent Inclusive Practices. </w:t>
      </w:r>
    </w:p>
    <w:p w14:paraId="75EE3C4A" w14:textId="77777777" w:rsidR="00B72642" w:rsidRPr="00636058" w:rsidRDefault="00B72642" w:rsidP="00C35DCD">
      <w:pPr>
        <w:pStyle w:val="header2"/>
        <w:numPr>
          <w:ilvl w:val="0"/>
          <w:numId w:val="0"/>
        </w:numPr>
        <w:ind w:left="720"/>
      </w:pPr>
      <w:r w:rsidRPr="00B72642">
        <w:rPr>
          <w:b w:val="0"/>
        </w:rPr>
        <w:t>The most up to date reading list for each module can be found on the university's</w:t>
      </w:r>
      <w:r w:rsidRPr="00636058">
        <w:t xml:space="preserve"> </w:t>
      </w:r>
      <w:hyperlink r:id="rId8" w:history="1">
        <w:r w:rsidRPr="00636058">
          <w:rPr>
            <w:rStyle w:val="Hyperlink"/>
            <w:b w:val="0"/>
            <w:bCs/>
          </w:rPr>
          <w:t>reading list pages</w:t>
        </w:r>
      </w:hyperlink>
      <w:r w:rsidRPr="00636058">
        <w:t xml:space="preserve">. </w:t>
      </w:r>
    </w:p>
    <w:p w14:paraId="0A5E11BA" w14:textId="77777777" w:rsidR="00B72642" w:rsidRPr="00302082" w:rsidRDefault="00B72642" w:rsidP="00C35DCD">
      <w:pPr>
        <w:spacing w:after="120" w:line="240" w:lineRule="auto"/>
        <w:ind w:left="720" w:right="260"/>
        <w:jc w:val="both"/>
        <w:rPr>
          <w:rFonts w:ascii="Arial" w:hAnsi="Arial" w:cs="Arial"/>
          <w:b/>
        </w:rPr>
      </w:pPr>
    </w:p>
    <w:p w14:paraId="6B76F4D5" w14:textId="77777777" w:rsidR="00C80172" w:rsidRPr="00B72642" w:rsidRDefault="00C80172" w:rsidP="00C35DCD">
      <w:pPr>
        <w:spacing w:after="120" w:line="240" w:lineRule="auto"/>
        <w:ind w:left="720" w:right="260"/>
        <w:jc w:val="both"/>
        <w:rPr>
          <w:rFonts w:ascii="Arial" w:hAnsi="Arial" w:cs="Arial"/>
          <w:sz w:val="24"/>
          <w:szCs w:val="24"/>
        </w:rPr>
      </w:pPr>
      <w:proofErr w:type="spellStart"/>
      <w:r w:rsidRPr="00B72642">
        <w:rPr>
          <w:rFonts w:ascii="Arial" w:hAnsi="Arial" w:cs="Arial"/>
          <w:sz w:val="24"/>
          <w:szCs w:val="24"/>
        </w:rPr>
        <w:t>Ensslin</w:t>
      </w:r>
      <w:proofErr w:type="spellEnd"/>
      <w:r w:rsidRPr="00B72642">
        <w:rPr>
          <w:rFonts w:ascii="Arial" w:hAnsi="Arial" w:cs="Arial"/>
          <w:sz w:val="24"/>
          <w:szCs w:val="24"/>
        </w:rPr>
        <w:t xml:space="preserve">, </w:t>
      </w:r>
      <w:proofErr w:type="gramStart"/>
      <w:r w:rsidRPr="00B72642">
        <w:rPr>
          <w:rFonts w:ascii="Arial" w:hAnsi="Arial" w:cs="Arial"/>
          <w:sz w:val="24"/>
          <w:szCs w:val="24"/>
        </w:rPr>
        <w:t>A</w:t>
      </w:r>
      <w:proofErr w:type="gramEnd"/>
      <w:r w:rsidRPr="00B72642">
        <w:rPr>
          <w:rFonts w:ascii="Arial" w:hAnsi="Arial" w:cs="Arial"/>
          <w:sz w:val="24"/>
          <w:szCs w:val="24"/>
        </w:rPr>
        <w:t xml:space="preserve"> (2012) </w:t>
      </w:r>
      <w:r w:rsidRPr="00B72642">
        <w:rPr>
          <w:rFonts w:ascii="Arial" w:hAnsi="Arial" w:cs="Arial"/>
          <w:i/>
          <w:iCs/>
          <w:sz w:val="24"/>
          <w:szCs w:val="24"/>
        </w:rPr>
        <w:t>The Language of Gaming</w:t>
      </w:r>
      <w:r w:rsidRPr="00B72642">
        <w:rPr>
          <w:rFonts w:ascii="Arial" w:hAnsi="Arial" w:cs="Arial"/>
          <w:sz w:val="24"/>
          <w:szCs w:val="24"/>
        </w:rPr>
        <w:t xml:space="preserve"> Basingstoke, Hampshire: Palgrave Macmillan.</w:t>
      </w:r>
    </w:p>
    <w:p w14:paraId="4D9B90DB" w14:textId="77777777" w:rsidR="00C80172" w:rsidRPr="00B72642" w:rsidRDefault="00C80172" w:rsidP="00C35DCD">
      <w:pPr>
        <w:spacing w:after="120" w:line="240" w:lineRule="auto"/>
        <w:ind w:left="720" w:right="260"/>
        <w:jc w:val="both"/>
        <w:rPr>
          <w:rFonts w:ascii="Arial" w:hAnsi="Arial" w:cs="Arial"/>
          <w:sz w:val="24"/>
          <w:szCs w:val="24"/>
        </w:rPr>
      </w:pPr>
      <w:proofErr w:type="spellStart"/>
      <w:r w:rsidRPr="00B72642">
        <w:rPr>
          <w:rFonts w:ascii="Arial" w:hAnsi="Arial" w:cs="Arial"/>
          <w:sz w:val="24"/>
          <w:szCs w:val="24"/>
        </w:rPr>
        <w:t>Salen</w:t>
      </w:r>
      <w:proofErr w:type="spellEnd"/>
      <w:r w:rsidRPr="00B72642">
        <w:rPr>
          <w:rFonts w:ascii="Arial" w:hAnsi="Arial" w:cs="Arial"/>
          <w:sz w:val="24"/>
          <w:szCs w:val="24"/>
        </w:rPr>
        <w:t xml:space="preserve"> and Zimmerman (2003) </w:t>
      </w:r>
      <w:r w:rsidRPr="00B72642">
        <w:rPr>
          <w:rFonts w:ascii="Arial" w:hAnsi="Arial" w:cs="Arial"/>
          <w:i/>
          <w:iCs/>
          <w:sz w:val="24"/>
          <w:szCs w:val="24"/>
        </w:rPr>
        <w:t>Rule of Play: Game Design and Fundamentals</w:t>
      </w:r>
      <w:r w:rsidRPr="00B72642">
        <w:rPr>
          <w:rFonts w:ascii="Arial" w:hAnsi="Arial" w:cs="Arial"/>
          <w:sz w:val="24"/>
          <w:szCs w:val="24"/>
        </w:rPr>
        <w:t xml:space="preserve"> Cambridge, Massachusetts: MIT Press.</w:t>
      </w:r>
    </w:p>
    <w:p w14:paraId="6410F69A" w14:textId="77777777" w:rsidR="00C80172" w:rsidRPr="00B72642" w:rsidRDefault="00C80172" w:rsidP="00C35DCD">
      <w:pPr>
        <w:spacing w:after="120" w:line="240" w:lineRule="auto"/>
        <w:ind w:left="720" w:right="260"/>
        <w:jc w:val="both"/>
        <w:rPr>
          <w:rFonts w:ascii="Arial" w:hAnsi="Arial" w:cs="Arial"/>
          <w:sz w:val="24"/>
          <w:szCs w:val="24"/>
        </w:rPr>
      </w:pPr>
      <w:r w:rsidRPr="00B72642">
        <w:rPr>
          <w:rFonts w:ascii="Arial" w:hAnsi="Arial" w:cs="Arial"/>
          <w:sz w:val="24"/>
          <w:szCs w:val="24"/>
        </w:rPr>
        <w:t xml:space="preserve">Stockwell, P (2019) </w:t>
      </w:r>
      <w:r w:rsidRPr="00B72642">
        <w:rPr>
          <w:rFonts w:ascii="Arial" w:hAnsi="Arial" w:cs="Arial"/>
          <w:i/>
          <w:iCs/>
          <w:sz w:val="24"/>
          <w:szCs w:val="24"/>
        </w:rPr>
        <w:t>Cognitive Poetics: An Introduction</w:t>
      </w:r>
      <w:r w:rsidRPr="00B72642">
        <w:rPr>
          <w:rFonts w:ascii="Arial" w:hAnsi="Arial" w:cs="Arial"/>
          <w:sz w:val="24"/>
          <w:szCs w:val="24"/>
        </w:rPr>
        <w:t xml:space="preserve"> Abingdon, Cambridgeshire: Routledge. </w:t>
      </w:r>
    </w:p>
    <w:p w14:paraId="79D15200" w14:textId="77777777" w:rsidR="00C80172" w:rsidRPr="00B72642" w:rsidRDefault="00C80172" w:rsidP="00C35DCD">
      <w:pPr>
        <w:spacing w:after="120" w:line="240" w:lineRule="auto"/>
        <w:ind w:left="720" w:right="260"/>
        <w:jc w:val="both"/>
        <w:rPr>
          <w:rFonts w:ascii="Arial" w:hAnsi="Arial" w:cs="Arial"/>
          <w:sz w:val="24"/>
          <w:szCs w:val="24"/>
        </w:rPr>
      </w:pPr>
      <w:r w:rsidRPr="00B72642">
        <w:rPr>
          <w:rFonts w:ascii="Arial" w:hAnsi="Arial" w:cs="Arial"/>
          <w:sz w:val="24"/>
          <w:szCs w:val="24"/>
        </w:rPr>
        <w:t xml:space="preserve">Ryan, M-L (2015) </w:t>
      </w:r>
      <w:r w:rsidRPr="00B72642">
        <w:rPr>
          <w:rFonts w:ascii="Arial" w:hAnsi="Arial" w:cs="Arial"/>
          <w:i/>
          <w:iCs/>
          <w:sz w:val="24"/>
          <w:szCs w:val="24"/>
        </w:rPr>
        <w:t>Narrative as Virtual Reality 2: Revisiting Immersion and Interactivity in Literature and Electronic Media</w:t>
      </w:r>
      <w:r w:rsidRPr="00B72642">
        <w:rPr>
          <w:rFonts w:ascii="Arial" w:hAnsi="Arial" w:cs="Arial"/>
          <w:sz w:val="24"/>
          <w:szCs w:val="24"/>
        </w:rPr>
        <w:t xml:space="preserve"> Baltimore, Maryland: Johns Hopkins University Press. </w:t>
      </w:r>
    </w:p>
    <w:p w14:paraId="6F4EFFC7" w14:textId="72594871" w:rsidR="00A87630" w:rsidRDefault="00C80172" w:rsidP="00C35DCD">
      <w:pPr>
        <w:spacing w:after="120" w:line="240" w:lineRule="auto"/>
        <w:ind w:left="720" w:right="543"/>
        <w:jc w:val="both"/>
        <w:rPr>
          <w:rFonts w:ascii="Arial" w:hAnsi="Arial" w:cs="Arial"/>
          <w:sz w:val="24"/>
          <w:szCs w:val="24"/>
        </w:rPr>
      </w:pPr>
      <w:proofErr w:type="spellStart"/>
      <w:r w:rsidRPr="00B72642">
        <w:rPr>
          <w:rFonts w:ascii="Arial" w:hAnsi="Arial" w:cs="Arial"/>
          <w:sz w:val="24"/>
          <w:szCs w:val="24"/>
        </w:rPr>
        <w:lastRenderedPageBreak/>
        <w:t>Wardrip-Fruin</w:t>
      </w:r>
      <w:proofErr w:type="spellEnd"/>
      <w:r w:rsidRPr="00B72642">
        <w:rPr>
          <w:rFonts w:ascii="Arial" w:hAnsi="Arial" w:cs="Arial"/>
          <w:sz w:val="24"/>
          <w:szCs w:val="24"/>
        </w:rPr>
        <w:t xml:space="preserve"> et al. (2004) </w:t>
      </w:r>
      <w:r w:rsidRPr="00B72642">
        <w:rPr>
          <w:rFonts w:ascii="Arial" w:hAnsi="Arial" w:cs="Arial"/>
          <w:i/>
          <w:iCs/>
          <w:sz w:val="24"/>
          <w:szCs w:val="24"/>
        </w:rPr>
        <w:t>First Person</w:t>
      </w:r>
      <w:r w:rsidRPr="00B72642">
        <w:rPr>
          <w:rFonts w:ascii="Arial" w:hAnsi="Arial" w:cs="Arial"/>
          <w:sz w:val="24"/>
          <w:szCs w:val="24"/>
        </w:rPr>
        <w:t xml:space="preserve"> Cambridge, Massachusetts: MIT Press</w:t>
      </w:r>
    </w:p>
    <w:p w14:paraId="663D118E" w14:textId="77777777" w:rsidR="00B72642" w:rsidRPr="00B72642" w:rsidRDefault="00B72642" w:rsidP="00B72642">
      <w:pPr>
        <w:spacing w:after="120" w:line="240" w:lineRule="auto"/>
        <w:ind w:left="567"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BF9C08A" w:rsidR="00636058" w:rsidRPr="00DC490D" w:rsidRDefault="00636058" w:rsidP="00C35DCD">
      <w:pPr>
        <w:ind w:left="720"/>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181531">
        <w:rPr>
          <w:rFonts w:ascii="Arial" w:hAnsi="Arial" w:cs="Arial"/>
          <w:sz w:val="24"/>
          <w:szCs w:val="24"/>
        </w:rPr>
        <w:t xml:space="preserve"> 130</w:t>
      </w:r>
      <w:r w:rsidR="00DC490D">
        <w:rPr>
          <w:rFonts w:ascii="Arial" w:hAnsi="Arial" w:cs="Arial"/>
          <w:sz w:val="24"/>
          <w:szCs w:val="24"/>
        </w:rPr>
        <w:t xml:space="preserve"> </w:t>
      </w:r>
    </w:p>
    <w:p w14:paraId="3BE5E6D9" w14:textId="275C3265" w:rsidR="00636058" w:rsidRPr="00636058" w:rsidRDefault="00636058" w:rsidP="00C35DCD">
      <w:pPr>
        <w:ind w:left="720"/>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81531">
        <w:rPr>
          <w:rFonts w:ascii="Arial" w:hAnsi="Arial" w:cs="Arial"/>
          <w:sz w:val="24"/>
          <w:szCs w:val="24"/>
        </w:rPr>
        <w:t xml:space="preserve"> 20</w:t>
      </w:r>
      <w:r w:rsidR="00DC490D" w:rsidRPr="00DC490D">
        <w:t xml:space="preserve"> </w:t>
      </w:r>
    </w:p>
    <w:p w14:paraId="260000FF" w14:textId="424DF5B6" w:rsidR="00636058" w:rsidRPr="00181531" w:rsidRDefault="00636058" w:rsidP="00C35DCD">
      <w:pPr>
        <w:ind w:left="720"/>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181531">
        <w:rPr>
          <w:rFonts w:ascii="Arial" w:hAnsi="Arial" w:cs="Arial"/>
          <w:iCs/>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EF9107D" w:rsidR="00696FF5" w:rsidRPr="00B2615D" w:rsidRDefault="00B72642" w:rsidP="00731F77">
      <w:pPr>
        <w:pStyle w:val="header2"/>
        <w:numPr>
          <w:ilvl w:val="1"/>
          <w:numId w:val="14"/>
        </w:numPr>
        <w:ind w:left="828"/>
        <w:rPr>
          <w:b w:val="0"/>
          <w:bCs/>
          <w:i/>
          <w:iCs/>
        </w:rPr>
      </w:pPr>
      <w:r>
        <w:rPr>
          <w:b w:val="0"/>
          <w:bCs/>
          <w:iCs/>
        </w:rPr>
        <w:t xml:space="preserve"> </w:t>
      </w:r>
      <w:r w:rsidR="00696FF5" w:rsidRPr="00B2615D">
        <w:rPr>
          <w:b w:val="0"/>
          <w:bCs/>
          <w:iCs/>
        </w:rPr>
        <w:t>Main assessment methods</w:t>
      </w:r>
    </w:p>
    <w:p w14:paraId="74F6DDA3" w14:textId="32C7E1CD" w:rsidR="008D4447" w:rsidRPr="00181531" w:rsidRDefault="00181531" w:rsidP="00731F77">
      <w:pPr>
        <w:spacing w:after="120" w:line="240" w:lineRule="auto"/>
        <w:ind w:left="1080" w:right="543"/>
        <w:rPr>
          <w:rFonts w:ascii="Arial" w:hAnsi="Arial" w:cs="Arial"/>
          <w:iCs/>
          <w:sz w:val="24"/>
          <w:szCs w:val="24"/>
        </w:rPr>
      </w:pPr>
      <w:r w:rsidRPr="00181531">
        <w:rPr>
          <w:rFonts w:ascii="Arial" w:hAnsi="Arial" w:cs="Arial"/>
          <w:iCs/>
          <w:sz w:val="24"/>
          <w:szCs w:val="24"/>
        </w:rPr>
        <w:t>Assignment 1 (1</w:t>
      </w:r>
      <w:r w:rsidR="007C6D95">
        <w:rPr>
          <w:rFonts w:ascii="Arial" w:hAnsi="Arial" w:cs="Arial"/>
          <w:iCs/>
          <w:sz w:val="24"/>
          <w:szCs w:val="24"/>
        </w:rPr>
        <w:t>,</w:t>
      </w:r>
      <w:r w:rsidRPr="00181531">
        <w:rPr>
          <w:rFonts w:ascii="Arial" w:hAnsi="Arial" w:cs="Arial"/>
          <w:iCs/>
          <w:sz w:val="24"/>
          <w:szCs w:val="24"/>
        </w:rPr>
        <w:t>000 words) – 40%</w:t>
      </w:r>
    </w:p>
    <w:p w14:paraId="4F1AC43A" w14:textId="3AF36276" w:rsidR="00181531" w:rsidRPr="00181531" w:rsidRDefault="00181531" w:rsidP="00731F77">
      <w:pPr>
        <w:spacing w:after="120" w:line="240" w:lineRule="auto"/>
        <w:ind w:left="1080" w:right="543"/>
        <w:rPr>
          <w:rFonts w:ascii="Arial" w:hAnsi="Arial" w:cs="Arial"/>
          <w:iCs/>
          <w:sz w:val="24"/>
          <w:szCs w:val="24"/>
        </w:rPr>
      </w:pPr>
      <w:r w:rsidRPr="00181531">
        <w:rPr>
          <w:rFonts w:ascii="Arial" w:hAnsi="Arial" w:cs="Arial"/>
          <w:iCs/>
          <w:sz w:val="24"/>
          <w:szCs w:val="24"/>
        </w:rPr>
        <w:t>Assignment 2 (1</w:t>
      </w:r>
      <w:r w:rsidR="007C6D95">
        <w:rPr>
          <w:rFonts w:ascii="Arial" w:hAnsi="Arial" w:cs="Arial"/>
          <w:iCs/>
          <w:sz w:val="24"/>
          <w:szCs w:val="24"/>
        </w:rPr>
        <w:t>,</w:t>
      </w:r>
      <w:r w:rsidRPr="00181531">
        <w:rPr>
          <w:rFonts w:ascii="Arial" w:hAnsi="Arial" w:cs="Arial"/>
          <w:iCs/>
          <w:sz w:val="24"/>
          <w:szCs w:val="24"/>
        </w:rPr>
        <w:t xml:space="preserve">500 words) – 60% </w:t>
      </w:r>
    </w:p>
    <w:p w14:paraId="3DA1BBE3" w14:textId="1E4DF51C" w:rsidR="00696FF5" w:rsidRPr="009D52D0" w:rsidRDefault="00B72642" w:rsidP="00731F77">
      <w:pPr>
        <w:spacing w:after="120"/>
        <w:ind w:left="92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731F77">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010AB4A7" w:rsidR="00DC490D" w:rsidRPr="00181531" w:rsidRDefault="00DC490D" w:rsidP="00731F77">
      <w:pPr>
        <w:spacing w:after="120" w:line="240" w:lineRule="auto"/>
        <w:ind w:left="927" w:right="543"/>
        <w:rPr>
          <w:rFonts w:ascii="Arial" w:hAnsi="Arial" w:cs="Arial"/>
          <w:sz w:val="24"/>
          <w:szCs w:val="24"/>
        </w:rPr>
      </w:pPr>
      <w:r w:rsidRPr="001A24FF">
        <w:rPr>
          <w:rFonts w:ascii="Arial" w:hAnsi="Arial" w:cs="Arial"/>
          <w:sz w:val="24"/>
          <w:szCs w:val="24"/>
        </w:rPr>
        <w:t>100% coursework (</w:t>
      </w:r>
      <w:r w:rsidR="00181531" w:rsidRPr="001A24FF">
        <w:rPr>
          <w:rFonts w:ascii="Arial" w:hAnsi="Arial" w:cs="Arial"/>
          <w:sz w:val="24"/>
          <w:szCs w:val="24"/>
        </w:rPr>
        <w:t>1</w:t>
      </w:r>
      <w:r w:rsidR="007C6D95">
        <w:rPr>
          <w:rFonts w:ascii="Arial" w:hAnsi="Arial" w:cs="Arial"/>
          <w:sz w:val="24"/>
          <w:szCs w:val="24"/>
        </w:rPr>
        <w:t>,</w:t>
      </w:r>
      <w:r w:rsidR="00181531" w:rsidRPr="001A24FF">
        <w:rPr>
          <w:rFonts w:ascii="Arial" w:hAnsi="Arial" w:cs="Arial"/>
          <w:sz w:val="24"/>
          <w:szCs w:val="24"/>
        </w:rPr>
        <w:t>500 words</w:t>
      </w:r>
      <w:r w:rsidRPr="001A24FF">
        <w:rPr>
          <w:rFonts w:ascii="Arial" w:hAnsi="Arial" w:cs="Arial"/>
          <w:sz w:val="24"/>
          <w:szCs w:val="24"/>
        </w:rPr>
        <w:t>)</w:t>
      </w:r>
      <w:r w:rsidR="00181531" w:rsidRPr="001A24FF">
        <w:rPr>
          <w:rFonts w:ascii="Arial" w:hAnsi="Arial" w:cs="Arial"/>
          <w:sz w:val="24"/>
          <w:szCs w:val="24"/>
        </w:rPr>
        <w:t>.</w:t>
      </w:r>
      <w:r w:rsidR="00181531">
        <w:rPr>
          <w:rFonts w:ascii="Arial" w:hAnsi="Arial" w:cs="Arial"/>
          <w:sz w:val="24"/>
          <w:szCs w:val="24"/>
        </w:rPr>
        <w:t xml:space="preserv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821B01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731F77">
        <w:t>8</w:t>
      </w:r>
      <w:r w:rsidR="00B30E07" w:rsidRPr="009D52D0">
        <w:t xml:space="preserve"> &amp; </w:t>
      </w:r>
      <w:r w:rsidR="00731F7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C35DCD">
        <w:t>ethods</w:t>
      </w:r>
      <w:r w:rsidRPr="009D52D0">
        <w:t xml:space="preserve"> and m</w:t>
      </w:r>
      <w:r w:rsidR="00883204" w:rsidRPr="009D52D0">
        <w:t>ethods of a</w:t>
      </w:r>
      <w:r w:rsidR="00B30E07" w:rsidRPr="009D52D0">
        <w:t>ssessment (section 1</w:t>
      </w:r>
      <w:r w:rsidR="00731F77">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31F77" w:rsidRPr="009D52D0" w14:paraId="5413EC92" w14:textId="024AB21C" w:rsidTr="00731F77">
        <w:trPr>
          <w:cantSplit/>
          <w:tblHeader/>
        </w:trPr>
        <w:tc>
          <w:tcPr>
            <w:tcW w:w="2439" w:type="dxa"/>
            <w:shd w:val="clear" w:color="auto" w:fill="D9D9D9" w:themeFill="background1" w:themeFillShade="D9"/>
          </w:tcPr>
          <w:p w14:paraId="140365DD" w14:textId="77777777" w:rsidR="00731F77" w:rsidRPr="009D52D0" w:rsidRDefault="00731F7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B6EBC1F" w14:textId="74621C70" w:rsidR="00731F77" w:rsidRPr="009D52D0" w:rsidRDefault="00731F77" w:rsidP="004F0496">
            <w:pPr>
              <w:spacing w:after="120"/>
              <w:ind w:right="543"/>
              <w:rPr>
                <w:rFonts w:ascii="Arial" w:hAnsi="Arial" w:cs="Arial"/>
                <w:sz w:val="20"/>
                <w:szCs w:val="20"/>
              </w:rPr>
            </w:pPr>
            <w:r>
              <w:rPr>
                <w:rFonts w:ascii="Arial" w:hAnsi="Arial" w:cs="Arial"/>
                <w:sz w:val="20"/>
                <w:szCs w:val="20"/>
              </w:rPr>
              <w:t>8.5</w:t>
            </w:r>
          </w:p>
        </w:tc>
        <w:tc>
          <w:tcPr>
            <w:tcW w:w="567" w:type="dxa"/>
          </w:tcPr>
          <w:p w14:paraId="3616DAB8" w14:textId="6E7EE78F" w:rsidR="00731F77" w:rsidRPr="009D52D0" w:rsidRDefault="00731F77"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1C7B92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31F77" w:rsidRPr="009D52D0" w:rsidRDefault="00731F7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69F7A99" w14:textId="3EAD69D5" w:rsidR="00731F77" w:rsidRPr="009D52D0" w:rsidRDefault="00731F77" w:rsidP="004F0496">
            <w:pPr>
              <w:spacing w:after="120"/>
              <w:ind w:right="543"/>
              <w:rPr>
                <w:rFonts w:ascii="Arial" w:hAnsi="Arial" w:cs="Arial"/>
                <w:sz w:val="20"/>
                <w:szCs w:val="20"/>
              </w:rPr>
            </w:pPr>
            <w:r>
              <w:rPr>
                <w:rFonts w:ascii="Arial" w:hAnsi="Arial" w:cs="Arial"/>
                <w:sz w:val="20"/>
                <w:szCs w:val="20"/>
              </w:rPr>
              <w:t>9.4</w:t>
            </w:r>
          </w:p>
        </w:tc>
      </w:tr>
      <w:tr w:rsidR="00731F77" w:rsidRPr="009D52D0" w14:paraId="780DC4A5" w14:textId="2F2EE952" w:rsidTr="00731F77">
        <w:tc>
          <w:tcPr>
            <w:tcW w:w="2439" w:type="dxa"/>
          </w:tcPr>
          <w:p w14:paraId="16F79E00" w14:textId="77777777" w:rsidR="00731F77" w:rsidRPr="009D52D0" w:rsidRDefault="00731F77"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74C2D8B"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1E5B112"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8169B0A"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2511CD"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4F2B96D" w14:textId="51FA41DE"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5BE915F" w14:textId="431F57DB"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5D19E9C"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8B2712A"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105967B"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5B9BFEE" w14:textId="153F5537" w:rsidR="00731F77" w:rsidRDefault="00C45CDD" w:rsidP="004F0496">
            <w:pPr>
              <w:spacing w:after="120"/>
              <w:ind w:right="543"/>
              <w:rPr>
                <w:rFonts w:ascii="Arial" w:hAnsi="Arial" w:cs="Arial"/>
                <w:b/>
                <w:sz w:val="20"/>
                <w:szCs w:val="20"/>
              </w:rPr>
            </w:pPr>
            <w:r>
              <w:rPr>
                <w:rFonts w:ascii="Arial" w:hAnsi="Arial" w:cs="Arial"/>
                <w:b/>
                <w:sz w:val="20"/>
                <w:szCs w:val="20"/>
              </w:rPr>
              <w:t>x</w:t>
            </w:r>
          </w:p>
        </w:tc>
      </w:tr>
      <w:tr w:rsidR="00731F77" w:rsidRPr="009D52D0" w14:paraId="5C50A519" w14:textId="3204CD30" w:rsidTr="00731F77">
        <w:tc>
          <w:tcPr>
            <w:tcW w:w="2439" w:type="dxa"/>
          </w:tcPr>
          <w:p w14:paraId="433DE3A7" w14:textId="1126412F" w:rsidR="00731F77" w:rsidRPr="00731F77" w:rsidRDefault="00731F77" w:rsidP="004F0496">
            <w:pPr>
              <w:spacing w:after="120"/>
              <w:ind w:right="543"/>
              <w:rPr>
                <w:rFonts w:ascii="Arial" w:hAnsi="Arial" w:cs="Arial"/>
                <w:sz w:val="20"/>
                <w:szCs w:val="20"/>
              </w:rPr>
            </w:pPr>
            <w:r w:rsidRPr="00731F77">
              <w:rPr>
                <w:rFonts w:ascii="Arial" w:hAnsi="Arial" w:cs="Arial"/>
                <w:sz w:val="20"/>
                <w:szCs w:val="20"/>
              </w:rPr>
              <w:t>Lectures</w:t>
            </w:r>
          </w:p>
        </w:tc>
        <w:tc>
          <w:tcPr>
            <w:tcW w:w="567" w:type="dxa"/>
          </w:tcPr>
          <w:p w14:paraId="3853654B" w14:textId="5D6FA724"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9C44A58"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79C091F"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FCE7930"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E912C1" w14:textId="2B719FDF"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22EBCD1" w14:textId="247A4DE4"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DBED63"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41E30B5" w:rsidR="00731F77" w:rsidRPr="009D52D0"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3441690"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D4083C0" w14:textId="39B4E111" w:rsidR="00731F77" w:rsidRDefault="00C45CDD" w:rsidP="004F0496">
            <w:pPr>
              <w:spacing w:after="120"/>
              <w:ind w:right="543"/>
              <w:rPr>
                <w:rFonts w:ascii="Arial" w:hAnsi="Arial" w:cs="Arial"/>
                <w:b/>
                <w:sz w:val="20"/>
                <w:szCs w:val="20"/>
              </w:rPr>
            </w:pPr>
            <w:r>
              <w:rPr>
                <w:rFonts w:ascii="Arial" w:hAnsi="Arial" w:cs="Arial"/>
                <w:b/>
                <w:sz w:val="20"/>
                <w:szCs w:val="20"/>
              </w:rPr>
              <w:t>x</w:t>
            </w:r>
          </w:p>
        </w:tc>
      </w:tr>
      <w:tr w:rsidR="00731F77" w:rsidRPr="009D52D0" w14:paraId="460BDA99" w14:textId="2F0B4A5F" w:rsidTr="00731F77">
        <w:tc>
          <w:tcPr>
            <w:tcW w:w="2439" w:type="dxa"/>
          </w:tcPr>
          <w:p w14:paraId="1CDAA785" w14:textId="23325B72" w:rsidR="00731F77" w:rsidRPr="00731F77" w:rsidRDefault="00731F77" w:rsidP="004F0496">
            <w:pPr>
              <w:spacing w:after="120"/>
              <w:ind w:right="543"/>
              <w:rPr>
                <w:rFonts w:ascii="Arial" w:hAnsi="Arial" w:cs="Arial"/>
                <w:sz w:val="20"/>
                <w:szCs w:val="20"/>
              </w:rPr>
            </w:pPr>
            <w:r w:rsidRPr="00731F77">
              <w:rPr>
                <w:rFonts w:ascii="Arial" w:hAnsi="Arial" w:cs="Arial"/>
                <w:sz w:val="20"/>
                <w:szCs w:val="20"/>
              </w:rPr>
              <w:t xml:space="preserve">Seminars </w:t>
            </w:r>
          </w:p>
        </w:tc>
        <w:tc>
          <w:tcPr>
            <w:tcW w:w="567" w:type="dxa"/>
          </w:tcPr>
          <w:p w14:paraId="0B596153" w14:textId="03B05CF4"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A64F733"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BD13831"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F0BF5A3"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85B721" w14:textId="4280D416"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2801E1C" w14:textId="63552855" w:rsidR="00731F77" w:rsidRDefault="00C45CD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0E6D33"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F3A3FE7"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6224902" w:rsidR="00731F77" w:rsidRPr="009D52D0" w:rsidRDefault="00731F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F30EE75" w14:textId="5D325ED2" w:rsidR="00731F77" w:rsidRDefault="001A24FF"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731F77" w:rsidRPr="009D52D0" w14:paraId="7367825C" w14:textId="296F79ED" w:rsidTr="00731F77">
        <w:trPr>
          <w:tblHeader/>
        </w:trPr>
        <w:tc>
          <w:tcPr>
            <w:tcW w:w="2405" w:type="dxa"/>
            <w:shd w:val="clear" w:color="auto" w:fill="D9D9D9" w:themeFill="background1" w:themeFillShade="D9"/>
          </w:tcPr>
          <w:p w14:paraId="4E99BFB5" w14:textId="77777777" w:rsidR="00731F77" w:rsidRPr="009D52D0" w:rsidRDefault="00731F7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61DA31E" w14:textId="33A6EF8D" w:rsidR="00731F77" w:rsidRPr="009D52D0" w:rsidRDefault="00731F77" w:rsidP="00636058">
            <w:pPr>
              <w:spacing w:after="120"/>
              <w:ind w:right="543"/>
              <w:rPr>
                <w:rFonts w:ascii="Arial" w:hAnsi="Arial" w:cs="Arial"/>
                <w:sz w:val="20"/>
                <w:szCs w:val="20"/>
              </w:rPr>
            </w:pPr>
            <w:r>
              <w:rPr>
                <w:rFonts w:ascii="Arial" w:hAnsi="Arial" w:cs="Arial"/>
                <w:sz w:val="20"/>
                <w:szCs w:val="20"/>
              </w:rPr>
              <w:t>8.5</w:t>
            </w:r>
          </w:p>
        </w:tc>
        <w:tc>
          <w:tcPr>
            <w:tcW w:w="567" w:type="dxa"/>
          </w:tcPr>
          <w:p w14:paraId="3DFFF262" w14:textId="63B41C47" w:rsidR="00731F77" w:rsidRPr="009D52D0" w:rsidRDefault="00731F77"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1DAAD6D2"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731F77" w:rsidRPr="009D52D0" w:rsidRDefault="00731F7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4A538CA" w14:textId="43E4965A" w:rsidR="00731F77" w:rsidRPr="009D52D0" w:rsidRDefault="00731F77" w:rsidP="00636058">
            <w:pPr>
              <w:spacing w:after="120"/>
              <w:ind w:right="543"/>
              <w:rPr>
                <w:rFonts w:ascii="Arial" w:hAnsi="Arial" w:cs="Arial"/>
                <w:sz w:val="20"/>
                <w:szCs w:val="20"/>
              </w:rPr>
            </w:pPr>
            <w:r>
              <w:rPr>
                <w:rFonts w:ascii="Arial" w:hAnsi="Arial" w:cs="Arial"/>
                <w:sz w:val="20"/>
                <w:szCs w:val="20"/>
              </w:rPr>
              <w:t>9.4</w:t>
            </w:r>
          </w:p>
        </w:tc>
      </w:tr>
      <w:tr w:rsidR="00731F77" w:rsidRPr="009D52D0" w14:paraId="6D8FD37D" w14:textId="41805FFF" w:rsidTr="00731F77">
        <w:trPr>
          <w:tblHeader/>
        </w:trPr>
        <w:tc>
          <w:tcPr>
            <w:tcW w:w="2405" w:type="dxa"/>
          </w:tcPr>
          <w:p w14:paraId="6500FA2E" w14:textId="3BD9DA21" w:rsidR="00731F77" w:rsidRPr="00731F77" w:rsidRDefault="00731F77" w:rsidP="00636058">
            <w:pPr>
              <w:spacing w:after="120"/>
              <w:ind w:right="543"/>
              <w:rPr>
                <w:rFonts w:ascii="Arial" w:hAnsi="Arial" w:cs="Arial"/>
                <w:sz w:val="20"/>
                <w:szCs w:val="20"/>
              </w:rPr>
            </w:pPr>
            <w:r w:rsidRPr="00731F77">
              <w:rPr>
                <w:rFonts w:ascii="Arial" w:hAnsi="Arial" w:cs="Arial"/>
                <w:sz w:val="20"/>
                <w:szCs w:val="20"/>
              </w:rPr>
              <w:t>Assignment 1</w:t>
            </w:r>
          </w:p>
        </w:tc>
        <w:tc>
          <w:tcPr>
            <w:tcW w:w="567" w:type="dxa"/>
          </w:tcPr>
          <w:p w14:paraId="718AB32A" w14:textId="4606419E"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C192E6E"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4EF26CA"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6C4E0D8"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D112F22" w14:textId="30B0D76D" w:rsidR="00731F77" w:rsidRDefault="00C45CD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365D31" w14:textId="0B454040" w:rsidR="00731F77" w:rsidRDefault="00C45CD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F026701"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2D29203"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3072674"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4EF7F78" w14:textId="0A74944A" w:rsidR="00731F77" w:rsidRDefault="00C45CDD" w:rsidP="00636058">
            <w:pPr>
              <w:spacing w:after="120"/>
              <w:ind w:right="543"/>
              <w:rPr>
                <w:rFonts w:ascii="Arial" w:hAnsi="Arial" w:cs="Arial"/>
                <w:b/>
                <w:sz w:val="20"/>
                <w:szCs w:val="20"/>
              </w:rPr>
            </w:pPr>
            <w:r>
              <w:rPr>
                <w:rFonts w:ascii="Arial" w:hAnsi="Arial" w:cs="Arial"/>
                <w:b/>
                <w:sz w:val="20"/>
                <w:szCs w:val="20"/>
              </w:rPr>
              <w:t>x</w:t>
            </w:r>
          </w:p>
        </w:tc>
      </w:tr>
      <w:tr w:rsidR="00731F77" w:rsidRPr="009D52D0" w14:paraId="33EAAC8E" w14:textId="22FA0386" w:rsidTr="00731F77">
        <w:trPr>
          <w:tblHeader/>
        </w:trPr>
        <w:tc>
          <w:tcPr>
            <w:tcW w:w="2405" w:type="dxa"/>
          </w:tcPr>
          <w:p w14:paraId="41B161CA" w14:textId="5BE02EA1" w:rsidR="00731F77" w:rsidRPr="00731F77" w:rsidRDefault="00731F77" w:rsidP="00636058">
            <w:pPr>
              <w:spacing w:after="120"/>
              <w:ind w:right="543"/>
              <w:rPr>
                <w:rFonts w:ascii="Arial" w:hAnsi="Arial" w:cs="Arial"/>
                <w:sz w:val="20"/>
                <w:szCs w:val="20"/>
              </w:rPr>
            </w:pPr>
            <w:r w:rsidRPr="00731F77">
              <w:rPr>
                <w:rFonts w:ascii="Arial" w:hAnsi="Arial" w:cs="Arial"/>
                <w:sz w:val="20"/>
                <w:szCs w:val="20"/>
              </w:rPr>
              <w:t>Assignment 2</w:t>
            </w:r>
          </w:p>
        </w:tc>
        <w:tc>
          <w:tcPr>
            <w:tcW w:w="567" w:type="dxa"/>
          </w:tcPr>
          <w:p w14:paraId="4D015421" w14:textId="791014A6"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D172679"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5AFEB6D"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9F2B861"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691CCBA" w14:textId="2F41DD2E" w:rsidR="00731F77" w:rsidRDefault="00C45CD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A10C326" w14:textId="0CCEF246" w:rsidR="00731F77" w:rsidRDefault="00C45CD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2A1F3BF"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3387786"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45AFE85" w:rsidR="00731F77" w:rsidRPr="009D52D0" w:rsidRDefault="00731F7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65F8EE" w14:textId="356999E6" w:rsidR="00731F77" w:rsidRDefault="00C45CDD"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4FE6DF" w:rsidR="00883204" w:rsidRPr="009D52D0" w:rsidRDefault="00883204" w:rsidP="00C35DCD">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81531">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w:t>
      </w:r>
      <w:r w:rsidRPr="009D52D0">
        <w:rPr>
          <w:rFonts w:ascii="Arial" w:hAnsi="Arial" w:cs="Arial"/>
          <w:sz w:val="24"/>
          <w:szCs w:val="24"/>
        </w:rPr>
        <w:lastRenderedPageBreak/>
        <w:t>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C35DCD">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C35DCD">
      <w:pPr>
        <w:autoSpaceDE w:val="0"/>
        <w:autoSpaceDN w:val="0"/>
        <w:adjustRightInd w:val="0"/>
        <w:spacing w:after="120" w:line="240" w:lineRule="auto"/>
        <w:ind w:left="720"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C35DCD">
      <w:pPr>
        <w:tabs>
          <w:tab w:val="left" w:pos="567"/>
        </w:tabs>
        <w:autoSpaceDE w:val="0"/>
        <w:autoSpaceDN w:val="0"/>
        <w:adjustRightInd w:val="0"/>
        <w:spacing w:after="120" w:line="240" w:lineRule="auto"/>
        <w:ind w:left="720"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675A15E" w:rsidR="009A2D37" w:rsidRPr="00181531" w:rsidRDefault="00181531" w:rsidP="00C35DCD">
      <w:pPr>
        <w:spacing w:after="120" w:line="240" w:lineRule="auto"/>
        <w:ind w:left="720" w:right="543"/>
        <w:rPr>
          <w:rFonts w:ascii="Arial" w:hAnsi="Arial" w:cs="Arial"/>
          <w:iCs/>
          <w:sz w:val="24"/>
          <w:szCs w:val="24"/>
        </w:rPr>
      </w:pPr>
      <w:r w:rsidRPr="00181531">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075396E" w14:textId="4B0A8512" w:rsidR="001B46DA" w:rsidRPr="00731F77" w:rsidRDefault="000542B4" w:rsidP="00C35DCD">
      <w:pPr>
        <w:autoSpaceDE w:val="0"/>
        <w:autoSpaceDN w:val="0"/>
        <w:adjustRightInd w:val="0"/>
        <w:spacing w:after="120" w:line="240" w:lineRule="auto"/>
        <w:ind w:left="720" w:right="261"/>
        <w:jc w:val="both"/>
        <w:rPr>
          <w:rFonts w:ascii="Arial" w:hAnsi="Arial" w:cs="Arial"/>
          <w:sz w:val="24"/>
          <w:szCs w:val="24"/>
        </w:rPr>
      </w:pPr>
      <w:r>
        <w:rPr>
          <w:rFonts w:ascii="Arial" w:hAnsi="Arial" w:cs="Arial"/>
          <w:sz w:val="24"/>
          <w:szCs w:val="24"/>
        </w:rPr>
        <w:t xml:space="preserve">This module will address the </w:t>
      </w:r>
      <w:r w:rsidR="00A324E4">
        <w:rPr>
          <w:rFonts w:ascii="Arial" w:hAnsi="Arial" w:cs="Arial"/>
          <w:sz w:val="24"/>
          <w:szCs w:val="24"/>
        </w:rPr>
        <w:t xml:space="preserve">world history of videogames alongside their cultural significance, thus drawing on examples from around the world, e.g. </w:t>
      </w:r>
      <w:proofErr w:type="spellStart"/>
      <w:r w:rsidR="004746A1">
        <w:rPr>
          <w:rFonts w:ascii="Arial" w:hAnsi="Arial" w:cs="Arial"/>
          <w:i/>
          <w:iCs/>
          <w:sz w:val="24"/>
          <w:szCs w:val="24"/>
        </w:rPr>
        <w:t>PacMan</w:t>
      </w:r>
      <w:proofErr w:type="spellEnd"/>
      <w:r w:rsidR="004746A1">
        <w:rPr>
          <w:rFonts w:ascii="Arial" w:hAnsi="Arial" w:cs="Arial"/>
          <w:sz w:val="24"/>
          <w:szCs w:val="24"/>
        </w:rPr>
        <w:t xml:space="preserve"> (Namco, Japan), </w:t>
      </w:r>
      <w:r w:rsidR="004746A1">
        <w:rPr>
          <w:rFonts w:ascii="Arial" w:hAnsi="Arial" w:cs="Arial"/>
          <w:i/>
          <w:iCs/>
          <w:sz w:val="24"/>
          <w:szCs w:val="24"/>
        </w:rPr>
        <w:t>Assassin’s Creed</w:t>
      </w:r>
      <w:r w:rsidR="004746A1">
        <w:rPr>
          <w:rFonts w:ascii="Arial" w:hAnsi="Arial" w:cs="Arial"/>
          <w:sz w:val="24"/>
          <w:szCs w:val="24"/>
        </w:rPr>
        <w:t xml:space="preserve"> (</w:t>
      </w:r>
      <w:proofErr w:type="spellStart"/>
      <w:r w:rsidR="004746A1">
        <w:rPr>
          <w:rFonts w:ascii="Arial" w:hAnsi="Arial" w:cs="Arial"/>
          <w:sz w:val="24"/>
          <w:szCs w:val="24"/>
        </w:rPr>
        <w:t>Ubisoft</w:t>
      </w:r>
      <w:proofErr w:type="spellEnd"/>
      <w:r w:rsidR="004746A1">
        <w:rPr>
          <w:rFonts w:ascii="Arial" w:hAnsi="Arial" w:cs="Arial"/>
          <w:sz w:val="24"/>
          <w:szCs w:val="24"/>
        </w:rPr>
        <w:t xml:space="preserve">, France and Canada), </w:t>
      </w:r>
      <w:r w:rsidR="004746A1">
        <w:rPr>
          <w:rFonts w:ascii="Arial" w:hAnsi="Arial" w:cs="Arial"/>
          <w:i/>
          <w:iCs/>
          <w:sz w:val="24"/>
          <w:szCs w:val="24"/>
        </w:rPr>
        <w:t>Candy Crush</w:t>
      </w:r>
      <w:r w:rsidR="004746A1">
        <w:rPr>
          <w:rFonts w:ascii="Arial" w:hAnsi="Arial" w:cs="Arial"/>
          <w:sz w:val="24"/>
          <w:szCs w:val="24"/>
        </w:rPr>
        <w:t xml:space="preserve"> (King Digital, Malta and Sweden), </w:t>
      </w:r>
      <w:r w:rsidR="004746A1">
        <w:rPr>
          <w:rFonts w:ascii="Arial" w:hAnsi="Arial" w:cs="Arial"/>
          <w:i/>
          <w:iCs/>
          <w:sz w:val="24"/>
          <w:szCs w:val="24"/>
        </w:rPr>
        <w:t>Tetris</w:t>
      </w:r>
      <w:r w:rsidR="004746A1">
        <w:rPr>
          <w:rFonts w:ascii="Arial" w:hAnsi="Arial" w:cs="Arial"/>
          <w:sz w:val="24"/>
          <w:szCs w:val="24"/>
        </w:rPr>
        <w:t xml:space="preserve"> (</w:t>
      </w:r>
      <w:r w:rsidR="00BA5EC8">
        <w:rPr>
          <w:rFonts w:ascii="Arial" w:hAnsi="Arial" w:cs="Arial"/>
          <w:sz w:val="24"/>
          <w:szCs w:val="24"/>
        </w:rPr>
        <w:t>The Tetris Company, Russia). It will also draw upon international games and digital humanities scholarship, as well as encouraging students to seek out their own examples of videogames and online gaming discussions which will necessarily be international</w:t>
      </w:r>
      <w:r w:rsidR="00946F90">
        <w:rPr>
          <w:rFonts w:ascii="Arial" w:hAnsi="Arial" w:cs="Arial"/>
          <w:sz w:val="24"/>
          <w:szCs w:val="24"/>
        </w:rPr>
        <w:t xml:space="preserve"> because of the nature of the industry. Students will also be encouraged to read and research widely into the growing academic field and engage with recent international conference papers from groups like </w:t>
      </w:r>
      <w:proofErr w:type="spellStart"/>
      <w:r w:rsidR="00946F90">
        <w:rPr>
          <w:rFonts w:ascii="Arial" w:hAnsi="Arial" w:cs="Arial"/>
          <w:sz w:val="24"/>
          <w:szCs w:val="24"/>
        </w:rPr>
        <w:t>DiGRA</w:t>
      </w:r>
      <w:proofErr w:type="spellEnd"/>
      <w:r w:rsidR="00946F90">
        <w:rPr>
          <w:rFonts w:ascii="Arial" w:hAnsi="Arial" w:cs="Arial"/>
          <w:sz w:val="24"/>
          <w:szCs w:val="24"/>
        </w:rPr>
        <w:t xml:space="preserve"> (Digital Games Research Association, established in Finland)</w:t>
      </w:r>
      <w:r w:rsidR="00C9026F">
        <w:rPr>
          <w:rFonts w:ascii="Arial" w:hAnsi="Arial" w:cs="Arial"/>
          <w:sz w:val="24"/>
          <w:szCs w:val="24"/>
        </w:rPr>
        <w:t xml:space="preserve"> which includes the work of scholars worldwide</w:t>
      </w:r>
      <w:r w:rsidR="00946F90">
        <w:rPr>
          <w:rFonts w:ascii="Arial" w:hAnsi="Arial" w:cs="Arial"/>
          <w:sz w:val="24"/>
          <w:szCs w:val="24"/>
        </w:rPr>
        <w:t xml:space="preserve">. </w:t>
      </w:r>
      <w:r w:rsidR="00BA5EC8">
        <w:rPr>
          <w:rFonts w:ascii="Arial" w:hAnsi="Arial" w:cs="Arial"/>
          <w:sz w:val="24"/>
          <w:szCs w:val="24"/>
        </w:rPr>
        <w:t xml:space="preserve"> </w:t>
      </w:r>
      <w:r w:rsidR="00A324E4">
        <w:rPr>
          <w:rFonts w:ascii="Arial" w:hAnsi="Arial" w:cs="Arial"/>
          <w:sz w:val="24"/>
          <w:szCs w:val="24"/>
        </w:rPr>
        <w:t xml:space="preserve"> </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00A2F066" w:rsidR="00422B69" w:rsidRPr="009D52D0" w:rsidRDefault="007C6D95"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46473743" w:rsidR="00422B69" w:rsidRPr="009D52D0" w:rsidRDefault="00731F77"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A9BDC93" w:rsidR="00422B69" w:rsidRPr="009D52D0" w:rsidRDefault="007C6D95"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AB120CC" w:rsidR="00422B69" w:rsidRPr="009D52D0" w:rsidRDefault="007C6D95"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CABB371" w:rsidR="00422B69" w:rsidRPr="009D52D0" w:rsidRDefault="007C6D9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022FB778" w14:textId="7B9E1D2E" w:rsidR="00FC217A" w:rsidRPr="00FC217A" w:rsidRDefault="00FC217A" w:rsidP="00FC217A">
      <w:pPr>
        <w:rPr>
          <w:rFonts w:ascii="Arial" w:hAnsi="Arial" w:cs="Arial"/>
          <w:sz w:val="24"/>
          <w:szCs w:val="24"/>
        </w:rPr>
      </w:pPr>
      <w:bookmarkStart w:id="0" w:name="_GoBack"/>
      <w:bookmarkEnd w:id="0"/>
    </w:p>
    <w:sectPr w:rsidR="00FC217A" w:rsidRPr="00FC217A" w:rsidSect="007C6D9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495E" w14:textId="77777777" w:rsidR="005618C7" w:rsidRDefault="005618C7" w:rsidP="009A2D37">
      <w:pPr>
        <w:spacing w:after="0" w:line="240" w:lineRule="auto"/>
      </w:pPr>
      <w:r>
        <w:separator/>
      </w:r>
    </w:p>
  </w:endnote>
  <w:endnote w:type="continuationSeparator" w:id="0">
    <w:p w14:paraId="17B35596" w14:textId="77777777" w:rsidR="005618C7" w:rsidRDefault="005618C7" w:rsidP="009A2D37">
      <w:pPr>
        <w:spacing w:after="0" w:line="240" w:lineRule="auto"/>
      </w:pPr>
      <w:r>
        <w:continuationSeparator/>
      </w:r>
    </w:p>
  </w:endnote>
  <w:endnote w:type="continuationNotice" w:id="1">
    <w:p w14:paraId="1EA5D5B4" w14:textId="77777777" w:rsidR="005618C7" w:rsidRDefault="00561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236288F" w:rsidR="008B2543" w:rsidRDefault="0019787E" w:rsidP="009A2D37">
        <w:pPr>
          <w:pStyle w:val="Footer"/>
          <w:jc w:val="center"/>
        </w:pPr>
        <w:r>
          <w:fldChar w:fldCharType="begin"/>
        </w:r>
        <w:r>
          <w:instrText xml:space="preserve"> PAGE   \* MERGEFORMAT </w:instrText>
        </w:r>
        <w:r>
          <w:fldChar w:fldCharType="separate"/>
        </w:r>
        <w:r w:rsidR="007C6D95">
          <w:rPr>
            <w:noProof/>
          </w:rPr>
          <w:t>4</w:t>
        </w:r>
        <w:r>
          <w:rPr>
            <w:noProof/>
          </w:rPr>
          <w:fldChar w:fldCharType="end"/>
        </w:r>
      </w:p>
    </w:sdtContent>
  </w:sdt>
  <w:p w14:paraId="345893D2" w14:textId="77777777" w:rsidR="00D84E2A" w:rsidRPr="00D84E2A" w:rsidRDefault="00D84E2A" w:rsidP="00D84E2A">
    <w:pPr>
      <w:pStyle w:val="Footer"/>
      <w:jc w:val="center"/>
      <w:rPr>
        <w:sz w:val="18"/>
        <w:szCs w:val="18"/>
      </w:rPr>
    </w:pPr>
    <w:r w:rsidRPr="00D84E2A">
      <w:rPr>
        <w:rFonts w:ascii="Arial" w:hAnsi="Arial" w:cs="Arial"/>
        <w:sz w:val="18"/>
        <w:szCs w:val="18"/>
      </w:rPr>
      <w:t>Language of Gaming</w:t>
    </w:r>
  </w:p>
  <w:p w14:paraId="26569854" w14:textId="34AB8D4D" w:rsidR="008B2543" w:rsidRPr="007B7724" w:rsidRDefault="008B2543" w:rsidP="00D84E2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EAAC40A" w:rsidR="00EB41D1" w:rsidRDefault="00EB41D1" w:rsidP="00EB41D1">
        <w:pPr>
          <w:pStyle w:val="Footer"/>
          <w:jc w:val="center"/>
        </w:pPr>
        <w:r>
          <w:fldChar w:fldCharType="begin"/>
        </w:r>
        <w:r>
          <w:instrText xml:space="preserve"> PAGE   \* MERGEFORMAT </w:instrText>
        </w:r>
        <w:r>
          <w:fldChar w:fldCharType="separate"/>
        </w:r>
        <w:r w:rsidR="007C6D95">
          <w:rPr>
            <w:noProof/>
          </w:rPr>
          <w:t>1</w:t>
        </w:r>
        <w:r>
          <w:rPr>
            <w:noProof/>
          </w:rPr>
          <w:fldChar w:fldCharType="end"/>
        </w:r>
      </w:p>
    </w:sdtContent>
  </w:sdt>
  <w:p w14:paraId="24F79DDC" w14:textId="2F7465DF" w:rsidR="00F17B94" w:rsidRPr="00D84E2A" w:rsidRDefault="00D84E2A" w:rsidP="00D84E2A">
    <w:pPr>
      <w:pStyle w:val="Footer"/>
      <w:jc w:val="center"/>
      <w:rPr>
        <w:sz w:val="18"/>
        <w:szCs w:val="18"/>
      </w:rPr>
    </w:pPr>
    <w:r w:rsidRPr="00D84E2A">
      <w:rPr>
        <w:rFonts w:ascii="Arial" w:hAnsi="Arial" w:cs="Arial"/>
        <w:sz w:val="18"/>
        <w:szCs w:val="18"/>
      </w:rPr>
      <w:t>Language of 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E92C" w14:textId="77777777" w:rsidR="005618C7" w:rsidRDefault="005618C7" w:rsidP="009A2D37">
      <w:pPr>
        <w:spacing w:after="0" w:line="240" w:lineRule="auto"/>
      </w:pPr>
      <w:r>
        <w:separator/>
      </w:r>
    </w:p>
  </w:footnote>
  <w:footnote w:type="continuationSeparator" w:id="0">
    <w:p w14:paraId="0339130F" w14:textId="77777777" w:rsidR="005618C7" w:rsidRDefault="005618C7" w:rsidP="009A2D37">
      <w:pPr>
        <w:spacing w:after="0" w:line="240" w:lineRule="auto"/>
      </w:pPr>
      <w:r>
        <w:continuationSeparator/>
      </w:r>
    </w:p>
  </w:footnote>
  <w:footnote w:type="continuationNotice" w:id="1">
    <w:p w14:paraId="7C7B8C22" w14:textId="77777777" w:rsidR="005618C7" w:rsidRDefault="00561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082478"/>
    <w:multiLevelType w:val="multilevel"/>
    <w:tmpl w:val="B630F38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919FE"/>
    <w:multiLevelType w:val="multilevel"/>
    <w:tmpl w:val="B1DCEFD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 w:numId="12">
    <w:abstractNumId w:val="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6104"/>
    <w:rsid w:val="000542B4"/>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531"/>
    <w:rsid w:val="00183B34"/>
    <w:rsid w:val="00185F46"/>
    <w:rsid w:val="00196C6A"/>
    <w:rsid w:val="0019787E"/>
    <w:rsid w:val="001A24FF"/>
    <w:rsid w:val="001A425B"/>
    <w:rsid w:val="001A7762"/>
    <w:rsid w:val="001B1B28"/>
    <w:rsid w:val="001B27FB"/>
    <w:rsid w:val="001B46DA"/>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0EA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B0D"/>
    <w:rsid w:val="00374DF6"/>
    <w:rsid w:val="003759B0"/>
    <w:rsid w:val="00375F84"/>
    <w:rsid w:val="00376E34"/>
    <w:rsid w:val="003804E7"/>
    <w:rsid w:val="00380F7D"/>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46A1"/>
    <w:rsid w:val="00476167"/>
    <w:rsid w:val="00486993"/>
    <w:rsid w:val="00492DA4"/>
    <w:rsid w:val="00496AA3"/>
    <w:rsid w:val="00497C98"/>
    <w:rsid w:val="004A39D7"/>
    <w:rsid w:val="004A3C23"/>
    <w:rsid w:val="004A4490"/>
    <w:rsid w:val="004A55FA"/>
    <w:rsid w:val="004B5D03"/>
    <w:rsid w:val="004C1EC4"/>
    <w:rsid w:val="004C61F1"/>
    <w:rsid w:val="004C72BE"/>
    <w:rsid w:val="004D035C"/>
    <w:rsid w:val="004F3C18"/>
    <w:rsid w:val="004F4328"/>
    <w:rsid w:val="005005E4"/>
    <w:rsid w:val="00500B56"/>
    <w:rsid w:val="005036DD"/>
    <w:rsid w:val="00513689"/>
    <w:rsid w:val="0051375A"/>
    <w:rsid w:val="00521097"/>
    <w:rsid w:val="0053059E"/>
    <w:rsid w:val="00532F6F"/>
    <w:rsid w:val="00533663"/>
    <w:rsid w:val="00540A0A"/>
    <w:rsid w:val="005460C2"/>
    <w:rsid w:val="005526FB"/>
    <w:rsid w:val="0055280A"/>
    <w:rsid w:val="00553D19"/>
    <w:rsid w:val="005548E1"/>
    <w:rsid w:val="0055585D"/>
    <w:rsid w:val="0056127B"/>
    <w:rsid w:val="005618C7"/>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48EA"/>
    <w:rsid w:val="005B5A98"/>
    <w:rsid w:val="005C1983"/>
    <w:rsid w:val="005C1A4F"/>
    <w:rsid w:val="005C27D7"/>
    <w:rsid w:val="005D1954"/>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37BF"/>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8ED"/>
    <w:rsid w:val="006E413A"/>
    <w:rsid w:val="006E4FEA"/>
    <w:rsid w:val="006F1A15"/>
    <w:rsid w:val="006F3F8B"/>
    <w:rsid w:val="00700488"/>
    <w:rsid w:val="00703205"/>
    <w:rsid w:val="00703404"/>
    <w:rsid w:val="00703F92"/>
    <w:rsid w:val="00704637"/>
    <w:rsid w:val="007105E4"/>
    <w:rsid w:val="00710647"/>
    <w:rsid w:val="00714EE5"/>
    <w:rsid w:val="00720270"/>
    <w:rsid w:val="00724362"/>
    <w:rsid w:val="00727780"/>
    <w:rsid w:val="00731F77"/>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D95"/>
    <w:rsid w:val="007C74B4"/>
    <w:rsid w:val="007E3412"/>
    <w:rsid w:val="007F393D"/>
    <w:rsid w:val="008029AF"/>
    <w:rsid w:val="00802FFA"/>
    <w:rsid w:val="008102E5"/>
    <w:rsid w:val="008111B4"/>
    <w:rsid w:val="008133F0"/>
    <w:rsid w:val="00815395"/>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6F90"/>
    <w:rsid w:val="00947180"/>
    <w:rsid w:val="009567BE"/>
    <w:rsid w:val="009676FA"/>
    <w:rsid w:val="009679E0"/>
    <w:rsid w:val="00976F2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4CB"/>
    <w:rsid w:val="00A021FE"/>
    <w:rsid w:val="00A1270E"/>
    <w:rsid w:val="00A13526"/>
    <w:rsid w:val="00A15342"/>
    <w:rsid w:val="00A15631"/>
    <w:rsid w:val="00A15EC7"/>
    <w:rsid w:val="00A3007E"/>
    <w:rsid w:val="00A32048"/>
    <w:rsid w:val="00A324E4"/>
    <w:rsid w:val="00A41F06"/>
    <w:rsid w:val="00A50FD4"/>
    <w:rsid w:val="00A52DB4"/>
    <w:rsid w:val="00A618E1"/>
    <w:rsid w:val="00A629B9"/>
    <w:rsid w:val="00A70C20"/>
    <w:rsid w:val="00A74292"/>
    <w:rsid w:val="00A7624A"/>
    <w:rsid w:val="00A776DE"/>
    <w:rsid w:val="00A80640"/>
    <w:rsid w:val="00A87630"/>
    <w:rsid w:val="00A87FFD"/>
    <w:rsid w:val="00A97038"/>
    <w:rsid w:val="00A97CB8"/>
    <w:rsid w:val="00AA3C15"/>
    <w:rsid w:val="00AA6330"/>
    <w:rsid w:val="00AC1689"/>
    <w:rsid w:val="00AC7501"/>
    <w:rsid w:val="00AD748B"/>
    <w:rsid w:val="00AE4865"/>
    <w:rsid w:val="00AE6FC7"/>
    <w:rsid w:val="00AF1767"/>
    <w:rsid w:val="00AF50EE"/>
    <w:rsid w:val="00B02117"/>
    <w:rsid w:val="00B0591D"/>
    <w:rsid w:val="00B13402"/>
    <w:rsid w:val="00B14BC2"/>
    <w:rsid w:val="00B17024"/>
    <w:rsid w:val="00B17CD2"/>
    <w:rsid w:val="00B213D2"/>
    <w:rsid w:val="00B248BA"/>
    <w:rsid w:val="00B24B56"/>
    <w:rsid w:val="00B2615D"/>
    <w:rsid w:val="00B30E07"/>
    <w:rsid w:val="00B34ADD"/>
    <w:rsid w:val="00B52FF5"/>
    <w:rsid w:val="00B5498B"/>
    <w:rsid w:val="00B5654D"/>
    <w:rsid w:val="00B57219"/>
    <w:rsid w:val="00B658A3"/>
    <w:rsid w:val="00B65AAD"/>
    <w:rsid w:val="00B72470"/>
    <w:rsid w:val="00B72642"/>
    <w:rsid w:val="00B746A8"/>
    <w:rsid w:val="00B750F2"/>
    <w:rsid w:val="00B7664D"/>
    <w:rsid w:val="00B80989"/>
    <w:rsid w:val="00B90C66"/>
    <w:rsid w:val="00B9109B"/>
    <w:rsid w:val="00B927AE"/>
    <w:rsid w:val="00B93721"/>
    <w:rsid w:val="00B937B1"/>
    <w:rsid w:val="00BA453C"/>
    <w:rsid w:val="00BA4E02"/>
    <w:rsid w:val="00BA5EC8"/>
    <w:rsid w:val="00BB159E"/>
    <w:rsid w:val="00BB2045"/>
    <w:rsid w:val="00BB2A6D"/>
    <w:rsid w:val="00BB4189"/>
    <w:rsid w:val="00BC19F7"/>
    <w:rsid w:val="00BC41ED"/>
    <w:rsid w:val="00BC628A"/>
    <w:rsid w:val="00BC7CCB"/>
    <w:rsid w:val="00BD009E"/>
    <w:rsid w:val="00BD0EF8"/>
    <w:rsid w:val="00BD7A8C"/>
    <w:rsid w:val="00BE2126"/>
    <w:rsid w:val="00BE3B17"/>
    <w:rsid w:val="00BF51AB"/>
    <w:rsid w:val="00BF716B"/>
    <w:rsid w:val="00BF7233"/>
    <w:rsid w:val="00C02AA2"/>
    <w:rsid w:val="00C04C95"/>
    <w:rsid w:val="00C12613"/>
    <w:rsid w:val="00C16DEF"/>
    <w:rsid w:val="00C2492F"/>
    <w:rsid w:val="00C26C4D"/>
    <w:rsid w:val="00C35DCD"/>
    <w:rsid w:val="00C3744A"/>
    <w:rsid w:val="00C4002A"/>
    <w:rsid w:val="00C414E7"/>
    <w:rsid w:val="00C45CDD"/>
    <w:rsid w:val="00C46912"/>
    <w:rsid w:val="00C612A8"/>
    <w:rsid w:val="00C618D2"/>
    <w:rsid w:val="00C67631"/>
    <w:rsid w:val="00C709C6"/>
    <w:rsid w:val="00C729D7"/>
    <w:rsid w:val="00C80172"/>
    <w:rsid w:val="00C83354"/>
    <w:rsid w:val="00C84004"/>
    <w:rsid w:val="00C843F6"/>
    <w:rsid w:val="00C84507"/>
    <w:rsid w:val="00C862C7"/>
    <w:rsid w:val="00C866AE"/>
    <w:rsid w:val="00C9026F"/>
    <w:rsid w:val="00CA3254"/>
    <w:rsid w:val="00CB11CE"/>
    <w:rsid w:val="00CC25A2"/>
    <w:rsid w:val="00CD7F07"/>
    <w:rsid w:val="00CE04F3"/>
    <w:rsid w:val="00CE12D8"/>
    <w:rsid w:val="00CE4574"/>
    <w:rsid w:val="00CE70E6"/>
    <w:rsid w:val="00CF0BCA"/>
    <w:rsid w:val="00CF2E1E"/>
    <w:rsid w:val="00D02E66"/>
    <w:rsid w:val="00D02E99"/>
    <w:rsid w:val="00D13357"/>
    <w:rsid w:val="00D13A13"/>
    <w:rsid w:val="00D2689A"/>
    <w:rsid w:val="00D65506"/>
    <w:rsid w:val="00D773CF"/>
    <w:rsid w:val="00D83563"/>
    <w:rsid w:val="00D8448F"/>
    <w:rsid w:val="00D84E2A"/>
    <w:rsid w:val="00DA64B6"/>
    <w:rsid w:val="00DB2B91"/>
    <w:rsid w:val="00DB5C9D"/>
    <w:rsid w:val="00DC490D"/>
    <w:rsid w:val="00DD02E6"/>
    <w:rsid w:val="00DD2E74"/>
    <w:rsid w:val="00DE427D"/>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4E72"/>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95B5C-8584-436A-9862-8FDC006BA837}">
  <ds:schemaRefs>
    <ds:schemaRef ds:uri="http://schemas.openxmlformats.org/officeDocument/2006/bibliography"/>
  </ds:schemaRefs>
</ds:datastoreItem>
</file>

<file path=customXml/itemProps2.xml><?xml version="1.0" encoding="utf-8"?>
<ds:datastoreItem xmlns:ds="http://schemas.openxmlformats.org/officeDocument/2006/customXml" ds:itemID="{95003EA7-FE78-4A64-ABD2-590D04713EE7}"/>
</file>

<file path=customXml/itemProps3.xml><?xml version="1.0" encoding="utf-8"?>
<ds:datastoreItem xmlns:ds="http://schemas.openxmlformats.org/officeDocument/2006/customXml" ds:itemID="{76837CAB-EAFE-4E9A-8617-7993EBDFF9FC}"/>
</file>

<file path=customXml/itemProps4.xml><?xml version="1.0" encoding="utf-8"?>
<ds:datastoreItem xmlns:ds="http://schemas.openxmlformats.org/officeDocument/2006/customXml" ds:itemID="{B56EBF55-2957-47A4-A658-AF33D7D9FCA5}"/>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2022-01-04T16:08:00Z</dcterms:created>
  <dcterms:modified xsi:type="dcterms:W3CDTF">2022-01-04T16:14:00Z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