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5418" w14:textId="77777777" w:rsidR="009A2D37" w:rsidRPr="00EE0DF6" w:rsidRDefault="00C07A56" w:rsidP="0066061A">
      <w:pPr>
        <w:numPr>
          <w:ilvl w:val="0"/>
          <w:numId w:val="1"/>
        </w:numPr>
        <w:spacing w:after="120" w:line="240" w:lineRule="auto"/>
        <w:ind w:left="426" w:right="260" w:hanging="426"/>
        <w:jc w:val="both"/>
        <w:rPr>
          <w:rFonts w:ascii="Arial" w:hAnsi="Arial" w:cs="Arial"/>
          <w:b/>
          <w:sz w:val="20"/>
          <w:szCs w:val="20"/>
        </w:rPr>
      </w:pPr>
      <w:r w:rsidRPr="00EE0DF6">
        <w:rPr>
          <w:rFonts w:ascii="Arial" w:hAnsi="Arial" w:cs="Arial"/>
          <w:b/>
          <w:sz w:val="20"/>
          <w:szCs w:val="20"/>
        </w:rPr>
        <w:t>T</w:t>
      </w:r>
      <w:r w:rsidR="009A2D37" w:rsidRPr="00EE0DF6">
        <w:rPr>
          <w:rFonts w:ascii="Arial" w:hAnsi="Arial" w:cs="Arial"/>
          <w:b/>
          <w:sz w:val="20"/>
          <w:szCs w:val="20"/>
        </w:rPr>
        <w:t>itle of the module</w:t>
      </w:r>
    </w:p>
    <w:p w14:paraId="38EAF270" w14:textId="4416290D" w:rsidR="009A2D37" w:rsidRPr="00EE0DF6" w:rsidRDefault="00DC22AB" w:rsidP="0066061A">
      <w:pPr>
        <w:spacing w:after="120" w:line="240" w:lineRule="auto"/>
        <w:ind w:left="426" w:right="260"/>
        <w:rPr>
          <w:rFonts w:ascii="Arial" w:hAnsi="Arial" w:cs="Arial"/>
          <w:sz w:val="20"/>
          <w:szCs w:val="20"/>
        </w:rPr>
      </w:pPr>
      <w:r>
        <w:rPr>
          <w:rFonts w:ascii="Arial" w:hAnsi="Arial" w:cs="Arial"/>
          <w:sz w:val="20"/>
          <w:szCs w:val="20"/>
        </w:rPr>
        <w:t xml:space="preserve">LAWS9320 </w:t>
      </w:r>
      <w:r w:rsidRPr="00EE0DF6">
        <w:rPr>
          <w:rFonts w:ascii="Arial" w:hAnsi="Arial" w:cs="Arial"/>
          <w:sz w:val="20"/>
          <w:szCs w:val="20"/>
        </w:rPr>
        <w:t>(LW932)</w:t>
      </w:r>
      <w:r>
        <w:rPr>
          <w:rFonts w:ascii="Arial" w:hAnsi="Arial" w:cs="Arial"/>
          <w:sz w:val="20"/>
          <w:szCs w:val="20"/>
        </w:rPr>
        <w:t xml:space="preserve"> </w:t>
      </w:r>
      <w:r w:rsidR="00A96773" w:rsidRPr="00EE0DF6">
        <w:rPr>
          <w:rFonts w:ascii="Arial" w:hAnsi="Arial" w:cs="Arial"/>
          <w:sz w:val="20"/>
          <w:szCs w:val="20"/>
        </w:rPr>
        <w:t>EU Citizenship and Residence Rights</w:t>
      </w:r>
      <w:r w:rsidR="00F92ED6" w:rsidRPr="00EE0DF6">
        <w:rPr>
          <w:rFonts w:ascii="Arial" w:hAnsi="Arial" w:cs="Arial"/>
          <w:sz w:val="20"/>
          <w:szCs w:val="20"/>
        </w:rPr>
        <w:t xml:space="preserve"> </w:t>
      </w:r>
      <w:r w:rsidR="00AD4922" w:rsidRPr="00EE0DF6">
        <w:rPr>
          <w:rFonts w:ascii="Arial" w:hAnsi="Arial" w:cs="Arial"/>
          <w:sz w:val="20"/>
          <w:szCs w:val="20"/>
        </w:rPr>
        <w:t xml:space="preserve">- Clinical Option </w:t>
      </w:r>
    </w:p>
    <w:p w14:paraId="286384BC" w14:textId="77777777" w:rsidR="00C07A56" w:rsidRPr="00EE0DF6" w:rsidRDefault="00C07A56" w:rsidP="0066061A">
      <w:pPr>
        <w:spacing w:after="120" w:line="240" w:lineRule="auto"/>
        <w:ind w:left="426" w:right="260"/>
        <w:jc w:val="both"/>
        <w:rPr>
          <w:rFonts w:ascii="Arial" w:hAnsi="Arial" w:cs="Arial"/>
          <w:sz w:val="20"/>
          <w:szCs w:val="20"/>
        </w:rPr>
      </w:pPr>
    </w:p>
    <w:p w14:paraId="0CE7F62B" w14:textId="77777777" w:rsidR="009A2D37" w:rsidRPr="00EE0DF6" w:rsidRDefault="009A2D37" w:rsidP="0066061A">
      <w:pPr>
        <w:numPr>
          <w:ilvl w:val="0"/>
          <w:numId w:val="1"/>
        </w:numPr>
        <w:spacing w:after="120" w:line="240" w:lineRule="auto"/>
        <w:ind w:left="426" w:right="260" w:hanging="426"/>
        <w:jc w:val="both"/>
        <w:rPr>
          <w:rFonts w:ascii="Arial" w:hAnsi="Arial" w:cs="Arial"/>
          <w:b/>
          <w:sz w:val="20"/>
          <w:szCs w:val="20"/>
        </w:rPr>
      </w:pPr>
      <w:r w:rsidRPr="00EE0DF6">
        <w:rPr>
          <w:rFonts w:ascii="Arial" w:hAnsi="Arial" w:cs="Arial"/>
          <w:b/>
          <w:sz w:val="20"/>
          <w:szCs w:val="20"/>
        </w:rPr>
        <w:t>School or partner institution which will be responsible for management of the module</w:t>
      </w:r>
    </w:p>
    <w:p w14:paraId="39DB893E" w14:textId="77777777" w:rsidR="009A2D37" w:rsidRPr="00EE0DF6" w:rsidRDefault="00380EAE" w:rsidP="0066061A">
      <w:pPr>
        <w:spacing w:after="120" w:line="240" w:lineRule="auto"/>
        <w:ind w:left="426" w:right="260"/>
        <w:rPr>
          <w:rFonts w:ascii="Arial" w:hAnsi="Arial" w:cs="Arial"/>
          <w:iCs/>
          <w:sz w:val="20"/>
          <w:szCs w:val="20"/>
        </w:rPr>
      </w:pPr>
      <w:r w:rsidRPr="00EE0DF6">
        <w:rPr>
          <w:rFonts w:ascii="Arial" w:hAnsi="Arial" w:cs="Arial"/>
          <w:iCs/>
          <w:sz w:val="20"/>
          <w:szCs w:val="20"/>
        </w:rPr>
        <w:t>Kent Law School</w:t>
      </w:r>
    </w:p>
    <w:p w14:paraId="362CDD26" w14:textId="77777777" w:rsidR="00C07A56" w:rsidRPr="00EE0DF6" w:rsidRDefault="00C07A56" w:rsidP="0066061A">
      <w:pPr>
        <w:spacing w:after="120" w:line="240" w:lineRule="auto"/>
        <w:ind w:left="426" w:right="260"/>
        <w:rPr>
          <w:rFonts w:ascii="Arial" w:hAnsi="Arial" w:cs="Arial"/>
          <w:iCs/>
          <w:sz w:val="20"/>
          <w:szCs w:val="20"/>
        </w:rPr>
      </w:pPr>
    </w:p>
    <w:p w14:paraId="722CDB89" w14:textId="77777777" w:rsidR="009A2D37" w:rsidRPr="00EE0DF6" w:rsidRDefault="009A2D37" w:rsidP="0066061A">
      <w:pPr>
        <w:numPr>
          <w:ilvl w:val="0"/>
          <w:numId w:val="1"/>
        </w:numPr>
        <w:spacing w:after="120" w:line="240" w:lineRule="auto"/>
        <w:ind w:left="426" w:right="260" w:hanging="426"/>
        <w:jc w:val="both"/>
        <w:rPr>
          <w:rFonts w:ascii="Arial" w:hAnsi="Arial" w:cs="Arial"/>
          <w:b/>
          <w:sz w:val="20"/>
          <w:szCs w:val="20"/>
        </w:rPr>
      </w:pPr>
      <w:r w:rsidRPr="00EE0DF6">
        <w:rPr>
          <w:rFonts w:ascii="Arial" w:hAnsi="Arial" w:cs="Arial"/>
          <w:b/>
          <w:sz w:val="20"/>
          <w:szCs w:val="20"/>
        </w:rPr>
        <w:t>The level of the module (</w:t>
      </w:r>
      <w:proofErr w:type="gramStart"/>
      <w:r w:rsidRPr="00EE0DF6">
        <w:rPr>
          <w:rFonts w:ascii="Arial" w:hAnsi="Arial" w:cs="Arial"/>
          <w:b/>
          <w:sz w:val="20"/>
          <w:szCs w:val="20"/>
        </w:rPr>
        <w:t>e.g.</w:t>
      </w:r>
      <w:proofErr w:type="gramEnd"/>
      <w:r w:rsidRPr="00EE0DF6">
        <w:rPr>
          <w:rFonts w:ascii="Arial" w:hAnsi="Arial" w:cs="Arial"/>
          <w:b/>
          <w:sz w:val="20"/>
          <w:szCs w:val="20"/>
        </w:rPr>
        <w:t xml:space="preserve"> </w:t>
      </w:r>
      <w:r w:rsidR="00D83563" w:rsidRPr="00EE0DF6">
        <w:rPr>
          <w:rFonts w:ascii="Arial" w:hAnsi="Arial" w:cs="Arial"/>
          <w:b/>
          <w:sz w:val="20"/>
          <w:szCs w:val="20"/>
        </w:rPr>
        <w:t>Level</w:t>
      </w:r>
      <w:r w:rsidR="00441E76" w:rsidRPr="00EE0DF6">
        <w:rPr>
          <w:rFonts w:ascii="Arial" w:hAnsi="Arial" w:cs="Arial"/>
          <w:b/>
          <w:sz w:val="20"/>
          <w:szCs w:val="20"/>
        </w:rPr>
        <w:t xml:space="preserve"> 4</w:t>
      </w:r>
      <w:r w:rsidR="001D0C7D" w:rsidRPr="00EE0DF6">
        <w:rPr>
          <w:rFonts w:ascii="Arial" w:hAnsi="Arial" w:cs="Arial"/>
          <w:b/>
          <w:sz w:val="20"/>
          <w:szCs w:val="20"/>
        </w:rPr>
        <w:t xml:space="preserve">, </w:t>
      </w:r>
      <w:r w:rsidR="00441E76" w:rsidRPr="00EE0DF6">
        <w:rPr>
          <w:rFonts w:ascii="Arial" w:hAnsi="Arial" w:cs="Arial"/>
          <w:b/>
          <w:sz w:val="20"/>
          <w:szCs w:val="20"/>
        </w:rPr>
        <w:t>Level 5</w:t>
      </w:r>
      <w:r w:rsidR="001D0C7D" w:rsidRPr="00EE0DF6">
        <w:rPr>
          <w:rFonts w:ascii="Arial" w:hAnsi="Arial" w:cs="Arial"/>
          <w:b/>
          <w:sz w:val="20"/>
          <w:szCs w:val="20"/>
        </w:rPr>
        <w:t xml:space="preserve">, </w:t>
      </w:r>
      <w:r w:rsidR="00441E76" w:rsidRPr="00EE0DF6">
        <w:rPr>
          <w:rFonts w:ascii="Arial" w:hAnsi="Arial" w:cs="Arial"/>
          <w:b/>
          <w:sz w:val="20"/>
          <w:szCs w:val="20"/>
        </w:rPr>
        <w:t>Level 6</w:t>
      </w:r>
      <w:r w:rsidR="001D0C7D" w:rsidRPr="00EE0DF6">
        <w:rPr>
          <w:rFonts w:ascii="Arial" w:hAnsi="Arial" w:cs="Arial"/>
          <w:b/>
          <w:sz w:val="20"/>
          <w:szCs w:val="20"/>
        </w:rPr>
        <w:t xml:space="preserve"> or </w:t>
      </w:r>
      <w:r w:rsidR="00C612A8" w:rsidRPr="00EE0DF6">
        <w:rPr>
          <w:rFonts w:ascii="Arial" w:hAnsi="Arial" w:cs="Arial"/>
          <w:b/>
          <w:sz w:val="20"/>
          <w:szCs w:val="20"/>
        </w:rPr>
        <w:t>L</w:t>
      </w:r>
      <w:r w:rsidR="00441E76" w:rsidRPr="00EE0DF6">
        <w:rPr>
          <w:rFonts w:ascii="Arial" w:hAnsi="Arial" w:cs="Arial"/>
          <w:b/>
          <w:sz w:val="20"/>
          <w:szCs w:val="20"/>
        </w:rPr>
        <w:t>evel 7</w:t>
      </w:r>
      <w:r w:rsidRPr="00EE0DF6">
        <w:rPr>
          <w:rFonts w:ascii="Arial" w:hAnsi="Arial" w:cs="Arial"/>
          <w:b/>
          <w:sz w:val="20"/>
          <w:szCs w:val="20"/>
        </w:rPr>
        <w:t>)</w:t>
      </w:r>
    </w:p>
    <w:p w14:paraId="3DEF03B7" w14:textId="77777777" w:rsidR="009A2D37" w:rsidRPr="00EE0DF6" w:rsidRDefault="00A96773" w:rsidP="0066061A">
      <w:pPr>
        <w:spacing w:after="120" w:line="240" w:lineRule="auto"/>
        <w:ind w:left="426" w:right="260"/>
        <w:rPr>
          <w:rFonts w:ascii="Arial" w:hAnsi="Arial" w:cs="Arial"/>
          <w:iCs/>
          <w:sz w:val="20"/>
          <w:szCs w:val="20"/>
        </w:rPr>
      </w:pPr>
      <w:r w:rsidRPr="00EE0DF6">
        <w:rPr>
          <w:rFonts w:ascii="Arial" w:hAnsi="Arial" w:cs="Arial"/>
          <w:iCs/>
          <w:sz w:val="20"/>
          <w:szCs w:val="20"/>
        </w:rPr>
        <w:t>Level 7</w:t>
      </w:r>
    </w:p>
    <w:p w14:paraId="156E615E" w14:textId="77777777" w:rsidR="00C07A56" w:rsidRPr="00EE0DF6" w:rsidRDefault="00C07A56" w:rsidP="0066061A">
      <w:pPr>
        <w:spacing w:after="120" w:line="240" w:lineRule="auto"/>
        <w:ind w:left="426" w:right="260"/>
        <w:rPr>
          <w:rFonts w:ascii="Arial" w:hAnsi="Arial" w:cs="Arial"/>
          <w:iCs/>
          <w:sz w:val="20"/>
          <w:szCs w:val="20"/>
        </w:rPr>
      </w:pPr>
    </w:p>
    <w:p w14:paraId="469A1D7A" w14:textId="77777777" w:rsidR="009A2D37" w:rsidRPr="00EE0DF6" w:rsidRDefault="009A2D37" w:rsidP="0066061A">
      <w:pPr>
        <w:numPr>
          <w:ilvl w:val="0"/>
          <w:numId w:val="1"/>
        </w:numPr>
        <w:spacing w:after="120" w:line="240" w:lineRule="auto"/>
        <w:ind w:left="426" w:right="260" w:hanging="426"/>
        <w:jc w:val="both"/>
        <w:rPr>
          <w:rFonts w:ascii="Arial" w:hAnsi="Arial" w:cs="Arial"/>
          <w:b/>
          <w:sz w:val="20"/>
          <w:szCs w:val="20"/>
        </w:rPr>
      </w:pPr>
      <w:r w:rsidRPr="00EE0DF6">
        <w:rPr>
          <w:rFonts w:ascii="Arial" w:hAnsi="Arial" w:cs="Arial"/>
          <w:b/>
          <w:sz w:val="20"/>
          <w:szCs w:val="20"/>
        </w:rPr>
        <w:t xml:space="preserve">The number of credits and the ECTS value which the module represents </w:t>
      </w:r>
    </w:p>
    <w:p w14:paraId="2169B25B" w14:textId="77777777" w:rsidR="00BC1D37" w:rsidRPr="00EE0DF6" w:rsidRDefault="00A96773" w:rsidP="0066061A">
      <w:pPr>
        <w:spacing w:after="120" w:line="240" w:lineRule="auto"/>
        <w:ind w:left="426" w:right="260"/>
        <w:rPr>
          <w:rFonts w:ascii="Arial" w:hAnsi="Arial" w:cs="Arial"/>
          <w:sz w:val="20"/>
          <w:szCs w:val="20"/>
        </w:rPr>
      </w:pPr>
      <w:r w:rsidRPr="00EE0DF6">
        <w:rPr>
          <w:rFonts w:ascii="Arial" w:hAnsi="Arial" w:cs="Arial"/>
          <w:sz w:val="20"/>
          <w:szCs w:val="20"/>
        </w:rPr>
        <w:t>20 credits (10</w:t>
      </w:r>
      <w:r w:rsidR="00BC1D37" w:rsidRPr="00EE0DF6">
        <w:rPr>
          <w:rFonts w:ascii="Arial" w:hAnsi="Arial" w:cs="Arial"/>
          <w:sz w:val="20"/>
          <w:szCs w:val="20"/>
        </w:rPr>
        <w:t xml:space="preserve"> ECTS Credits)</w:t>
      </w:r>
    </w:p>
    <w:p w14:paraId="6EEC0926" w14:textId="77777777" w:rsidR="00C07A56" w:rsidRPr="00EE0DF6" w:rsidRDefault="00C07A56" w:rsidP="005E3FA7">
      <w:pPr>
        <w:spacing w:after="120" w:line="240" w:lineRule="auto"/>
        <w:ind w:left="426" w:right="260"/>
        <w:rPr>
          <w:rFonts w:ascii="Arial" w:hAnsi="Arial" w:cs="Arial"/>
          <w:sz w:val="20"/>
          <w:szCs w:val="20"/>
        </w:rPr>
      </w:pPr>
    </w:p>
    <w:p w14:paraId="7027EA91" w14:textId="77777777" w:rsidR="009A2D37" w:rsidRPr="00EE0DF6" w:rsidRDefault="009A2D37" w:rsidP="0066061A">
      <w:pPr>
        <w:numPr>
          <w:ilvl w:val="0"/>
          <w:numId w:val="1"/>
        </w:numPr>
        <w:spacing w:after="120" w:line="240" w:lineRule="auto"/>
        <w:ind w:left="426" w:right="260" w:hanging="426"/>
        <w:jc w:val="both"/>
        <w:rPr>
          <w:rFonts w:ascii="Arial" w:hAnsi="Arial" w:cs="Arial"/>
          <w:b/>
          <w:sz w:val="20"/>
          <w:szCs w:val="20"/>
        </w:rPr>
      </w:pPr>
      <w:r w:rsidRPr="00EE0DF6">
        <w:rPr>
          <w:rFonts w:ascii="Arial" w:hAnsi="Arial" w:cs="Arial"/>
          <w:b/>
          <w:sz w:val="20"/>
          <w:szCs w:val="20"/>
        </w:rPr>
        <w:t>Which term(s) the module is to be taught in (or other teaching pattern)</w:t>
      </w:r>
    </w:p>
    <w:p w14:paraId="465EAEF1" w14:textId="77777777" w:rsidR="00C07A56" w:rsidRPr="00EE0DF6" w:rsidRDefault="00A96773" w:rsidP="00F92ED6">
      <w:pPr>
        <w:spacing w:line="240" w:lineRule="auto"/>
        <w:ind w:left="426"/>
        <w:rPr>
          <w:rFonts w:ascii="Arial" w:hAnsi="Arial" w:cs="Arial"/>
          <w:sz w:val="20"/>
          <w:szCs w:val="20"/>
        </w:rPr>
      </w:pPr>
      <w:r w:rsidRPr="00EE0DF6">
        <w:rPr>
          <w:rFonts w:ascii="Arial" w:hAnsi="Arial" w:cs="Arial"/>
          <w:sz w:val="20"/>
          <w:szCs w:val="20"/>
        </w:rPr>
        <w:t>Autumn or Spring</w:t>
      </w:r>
      <w:r w:rsidR="00F92ED6" w:rsidRPr="00EE0DF6">
        <w:rPr>
          <w:rFonts w:ascii="Arial" w:hAnsi="Arial" w:cs="Arial"/>
          <w:sz w:val="20"/>
          <w:szCs w:val="20"/>
        </w:rPr>
        <w:br/>
      </w:r>
    </w:p>
    <w:p w14:paraId="396A2D8A" w14:textId="77777777" w:rsidR="00B2615F" w:rsidRPr="00EE0DF6" w:rsidRDefault="00B2615F" w:rsidP="0066061A">
      <w:pPr>
        <w:numPr>
          <w:ilvl w:val="0"/>
          <w:numId w:val="1"/>
        </w:numPr>
        <w:spacing w:after="120" w:line="240" w:lineRule="auto"/>
        <w:ind w:left="426" w:right="260" w:hanging="426"/>
        <w:jc w:val="both"/>
        <w:rPr>
          <w:rFonts w:ascii="Arial" w:hAnsi="Arial" w:cs="Arial"/>
          <w:b/>
          <w:sz w:val="20"/>
          <w:szCs w:val="20"/>
        </w:rPr>
      </w:pPr>
      <w:r w:rsidRPr="00EE0DF6">
        <w:rPr>
          <w:rFonts w:ascii="Arial" w:hAnsi="Arial" w:cs="Arial"/>
          <w:b/>
          <w:sz w:val="20"/>
          <w:szCs w:val="20"/>
        </w:rPr>
        <w:t>Prerequisite and co-requisite modules</w:t>
      </w:r>
    </w:p>
    <w:p w14:paraId="3961E6BE" w14:textId="77777777" w:rsidR="005E3FA7" w:rsidRPr="00EE0DF6" w:rsidRDefault="00A96773" w:rsidP="0066061A">
      <w:pPr>
        <w:spacing w:after="120" w:line="240" w:lineRule="auto"/>
        <w:ind w:left="426" w:right="260"/>
        <w:rPr>
          <w:rFonts w:ascii="Arial" w:hAnsi="Arial" w:cs="Arial"/>
          <w:iCs/>
          <w:sz w:val="20"/>
          <w:szCs w:val="20"/>
        </w:rPr>
      </w:pPr>
      <w:r w:rsidRPr="00EE0DF6">
        <w:rPr>
          <w:rFonts w:ascii="Arial" w:hAnsi="Arial" w:cs="Arial"/>
          <w:iCs/>
          <w:sz w:val="20"/>
          <w:szCs w:val="20"/>
        </w:rPr>
        <w:t>None</w:t>
      </w:r>
    </w:p>
    <w:p w14:paraId="7BDDD82B" w14:textId="77777777" w:rsidR="005E3FA7" w:rsidRPr="00EE0DF6" w:rsidRDefault="005E3FA7" w:rsidP="005E3FA7">
      <w:pPr>
        <w:spacing w:after="120" w:line="240" w:lineRule="auto"/>
        <w:ind w:left="426" w:right="260"/>
        <w:rPr>
          <w:rFonts w:ascii="Arial" w:hAnsi="Arial" w:cs="Arial"/>
          <w:b/>
          <w:sz w:val="20"/>
          <w:szCs w:val="20"/>
        </w:rPr>
      </w:pPr>
    </w:p>
    <w:p w14:paraId="08BADEF6" w14:textId="77777777" w:rsidR="009A2D37" w:rsidRPr="00EE0DF6" w:rsidRDefault="009A2D37" w:rsidP="0066061A">
      <w:pPr>
        <w:numPr>
          <w:ilvl w:val="0"/>
          <w:numId w:val="1"/>
        </w:numPr>
        <w:spacing w:after="120" w:line="240" w:lineRule="auto"/>
        <w:ind w:left="426" w:right="260" w:hanging="426"/>
        <w:jc w:val="both"/>
        <w:rPr>
          <w:rFonts w:ascii="Arial" w:hAnsi="Arial" w:cs="Arial"/>
          <w:b/>
          <w:sz w:val="20"/>
          <w:szCs w:val="20"/>
        </w:rPr>
      </w:pPr>
      <w:r w:rsidRPr="00EE0DF6">
        <w:rPr>
          <w:rFonts w:ascii="Arial" w:hAnsi="Arial" w:cs="Arial"/>
          <w:b/>
          <w:sz w:val="20"/>
          <w:szCs w:val="20"/>
        </w:rPr>
        <w:t>The programmes of study to which the module contributes</w:t>
      </w:r>
    </w:p>
    <w:p w14:paraId="04084815" w14:textId="77777777" w:rsidR="009A2D37" w:rsidRPr="00EE0DF6" w:rsidRDefault="00A96773" w:rsidP="0066061A">
      <w:pPr>
        <w:spacing w:after="120" w:line="240" w:lineRule="auto"/>
        <w:ind w:left="426" w:right="260"/>
        <w:rPr>
          <w:rFonts w:ascii="Arial" w:hAnsi="Arial" w:cs="Arial"/>
          <w:iCs/>
          <w:sz w:val="20"/>
          <w:szCs w:val="20"/>
        </w:rPr>
      </w:pPr>
      <w:r w:rsidRPr="00EE0DF6">
        <w:rPr>
          <w:rFonts w:ascii="Arial" w:hAnsi="Arial" w:cs="Arial"/>
          <w:iCs/>
          <w:sz w:val="20"/>
          <w:szCs w:val="20"/>
        </w:rPr>
        <w:t>LLM in (Specialisation), LLM in Law, PG Dip in (Specialisation) and PG Cert in Law</w:t>
      </w:r>
    </w:p>
    <w:p w14:paraId="4CC1F065" w14:textId="77777777" w:rsidR="00C07A56" w:rsidRPr="00EE0DF6" w:rsidRDefault="00C07A56" w:rsidP="0066061A">
      <w:pPr>
        <w:spacing w:after="120" w:line="240" w:lineRule="auto"/>
        <w:ind w:left="426" w:right="260"/>
        <w:rPr>
          <w:rFonts w:ascii="Arial" w:hAnsi="Arial" w:cs="Arial"/>
          <w:iCs/>
          <w:sz w:val="20"/>
          <w:szCs w:val="20"/>
        </w:rPr>
      </w:pPr>
    </w:p>
    <w:p w14:paraId="47303752" w14:textId="77777777" w:rsidR="009A2D37" w:rsidRPr="00EE0DF6" w:rsidRDefault="009A2D37" w:rsidP="0066061A">
      <w:pPr>
        <w:numPr>
          <w:ilvl w:val="0"/>
          <w:numId w:val="1"/>
        </w:numPr>
        <w:spacing w:after="120" w:line="240" w:lineRule="auto"/>
        <w:ind w:left="426" w:right="260" w:hanging="426"/>
        <w:rPr>
          <w:rFonts w:ascii="Arial" w:hAnsi="Arial" w:cs="Arial"/>
          <w:b/>
          <w:sz w:val="20"/>
          <w:szCs w:val="20"/>
        </w:rPr>
      </w:pPr>
      <w:r w:rsidRPr="00EE0DF6">
        <w:rPr>
          <w:rFonts w:ascii="Arial" w:hAnsi="Arial" w:cs="Arial"/>
          <w:b/>
          <w:sz w:val="20"/>
          <w:szCs w:val="20"/>
        </w:rPr>
        <w:t>The intended subject specific learning outcomes</w:t>
      </w:r>
      <w:r w:rsidR="00C729D7" w:rsidRPr="00EE0DF6">
        <w:rPr>
          <w:rFonts w:ascii="Arial" w:hAnsi="Arial" w:cs="Arial"/>
          <w:b/>
          <w:sz w:val="20"/>
          <w:szCs w:val="20"/>
        </w:rPr>
        <w:t>.</w:t>
      </w:r>
      <w:r w:rsidR="00C729D7" w:rsidRPr="00EE0DF6">
        <w:rPr>
          <w:rFonts w:ascii="Arial" w:hAnsi="Arial" w:cs="Arial"/>
          <w:b/>
          <w:sz w:val="20"/>
          <w:szCs w:val="20"/>
        </w:rPr>
        <w:br/>
        <w:t xml:space="preserve">On successfully completing the module students will </w:t>
      </w:r>
      <w:r w:rsidR="00A96773" w:rsidRPr="00EE0DF6">
        <w:rPr>
          <w:rFonts w:ascii="Arial" w:hAnsi="Arial" w:cs="Arial"/>
          <w:b/>
          <w:sz w:val="20"/>
          <w:szCs w:val="20"/>
        </w:rPr>
        <w:t>have</w:t>
      </w:r>
      <w:r w:rsidR="00C729D7" w:rsidRPr="00EE0DF6">
        <w:rPr>
          <w:rFonts w:ascii="Arial" w:hAnsi="Arial" w:cs="Arial"/>
          <w:b/>
          <w:sz w:val="20"/>
          <w:szCs w:val="20"/>
        </w:rPr>
        <w:t>:</w:t>
      </w:r>
    </w:p>
    <w:p w14:paraId="1FC71C75" w14:textId="77777777" w:rsidR="00380EAE" w:rsidRPr="00EE0DF6" w:rsidRDefault="00380EAE" w:rsidP="0066061A">
      <w:pPr>
        <w:spacing w:after="120" w:line="240" w:lineRule="auto"/>
        <w:ind w:left="426" w:right="260"/>
        <w:rPr>
          <w:rFonts w:ascii="Arial" w:hAnsi="Arial" w:cs="Arial"/>
          <w:b/>
          <w:sz w:val="20"/>
          <w:szCs w:val="20"/>
        </w:rPr>
      </w:pPr>
    </w:p>
    <w:p w14:paraId="349B7BE9" w14:textId="77777777" w:rsidR="00A96773" w:rsidRPr="00EE0DF6" w:rsidRDefault="00A96773" w:rsidP="009635D1">
      <w:pPr>
        <w:pStyle w:val="ListParagraph"/>
        <w:numPr>
          <w:ilvl w:val="1"/>
          <w:numId w:val="1"/>
        </w:numPr>
        <w:spacing w:after="120" w:line="240" w:lineRule="auto"/>
        <w:ind w:left="851" w:right="260" w:hanging="425"/>
        <w:jc w:val="both"/>
        <w:rPr>
          <w:rFonts w:ascii="Arial" w:hAnsi="Arial" w:cs="Arial"/>
          <w:sz w:val="20"/>
          <w:szCs w:val="20"/>
        </w:rPr>
      </w:pPr>
      <w:r w:rsidRPr="00EE0DF6">
        <w:rPr>
          <w:rFonts w:ascii="Arial" w:hAnsi="Arial" w:cs="Arial"/>
          <w:sz w:val="20"/>
          <w:szCs w:val="20"/>
        </w:rPr>
        <w:t>A comprehensive knowledge and understanding of the concepts of EU free movement and citizenship.</w:t>
      </w:r>
    </w:p>
    <w:p w14:paraId="4BED7774" w14:textId="77777777" w:rsidR="00A96773" w:rsidRPr="00EE0DF6" w:rsidRDefault="00A96773" w:rsidP="009635D1">
      <w:pPr>
        <w:pStyle w:val="ListParagraph"/>
        <w:numPr>
          <w:ilvl w:val="1"/>
          <w:numId w:val="1"/>
        </w:numPr>
        <w:spacing w:after="120" w:line="240" w:lineRule="auto"/>
        <w:ind w:left="851" w:right="260" w:hanging="425"/>
        <w:jc w:val="both"/>
        <w:rPr>
          <w:rFonts w:ascii="Arial" w:hAnsi="Arial" w:cs="Arial"/>
          <w:sz w:val="20"/>
          <w:szCs w:val="20"/>
        </w:rPr>
      </w:pPr>
      <w:r w:rsidRPr="00EE0DF6">
        <w:rPr>
          <w:rFonts w:ascii="Arial" w:hAnsi="Arial" w:cs="Arial"/>
          <w:sz w:val="20"/>
          <w:szCs w:val="20"/>
        </w:rPr>
        <w:t>A thorough understanding of the law and procedures relevant to EU free movement and citizenship, including case law at a CJEU and domestic law level; with particular focus on access to social security and social assistance.</w:t>
      </w:r>
    </w:p>
    <w:p w14:paraId="700C86DD" w14:textId="77777777" w:rsidR="00A96773" w:rsidRPr="00EE0DF6" w:rsidRDefault="00A96773" w:rsidP="009635D1">
      <w:pPr>
        <w:pStyle w:val="ListParagraph"/>
        <w:numPr>
          <w:ilvl w:val="1"/>
          <w:numId w:val="1"/>
        </w:numPr>
        <w:spacing w:after="120" w:line="240" w:lineRule="auto"/>
        <w:ind w:left="851" w:right="260" w:hanging="425"/>
        <w:jc w:val="both"/>
        <w:rPr>
          <w:rFonts w:ascii="Arial" w:hAnsi="Arial" w:cs="Arial"/>
          <w:sz w:val="20"/>
          <w:szCs w:val="20"/>
        </w:rPr>
      </w:pPr>
      <w:r w:rsidRPr="00EE0DF6">
        <w:rPr>
          <w:rFonts w:ascii="Arial" w:hAnsi="Arial" w:cs="Arial"/>
          <w:sz w:val="20"/>
          <w:szCs w:val="20"/>
        </w:rPr>
        <w:t xml:space="preserve">The ability to critically reflect upon the operation of the law in practice and, by drawing upon original research, the ability to assess the application and effects of specific laws, </w:t>
      </w:r>
      <w:proofErr w:type="gramStart"/>
      <w:r w:rsidRPr="00EE0DF6">
        <w:rPr>
          <w:rFonts w:ascii="Arial" w:hAnsi="Arial" w:cs="Arial"/>
          <w:sz w:val="20"/>
          <w:szCs w:val="20"/>
        </w:rPr>
        <w:t>principles</w:t>
      </w:r>
      <w:proofErr w:type="gramEnd"/>
      <w:r w:rsidRPr="00EE0DF6">
        <w:rPr>
          <w:rFonts w:ascii="Arial" w:hAnsi="Arial" w:cs="Arial"/>
          <w:sz w:val="20"/>
          <w:szCs w:val="20"/>
        </w:rPr>
        <w:t xml:space="preserve"> and procedures, situating them in their wider context, and critically evaluating them against intrinsic aims and external criteria, for example, doctrinal coherence, certainty and finality, and certain conceptions of social justice and economic efficiency.</w:t>
      </w:r>
    </w:p>
    <w:p w14:paraId="18A5625D" w14:textId="77777777" w:rsidR="000C457D" w:rsidRDefault="00A96773" w:rsidP="009635D1">
      <w:pPr>
        <w:pStyle w:val="ListParagraph"/>
        <w:numPr>
          <w:ilvl w:val="1"/>
          <w:numId w:val="1"/>
        </w:numPr>
        <w:spacing w:after="120" w:line="240" w:lineRule="auto"/>
        <w:ind w:left="851" w:right="260" w:hanging="425"/>
        <w:jc w:val="both"/>
        <w:rPr>
          <w:rFonts w:ascii="Arial" w:hAnsi="Arial" w:cs="Arial"/>
          <w:sz w:val="20"/>
          <w:szCs w:val="20"/>
        </w:rPr>
      </w:pPr>
      <w:r w:rsidRPr="00EE0DF6">
        <w:rPr>
          <w:rFonts w:ascii="Arial" w:hAnsi="Arial" w:cs="Arial"/>
          <w:sz w:val="20"/>
          <w:szCs w:val="20"/>
        </w:rPr>
        <w:t xml:space="preserve">The ability to advance coherent legal argument directed at securing vindication of an individual client’s desired outcome. </w:t>
      </w:r>
    </w:p>
    <w:p w14:paraId="571C1990" w14:textId="6B3C1DA7" w:rsidR="000C457D" w:rsidRPr="00EE0DF6" w:rsidRDefault="009635D1" w:rsidP="009635D1">
      <w:pPr>
        <w:pStyle w:val="ListParagraph"/>
        <w:numPr>
          <w:ilvl w:val="1"/>
          <w:numId w:val="1"/>
        </w:numPr>
        <w:spacing w:after="120" w:line="240" w:lineRule="auto"/>
        <w:ind w:left="851" w:right="260" w:hanging="425"/>
        <w:jc w:val="both"/>
        <w:rPr>
          <w:rFonts w:ascii="Arial" w:hAnsi="Arial" w:cs="Arial"/>
          <w:sz w:val="20"/>
          <w:szCs w:val="20"/>
        </w:rPr>
      </w:pPr>
      <w:r w:rsidRPr="00EE0DF6">
        <w:rPr>
          <w:rFonts w:ascii="Arial" w:hAnsi="Arial" w:cs="Arial"/>
          <w:sz w:val="20"/>
          <w:szCs w:val="20"/>
        </w:rPr>
        <w:t xml:space="preserve">The ability to </w:t>
      </w:r>
      <w:r>
        <w:rPr>
          <w:rFonts w:ascii="Arial" w:hAnsi="Arial" w:cs="Arial"/>
          <w:sz w:val="20"/>
          <w:szCs w:val="20"/>
        </w:rPr>
        <w:t>u</w:t>
      </w:r>
      <w:r w:rsidR="000C457D" w:rsidRPr="00EE0DF6">
        <w:rPr>
          <w:rFonts w:ascii="Arial" w:hAnsi="Arial" w:cs="Arial"/>
          <w:sz w:val="20"/>
          <w:szCs w:val="20"/>
        </w:rPr>
        <w:t xml:space="preserve">nderstand and analyse intricate factual situations in legal terms, identifying the relevant points and issues arising from the clients’ cases requiring further research with the aim of gaining an overview of the different and disparate aspects of a specific legal problem. </w:t>
      </w:r>
    </w:p>
    <w:p w14:paraId="6C2B4D11" w14:textId="2F2EAFBC" w:rsidR="000C457D" w:rsidRPr="00EE0DF6" w:rsidRDefault="009635D1" w:rsidP="009635D1">
      <w:pPr>
        <w:pStyle w:val="ListParagraph"/>
        <w:numPr>
          <w:ilvl w:val="1"/>
          <w:numId w:val="1"/>
        </w:numPr>
        <w:spacing w:after="120" w:line="240" w:lineRule="auto"/>
        <w:ind w:left="851" w:right="260" w:hanging="425"/>
        <w:jc w:val="both"/>
        <w:rPr>
          <w:rFonts w:ascii="Arial" w:hAnsi="Arial" w:cs="Arial"/>
          <w:sz w:val="20"/>
          <w:szCs w:val="20"/>
        </w:rPr>
      </w:pPr>
      <w:r w:rsidRPr="00EE0DF6">
        <w:rPr>
          <w:rFonts w:ascii="Arial" w:hAnsi="Arial" w:cs="Arial"/>
          <w:sz w:val="20"/>
          <w:szCs w:val="20"/>
        </w:rPr>
        <w:t xml:space="preserve">The ability to </w:t>
      </w:r>
      <w:r>
        <w:rPr>
          <w:rFonts w:ascii="Arial" w:hAnsi="Arial" w:cs="Arial"/>
          <w:sz w:val="20"/>
          <w:szCs w:val="20"/>
        </w:rPr>
        <w:t>c</w:t>
      </w:r>
      <w:r w:rsidR="000C457D" w:rsidRPr="00EE0DF6">
        <w:rPr>
          <w:rFonts w:ascii="Arial" w:hAnsi="Arial" w:cs="Arial"/>
          <w:sz w:val="20"/>
          <w:szCs w:val="20"/>
        </w:rPr>
        <w:t>omment upon and test current legal instruments, case law and scholarship in the context of the factual and legal issues arising from the client’s case; recognise the different positions arising in the materials surveyed and critically analyse the different positions.</w:t>
      </w:r>
    </w:p>
    <w:p w14:paraId="2B9EB171" w14:textId="51C07239" w:rsidR="008A4BCA" w:rsidRPr="00AF0515" w:rsidRDefault="000C457D" w:rsidP="009635D1">
      <w:pPr>
        <w:pStyle w:val="ListParagraph"/>
        <w:numPr>
          <w:ilvl w:val="1"/>
          <w:numId w:val="1"/>
        </w:numPr>
        <w:spacing w:after="120" w:line="240" w:lineRule="auto"/>
        <w:ind w:left="851" w:right="260" w:hanging="425"/>
        <w:jc w:val="both"/>
        <w:rPr>
          <w:rFonts w:ascii="Arial" w:hAnsi="Arial" w:cs="Arial"/>
          <w:sz w:val="20"/>
          <w:szCs w:val="20"/>
        </w:rPr>
      </w:pPr>
      <w:r w:rsidRPr="00EE0DF6">
        <w:rPr>
          <w:rFonts w:ascii="Arial" w:hAnsi="Arial" w:cs="Arial"/>
          <w:sz w:val="20"/>
          <w:szCs w:val="20"/>
        </w:rPr>
        <w:t>Take</w:t>
      </w:r>
      <w:r w:rsidR="009635D1">
        <w:rPr>
          <w:rFonts w:ascii="Arial" w:hAnsi="Arial" w:cs="Arial"/>
          <w:sz w:val="20"/>
          <w:szCs w:val="20"/>
        </w:rPr>
        <w:t>n</w:t>
      </w:r>
      <w:r w:rsidRPr="00EE0DF6">
        <w:rPr>
          <w:rFonts w:ascii="Arial" w:hAnsi="Arial" w:cs="Arial"/>
          <w:sz w:val="20"/>
          <w:szCs w:val="20"/>
        </w:rPr>
        <w:t xml:space="preserve"> responsibility for the conduct of a client’s case.</w:t>
      </w:r>
    </w:p>
    <w:p w14:paraId="0209F7C6" w14:textId="77777777" w:rsidR="00373ACB" w:rsidRPr="00EE0DF6" w:rsidRDefault="00373ACB" w:rsidP="005E3FA7">
      <w:pPr>
        <w:pStyle w:val="ListParagraph"/>
        <w:spacing w:after="120" w:line="240" w:lineRule="auto"/>
        <w:ind w:left="851" w:right="260"/>
        <w:rPr>
          <w:rFonts w:ascii="Arial" w:hAnsi="Arial" w:cs="Arial"/>
          <w:sz w:val="20"/>
          <w:szCs w:val="20"/>
        </w:rPr>
      </w:pPr>
    </w:p>
    <w:p w14:paraId="5373117D" w14:textId="77777777" w:rsidR="00380EAE" w:rsidRPr="00EE0DF6" w:rsidRDefault="009A2D37" w:rsidP="0066061A">
      <w:pPr>
        <w:numPr>
          <w:ilvl w:val="0"/>
          <w:numId w:val="1"/>
        </w:numPr>
        <w:spacing w:after="120" w:line="240" w:lineRule="auto"/>
        <w:ind w:left="426" w:right="260" w:hanging="426"/>
        <w:rPr>
          <w:rFonts w:ascii="Arial" w:hAnsi="Arial" w:cs="Arial"/>
          <w:b/>
          <w:sz w:val="20"/>
          <w:szCs w:val="20"/>
        </w:rPr>
      </w:pPr>
      <w:r w:rsidRPr="00EE0DF6">
        <w:rPr>
          <w:rFonts w:ascii="Arial" w:hAnsi="Arial" w:cs="Arial"/>
          <w:b/>
          <w:sz w:val="20"/>
          <w:szCs w:val="20"/>
        </w:rPr>
        <w:t>The intended generic learning outcomes</w:t>
      </w:r>
      <w:r w:rsidR="00C729D7" w:rsidRPr="00EE0DF6">
        <w:rPr>
          <w:rFonts w:ascii="Arial" w:hAnsi="Arial" w:cs="Arial"/>
          <w:b/>
          <w:sz w:val="20"/>
          <w:szCs w:val="20"/>
        </w:rPr>
        <w:t>.</w:t>
      </w:r>
      <w:r w:rsidR="00C729D7" w:rsidRPr="00EE0DF6">
        <w:rPr>
          <w:rFonts w:ascii="Arial" w:hAnsi="Arial" w:cs="Arial"/>
          <w:b/>
          <w:sz w:val="20"/>
          <w:szCs w:val="20"/>
        </w:rPr>
        <w:br/>
        <w:t xml:space="preserve">On successfully completing the module students </w:t>
      </w:r>
      <w:r w:rsidR="00F92ED6" w:rsidRPr="00EE0DF6">
        <w:rPr>
          <w:rFonts w:ascii="Arial" w:hAnsi="Arial" w:cs="Arial"/>
          <w:b/>
          <w:sz w:val="20"/>
          <w:szCs w:val="20"/>
        </w:rPr>
        <w:t>be able to</w:t>
      </w:r>
      <w:r w:rsidR="00C729D7" w:rsidRPr="00EE0DF6">
        <w:rPr>
          <w:rFonts w:ascii="Arial" w:hAnsi="Arial" w:cs="Arial"/>
          <w:b/>
          <w:sz w:val="20"/>
          <w:szCs w:val="20"/>
        </w:rPr>
        <w:t>:</w:t>
      </w:r>
    </w:p>
    <w:p w14:paraId="0072C8D9" w14:textId="77777777" w:rsidR="00380EAE" w:rsidRPr="00EE0DF6" w:rsidRDefault="00380EAE" w:rsidP="0066061A">
      <w:pPr>
        <w:spacing w:after="120" w:line="240" w:lineRule="auto"/>
        <w:ind w:left="426" w:right="260"/>
        <w:rPr>
          <w:rFonts w:ascii="Arial" w:hAnsi="Arial" w:cs="Arial"/>
          <w:b/>
          <w:sz w:val="20"/>
          <w:szCs w:val="20"/>
        </w:rPr>
      </w:pPr>
    </w:p>
    <w:p w14:paraId="4E8FEE8B" w14:textId="154E6178" w:rsidR="00A96773" w:rsidRPr="00EE0DF6" w:rsidRDefault="00A96773" w:rsidP="009635D1">
      <w:pPr>
        <w:pStyle w:val="ListParagraph"/>
        <w:numPr>
          <w:ilvl w:val="1"/>
          <w:numId w:val="1"/>
        </w:numPr>
        <w:spacing w:after="120" w:line="240" w:lineRule="auto"/>
        <w:ind w:left="851" w:right="260" w:hanging="425"/>
        <w:jc w:val="both"/>
        <w:rPr>
          <w:rFonts w:ascii="Arial" w:hAnsi="Arial" w:cs="Arial"/>
          <w:sz w:val="20"/>
          <w:szCs w:val="20"/>
        </w:rPr>
      </w:pPr>
      <w:r w:rsidRPr="00EE0DF6">
        <w:rPr>
          <w:rFonts w:ascii="Arial" w:hAnsi="Arial" w:cs="Arial"/>
          <w:sz w:val="20"/>
          <w:szCs w:val="20"/>
        </w:rPr>
        <w:t xml:space="preserve">Conduct </w:t>
      </w:r>
      <w:r w:rsidR="00AD4922" w:rsidRPr="00EE0DF6">
        <w:rPr>
          <w:rFonts w:ascii="Arial" w:hAnsi="Arial" w:cs="Arial"/>
          <w:sz w:val="20"/>
          <w:szCs w:val="20"/>
        </w:rPr>
        <w:t xml:space="preserve">advanced </w:t>
      </w:r>
      <w:r w:rsidRPr="00EE0DF6">
        <w:rPr>
          <w:rFonts w:ascii="Arial" w:hAnsi="Arial" w:cs="Arial"/>
          <w:sz w:val="20"/>
          <w:szCs w:val="20"/>
        </w:rPr>
        <w:t xml:space="preserve">research, making proper use of the library resources by way of law reports, articles, </w:t>
      </w:r>
      <w:proofErr w:type="gramStart"/>
      <w:r w:rsidRPr="00EE0DF6">
        <w:rPr>
          <w:rFonts w:ascii="Arial" w:hAnsi="Arial" w:cs="Arial"/>
          <w:sz w:val="20"/>
          <w:szCs w:val="20"/>
        </w:rPr>
        <w:t>monographs</w:t>
      </w:r>
      <w:proofErr w:type="gramEnd"/>
      <w:r w:rsidRPr="00EE0DF6">
        <w:rPr>
          <w:rFonts w:ascii="Arial" w:hAnsi="Arial" w:cs="Arial"/>
          <w:sz w:val="20"/>
          <w:szCs w:val="20"/>
        </w:rPr>
        <w:t xml:space="preserve"> and textbooks, demonstrating the ability to retrieve up-to-date information quickly. </w:t>
      </w:r>
    </w:p>
    <w:p w14:paraId="7B99A096" w14:textId="163FB3CD" w:rsidR="00A96773" w:rsidRPr="00EE0DF6" w:rsidRDefault="00A96773" w:rsidP="009635D1">
      <w:pPr>
        <w:pStyle w:val="ListParagraph"/>
        <w:numPr>
          <w:ilvl w:val="1"/>
          <w:numId w:val="1"/>
        </w:numPr>
        <w:spacing w:after="120" w:line="240" w:lineRule="auto"/>
        <w:ind w:left="851" w:right="260" w:hanging="425"/>
        <w:jc w:val="both"/>
        <w:rPr>
          <w:rFonts w:ascii="Arial" w:hAnsi="Arial" w:cs="Arial"/>
          <w:sz w:val="20"/>
          <w:szCs w:val="20"/>
        </w:rPr>
      </w:pPr>
      <w:r w:rsidRPr="00EE0DF6">
        <w:rPr>
          <w:rFonts w:ascii="Arial" w:hAnsi="Arial" w:cs="Arial"/>
          <w:sz w:val="20"/>
          <w:szCs w:val="20"/>
        </w:rPr>
        <w:t xml:space="preserve">Identify and evaluate complex legal and policy problems according to their historical, </w:t>
      </w:r>
      <w:proofErr w:type="gramStart"/>
      <w:r w:rsidRPr="00EE0DF6">
        <w:rPr>
          <w:rFonts w:ascii="Arial" w:hAnsi="Arial" w:cs="Arial"/>
          <w:sz w:val="20"/>
          <w:szCs w:val="20"/>
        </w:rPr>
        <w:t>political</w:t>
      </w:r>
      <w:proofErr w:type="gramEnd"/>
      <w:r w:rsidRPr="00EE0DF6">
        <w:rPr>
          <w:rFonts w:ascii="Arial" w:hAnsi="Arial" w:cs="Arial"/>
          <w:sz w:val="20"/>
          <w:szCs w:val="20"/>
        </w:rPr>
        <w:t xml:space="preserve"> and legal context; identify relevant economic, political and/or social implications of legal forms and institutions.</w:t>
      </w:r>
    </w:p>
    <w:p w14:paraId="4FB2A7E2" w14:textId="77777777" w:rsidR="00A96773" w:rsidRPr="00EE0DF6" w:rsidRDefault="00A96773" w:rsidP="009635D1">
      <w:pPr>
        <w:pStyle w:val="ListParagraph"/>
        <w:numPr>
          <w:ilvl w:val="1"/>
          <w:numId w:val="1"/>
        </w:numPr>
        <w:spacing w:after="120" w:line="240" w:lineRule="auto"/>
        <w:ind w:left="851" w:right="260" w:hanging="425"/>
        <w:jc w:val="both"/>
        <w:rPr>
          <w:rFonts w:ascii="Arial" w:hAnsi="Arial" w:cs="Arial"/>
          <w:sz w:val="20"/>
          <w:szCs w:val="20"/>
        </w:rPr>
      </w:pPr>
      <w:r w:rsidRPr="00EE0DF6">
        <w:rPr>
          <w:rFonts w:ascii="Arial" w:hAnsi="Arial" w:cs="Arial"/>
          <w:sz w:val="20"/>
          <w:szCs w:val="20"/>
        </w:rPr>
        <w:t>Develop and test in practice hypotheses and strategies appropriate to unstructured situations of fact; to suggest alternative strategies and solutions to problems raised; to assess relative probabilities and outcomes in changing situations; to relate a situation or problem to wider contexts</w:t>
      </w:r>
      <w:r w:rsidR="009F75B2" w:rsidRPr="00EE0DF6">
        <w:rPr>
          <w:rFonts w:ascii="Arial" w:hAnsi="Arial" w:cs="Arial"/>
          <w:sz w:val="20"/>
          <w:szCs w:val="20"/>
        </w:rPr>
        <w:t>.</w:t>
      </w:r>
    </w:p>
    <w:p w14:paraId="6FBA7748" w14:textId="77777777" w:rsidR="00373ACB" w:rsidRPr="00EE0DF6" w:rsidRDefault="00A96773" w:rsidP="009635D1">
      <w:pPr>
        <w:pStyle w:val="ListParagraph"/>
        <w:numPr>
          <w:ilvl w:val="1"/>
          <w:numId w:val="1"/>
        </w:numPr>
        <w:spacing w:after="120" w:line="240" w:lineRule="auto"/>
        <w:ind w:left="851" w:right="260" w:hanging="425"/>
        <w:jc w:val="both"/>
        <w:rPr>
          <w:rFonts w:ascii="Arial" w:hAnsi="Arial" w:cs="Arial"/>
          <w:sz w:val="20"/>
          <w:szCs w:val="20"/>
        </w:rPr>
      </w:pPr>
      <w:r w:rsidRPr="00EE0DF6">
        <w:rPr>
          <w:rFonts w:ascii="Arial" w:hAnsi="Arial" w:cs="Arial"/>
          <w:sz w:val="20"/>
          <w:szCs w:val="20"/>
        </w:rPr>
        <w:t xml:space="preserve">Produce a creative, </w:t>
      </w:r>
      <w:proofErr w:type="gramStart"/>
      <w:r w:rsidRPr="00EE0DF6">
        <w:rPr>
          <w:rFonts w:ascii="Arial" w:hAnsi="Arial" w:cs="Arial"/>
          <w:sz w:val="20"/>
          <w:szCs w:val="20"/>
        </w:rPr>
        <w:t>critical</w:t>
      </w:r>
      <w:proofErr w:type="gramEnd"/>
      <w:r w:rsidRPr="00EE0DF6">
        <w:rPr>
          <w:rFonts w:ascii="Arial" w:hAnsi="Arial" w:cs="Arial"/>
          <w:sz w:val="20"/>
          <w:szCs w:val="20"/>
        </w:rPr>
        <w:t xml:space="preserve"> and analytical essay on the basis of independent research; writing in a clear and accessible way an argument or hypothesis and to set out a reasoned conclusion; having demonstrated the ability to utilise good footnoting, bibliographic, citation and reference systems, and careful and accurate use of the English language and legal terminology</w:t>
      </w:r>
      <w:r w:rsidR="009F75B2" w:rsidRPr="00EE0DF6">
        <w:rPr>
          <w:rFonts w:ascii="Arial" w:hAnsi="Arial" w:cs="Arial"/>
          <w:sz w:val="20"/>
          <w:szCs w:val="20"/>
        </w:rPr>
        <w:t>.</w:t>
      </w:r>
    </w:p>
    <w:p w14:paraId="5F7F097A" w14:textId="77777777" w:rsidR="00373ACB" w:rsidRPr="00EE0DF6" w:rsidRDefault="00373ACB" w:rsidP="0066061A">
      <w:pPr>
        <w:pStyle w:val="Default"/>
        <w:spacing w:after="120"/>
        <w:ind w:right="260"/>
        <w:rPr>
          <w:color w:val="auto"/>
          <w:sz w:val="20"/>
          <w:szCs w:val="20"/>
        </w:rPr>
      </w:pPr>
    </w:p>
    <w:p w14:paraId="279B84FC" w14:textId="77777777" w:rsidR="009A2D37" w:rsidRPr="00EE0DF6" w:rsidRDefault="009A2D37" w:rsidP="0066061A">
      <w:pPr>
        <w:numPr>
          <w:ilvl w:val="0"/>
          <w:numId w:val="1"/>
        </w:numPr>
        <w:spacing w:after="120" w:line="240" w:lineRule="auto"/>
        <w:ind w:left="426" w:right="260" w:hanging="426"/>
        <w:jc w:val="both"/>
        <w:rPr>
          <w:rFonts w:ascii="Arial" w:hAnsi="Arial" w:cs="Arial"/>
          <w:b/>
          <w:sz w:val="20"/>
          <w:szCs w:val="20"/>
        </w:rPr>
      </w:pPr>
      <w:r w:rsidRPr="00EE0DF6">
        <w:rPr>
          <w:rFonts w:ascii="Arial" w:hAnsi="Arial" w:cs="Arial"/>
          <w:b/>
          <w:sz w:val="20"/>
          <w:szCs w:val="20"/>
        </w:rPr>
        <w:t>A synopsis of the curriculum</w:t>
      </w:r>
    </w:p>
    <w:p w14:paraId="32EF9BD4" w14:textId="77777777" w:rsidR="00AF0515" w:rsidRDefault="00A96773" w:rsidP="009635D1">
      <w:pPr>
        <w:spacing w:after="120" w:line="240" w:lineRule="auto"/>
        <w:ind w:left="426" w:right="260"/>
        <w:jc w:val="both"/>
        <w:rPr>
          <w:rFonts w:ascii="Arial" w:hAnsi="Arial" w:cs="Arial"/>
          <w:iCs/>
          <w:sz w:val="20"/>
          <w:szCs w:val="20"/>
        </w:rPr>
      </w:pPr>
      <w:r w:rsidRPr="00EE0DF6">
        <w:rPr>
          <w:rFonts w:ascii="Arial" w:hAnsi="Arial" w:cs="Arial"/>
          <w:iCs/>
          <w:sz w:val="20"/>
          <w:szCs w:val="20"/>
        </w:rPr>
        <w:t xml:space="preserve">This module focuses on citizens of the EU and their family members who have chosen to exercise free movement and residence rights and thereby seek to rely on their ‘rights’ as EU citizens in the territory of another Member State. Students will investigate </w:t>
      </w:r>
      <w:r w:rsidR="00CE5C54" w:rsidRPr="00EE0DF6">
        <w:rPr>
          <w:rFonts w:ascii="Arial" w:hAnsi="Arial" w:cs="Arial"/>
          <w:iCs/>
          <w:sz w:val="20"/>
          <w:szCs w:val="20"/>
        </w:rPr>
        <w:t xml:space="preserve">the idea of </w:t>
      </w:r>
      <w:r w:rsidRPr="00EE0DF6">
        <w:rPr>
          <w:rFonts w:ascii="Arial" w:hAnsi="Arial" w:cs="Arial"/>
          <w:iCs/>
          <w:sz w:val="20"/>
          <w:szCs w:val="20"/>
        </w:rPr>
        <w:t xml:space="preserve">free movement and citizenship of the EU, including the foundational rules, principles, </w:t>
      </w:r>
      <w:proofErr w:type="gramStart"/>
      <w:r w:rsidRPr="00EE0DF6">
        <w:rPr>
          <w:rFonts w:ascii="Arial" w:hAnsi="Arial" w:cs="Arial"/>
          <w:iCs/>
          <w:sz w:val="20"/>
          <w:szCs w:val="20"/>
        </w:rPr>
        <w:t>doctrines</w:t>
      </w:r>
      <w:proofErr w:type="gramEnd"/>
      <w:r w:rsidRPr="00EE0DF6">
        <w:rPr>
          <w:rFonts w:ascii="Arial" w:hAnsi="Arial" w:cs="Arial"/>
          <w:iCs/>
          <w:sz w:val="20"/>
          <w:szCs w:val="20"/>
        </w:rPr>
        <w:t xml:space="preserve"> and their scope, through the prism of Clinical Legal Practice. The Clinical Option provides an opportunity for students to develop their knowledge of this contested and rapidly developing area of law by conducting, under the supervision of a Kent Law Clinic solicitor, a ‘real’ case where the law or rules said to derive from EU law are the subject of ‘live’ as opposed to ‘academic’ dispute/contestation. </w:t>
      </w:r>
      <w:r w:rsidR="00D3369E" w:rsidRPr="00EE0DF6">
        <w:rPr>
          <w:rFonts w:ascii="Arial" w:hAnsi="Arial" w:cs="Arial"/>
          <w:iCs/>
          <w:sz w:val="20"/>
          <w:szCs w:val="20"/>
        </w:rPr>
        <w:t xml:space="preserve">Each student will be allocated a case where a Clinic client is seeking to rely on free movement or citizenship rights in an appeal against a decision by the Department for Work and Pensions, the UK Border </w:t>
      </w:r>
      <w:proofErr w:type="gramStart"/>
      <w:r w:rsidR="00D3369E" w:rsidRPr="00EE0DF6">
        <w:rPr>
          <w:rFonts w:ascii="Arial" w:hAnsi="Arial" w:cs="Arial"/>
          <w:iCs/>
          <w:sz w:val="20"/>
          <w:szCs w:val="20"/>
        </w:rPr>
        <w:t>Agency</w:t>
      </w:r>
      <w:proofErr w:type="gramEnd"/>
      <w:r w:rsidR="00D3369E" w:rsidRPr="00EE0DF6">
        <w:rPr>
          <w:rFonts w:ascii="Arial" w:hAnsi="Arial" w:cs="Arial"/>
          <w:iCs/>
          <w:sz w:val="20"/>
          <w:szCs w:val="20"/>
        </w:rPr>
        <w:t xml:space="preserve"> or a local authority that s/he does not have a right to reside in the UK under EU law.</w:t>
      </w:r>
    </w:p>
    <w:p w14:paraId="6C6128B9" w14:textId="77777777" w:rsidR="00373ACB" w:rsidRPr="00EE0DF6" w:rsidRDefault="00373ACB" w:rsidP="00CE5C54">
      <w:pPr>
        <w:spacing w:after="120" w:line="240" w:lineRule="auto"/>
        <w:ind w:left="426" w:right="260"/>
        <w:rPr>
          <w:rFonts w:ascii="Arial" w:hAnsi="Arial" w:cs="Arial"/>
          <w:iCs/>
          <w:sz w:val="20"/>
          <w:szCs w:val="20"/>
        </w:rPr>
      </w:pPr>
    </w:p>
    <w:p w14:paraId="6664222A" w14:textId="77777777" w:rsidR="009A2D37" w:rsidRPr="00EE0DF6" w:rsidRDefault="009A2D37" w:rsidP="0066061A">
      <w:pPr>
        <w:numPr>
          <w:ilvl w:val="0"/>
          <w:numId w:val="1"/>
        </w:numPr>
        <w:spacing w:after="120" w:line="240" w:lineRule="auto"/>
        <w:ind w:left="426" w:right="260" w:hanging="426"/>
        <w:jc w:val="both"/>
        <w:rPr>
          <w:rFonts w:ascii="Arial" w:hAnsi="Arial" w:cs="Arial"/>
          <w:b/>
          <w:sz w:val="20"/>
          <w:szCs w:val="20"/>
        </w:rPr>
      </w:pPr>
      <w:r w:rsidRPr="00EE0DF6">
        <w:rPr>
          <w:rFonts w:ascii="Arial" w:hAnsi="Arial" w:cs="Arial"/>
          <w:b/>
          <w:sz w:val="20"/>
          <w:szCs w:val="20"/>
        </w:rPr>
        <w:t xml:space="preserve">Reading List </w:t>
      </w:r>
      <w:r w:rsidR="00274ED7" w:rsidRPr="00EE0DF6">
        <w:rPr>
          <w:rFonts w:ascii="Arial" w:hAnsi="Arial" w:cs="Arial"/>
          <w:b/>
          <w:sz w:val="20"/>
          <w:szCs w:val="20"/>
        </w:rPr>
        <w:t>(Indicative list, current at time of publication. Reading lists will be published annually)</w:t>
      </w:r>
    </w:p>
    <w:p w14:paraId="787AF0E8" w14:textId="77777777" w:rsidR="00A96773" w:rsidRPr="00EE0DF6" w:rsidRDefault="00A96773" w:rsidP="009635D1">
      <w:pPr>
        <w:pStyle w:val="ListParagraph"/>
        <w:numPr>
          <w:ilvl w:val="0"/>
          <w:numId w:val="12"/>
        </w:numPr>
        <w:spacing w:after="0"/>
        <w:ind w:right="260" w:hanging="294"/>
        <w:jc w:val="both"/>
        <w:rPr>
          <w:rFonts w:ascii="Arial" w:hAnsi="Arial" w:cs="Arial"/>
          <w:sz w:val="20"/>
          <w:szCs w:val="20"/>
        </w:rPr>
      </w:pPr>
      <w:r w:rsidRPr="00EE0DF6">
        <w:rPr>
          <w:rFonts w:ascii="Arial" w:hAnsi="Arial" w:cs="Arial"/>
          <w:sz w:val="20"/>
          <w:szCs w:val="20"/>
        </w:rPr>
        <w:t xml:space="preserve">Barnard C and Peers S, (eds) (2014) </w:t>
      </w:r>
      <w:r w:rsidRPr="00EE0DF6">
        <w:rPr>
          <w:rFonts w:ascii="Arial" w:hAnsi="Arial" w:cs="Arial"/>
          <w:i/>
          <w:sz w:val="20"/>
          <w:szCs w:val="20"/>
        </w:rPr>
        <w:t>EU Law</w:t>
      </w:r>
      <w:r w:rsidRPr="00EE0DF6">
        <w:rPr>
          <w:rFonts w:ascii="Arial" w:hAnsi="Arial" w:cs="Arial"/>
          <w:sz w:val="20"/>
          <w:szCs w:val="20"/>
        </w:rPr>
        <w:t xml:space="preserve"> (OUP).</w:t>
      </w:r>
    </w:p>
    <w:p w14:paraId="1F78E61A" w14:textId="77777777" w:rsidR="00A96773" w:rsidRPr="00EE0DF6" w:rsidRDefault="00A96773" w:rsidP="009635D1">
      <w:pPr>
        <w:pStyle w:val="ListParagraph"/>
        <w:numPr>
          <w:ilvl w:val="0"/>
          <w:numId w:val="12"/>
        </w:numPr>
        <w:spacing w:after="0"/>
        <w:ind w:right="260" w:hanging="294"/>
        <w:jc w:val="both"/>
        <w:rPr>
          <w:rFonts w:ascii="Arial" w:hAnsi="Arial" w:cs="Arial"/>
          <w:sz w:val="20"/>
          <w:szCs w:val="20"/>
        </w:rPr>
      </w:pPr>
      <w:r w:rsidRPr="00EE0DF6">
        <w:rPr>
          <w:rFonts w:ascii="Arial" w:hAnsi="Arial" w:cs="Arial"/>
          <w:sz w:val="20"/>
          <w:szCs w:val="20"/>
        </w:rPr>
        <w:t xml:space="preserve">Carrera S, and </w:t>
      </w:r>
      <w:proofErr w:type="spellStart"/>
      <w:r w:rsidRPr="00EE0DF6">
        <w:rPr>
          <w:rFonts w:ascii="Arial" w:hAnsi="Arial" w:cs="Arial"/>
          <w:sz w:val="20"/>
          <w:szCs w:val="20"/>
        </w:rPr>
        <w:t>Atger</w:t>
      </w:r>
      <w:proofErr w:type="spellEnd"/>
      <w:r w:rsidRPr="00EE0DF6">
        <w:rPr>
          <w:rFonts w:ascii="Arial" w:hAnsi="Arial" w:cs="Arial"/>
          <w:sz w:val="20"/>
          <w:szCs w:val="20"/>
        </w:rPr>
        <w:t xml:space="preserve"> AF, (2009) </w:t>
      </w:r>
      <w:r w:rsidRPr="00EE0DF6">
        <w:rPr>
          <w:rFonts w:ascii="Arial" w:hAnsi="Arial" w:cs="Arial"/>
          <w:i/>
          <w:sz w:val="20"/>
          <w:szCs w:val="20"/>
        </w:rPr>
        <w:t>Implementation of Directive 2004/38 in the context of EU Enlargement: A proliferation of different forms of citizenship?</w:t>
      </w:r>
      <w:r w:rsidRPr="00EE0DF6">
        <w:rPr>
          <w:rFonts w:ascii="Arial" w:hAnsi="Arial" w:cs="Arial"/>
          <w:sz w:val="20"/>
          <w:szCs w:val="20"/>
        </w:rPr>
        <w:t xml:space="preserve"> (Centre for European Policy Studies Special Reports).</w:t>
      </w:r>
    </w:p>
    <w:p w14:paraId="39C924FB" w14:textId="77777777" w:rsidR="00A96773" w:rsidRPr="00EE0DF6" w:rsidRDefault="00A96773" w:rsidP="009635D1">
      <w:pPr>
        <w:pStyle w:val="ListParagraph"/>
        <w:numPr>
          <w:ilvl w:val="0"/>
          <w:numId w:val="12"/>
        </w:numPr>
        <w:spacing w:after="0"/>
        <w:ind w:right="260" w:hanging="294"/>
        <w:jc w:val="both"/>
        <w:rPr>
          <w:rFonts w:ascii="Arial" w:hAnsi="Arial" w:cs="Arial"/>
          <w:sz w:val="20"/>
          <w:szCs w:val="20"/>
        </w:rPr>
      </w:pPr>
      <w:r w:rsidRPr="00EE0DF6">
        <w:rPr>
          <w:rFonts w:ascii="Arial" w:hAnsi="Arial" w:cs="Arial"/>
          <w:sz w:val="20"/>
          <w:szCs w:val="20"/>
        </w:rPr>
        <w:t xml:space="preserve">Craig P and De </w:t>
      </w:r>
      <w:proofErr w:type="spellStart"/>
      <w:r w:rsidRPr="00EE0DF6">
        <w:rPr>
          <w:rFonts w:ascii="Arial" w:hAnsi="Arial" w:cs="Arial"/>
          <w:sz w:val="20"/>
          <w:szCs w:val="20"/>
        </w:rPr>
        <w:t>Bύrca</w:t>
      </w:r>
      <w:proofErr w:type="spellEnd"/>
      <w:r w:rsidRPr="00EE0DF6">
        <w:rPr>
          <w:rFonts w:ascii="Arial" w:hAnsi="Arial" w:cs="Arial"/>
          <w:sz w:val="20"/>
          <w:szCs w:val="20"/>
        </w:rPr>
        <w:t xml:space="preserve"> G, (2011) </w:t>
      </w:r>
      <w:r w:rsidRPr="00EE0DF6">
        <w:rPr>
          <w:rFonts w:ascii="Arial" w:hAnsi="Arial" w:cs="Arial"/>
          <w:i/>
          <w:sz w:val="20"/>
          <w:szCs w:val="20"/>
        </w:rPr>
        <w:t>EU Law: Text, Cases, and Materials</w:t>
      </w:r>
      <w:r w:rsidRPr="00EE0DF6">
        <w:rPr>
          <w:rFonts w:ascii="Arial" w:hAnsi="Arial" w:cs="Arial"/>
          <w:sz w:val="20"/>
          <w:szCs w:val="20"/>
        </w:rPr>
        <w:t>, 5</w:t>
      </w:r>
      <w:r w:rsidRPr="00EE0DF6">
        <w:rPr>
          <w:rFonts w:ascii="Arial" w:hAnsi="Arial" w:cs="Arial"/>
          <w:sz w:val="20"/>
          <w:szCs w:val="20"/>
          <w:vertAlign w:val="superscript"/>
        </w:rPr>
        <w:t>th</w:t>
      </w:r>
      <w:r w:rsidRPr="00EE0DF6">
        <w:rPr>
          <w:rFonts w:ascii="Arial" w:hAnsi="Arial" w:cs="Arial"/>
          <w:sz w:val="20"/>
          <w:szCs w:val="20"/>
        </w:rPr>
        <w:t xml:space="preserve"> ed. (OUP).</w:t>
      </w:r>
    </w:p>
    <w:p w14:paraId="361AE501" w14:textId="77777777" w:rsidR="00A96773" w:rsidRPr="00EE0DF6" w:rsidDel="00602919" w:rsidRDefault="00A96773" w:rsidP="009635D1">
      <w:pPr>
        <w:pStyle w:val="ListParagraph"/>
        <w:numPr>
          <w:ilvl w:val="0"/>
          <w:numId w:val="12"/>
        </w:numPr>
        <w:spacing w:after="0"/>
        <w:ind w:right="260" w:hanging="294"/>
        <w:jc w:val="both"/>
        <w:rPr>
          <w:rFonts w:ascii="Arial" w:hAnsi="Arial" w:cs="Arial"/>
          <w:kern w:val="28"/>
          <w:sz w:val="20"/>
          <w:szCs w:val="20"/>
        </w:rPr>
      </w:pPr>
      <w:r w:rsidRPr="00EE0DF6">
        <w:rPr>
          <w:rFonts w:ascii="Arial" w:hAnsi="Arial" w:cs="Arial"/>
          <w:sz w:val="20"/>
          <w:szCs w:val="20"/>
        </w:rPr>
        <w:t xml:space="preserve">De </w:t>
      </w:r>
      <w:proofErr w:type="spellStart"/>
      <w:r w:rsidRPr="00EE0DF6">
        <w:rPr>
          <w:rFonts w:ascii="Arial" w:hAnsi="Arial" w:cs="Arial"/>
          <w:sz w:val="20"/>
          <w:szCs w:val="20"/>
        </w:rPr>
        <w:t>Bύrca</w:t>
      </w:r>
      <w:proofErr w:type="spellEnd"/>
      <w:r w:rsidRPr="00EE0DF6">
        <w:rPr>
          <w:rFonts w:ascii="Arial" w:hAnsi="Arial" w:cs="Arial"/>
          <w:sz w:val="20"/>
          <w:szCs w:val="20"/>
        </w:rPr>
        <w:t xml:space="preserve"> G, (ed) (2005) </w:t>
      </w:r>
      <w:r w:rsidRPr="00EE0DF6">
        <w:rPr>
          <w:rFonts w:ascii="Arial" w:hAnsi="Arial" w:cs="Arial"/>
          <w:i/>
          <w:sz w:val="20"/>
          <w:szCs w:val="20"/>
        </w:rPr>
        <w:t>EU Law and the Welfare State</w:t>
      </w:r>
      <w:r w:rsidRPr="00EE0DF6">
        <w:rPr>
          <w:rFonts w:ascii="Arial" w:hAnsi="Arial" w:cs="Arial"/>
          <w:sz w:val="20"/>
          <w:szCs w:val="20"/>
        </w:rPr>
        <w:t xml:space="preserve"> (OUP).</w:t>
      </w:r>
    </w:p>
    <w:p w14:paraId="56855184" w14:textId="77777777" w:rsidR="00A96773" w:rsidRPr="00EE0DF6" w:rsidRDefault="00A96773" w:rsidP="009635D1">
      <w:pPr>
        <w:pStyle w:val="ListParagraph"/>
        <w:numPr>
          <w:ilvl w:val="0"/>
          <w:numId w:val="12"/>
        </w:numPr>
        <w:spacing w:after="0"/>
        <w:ind w:right="260" w:hanging="294"/>
        <w:jc w:val="both"/>
        <w:rPr>
          <w:rFonts w:ascii="Arial" w:hAnsi="Arial" w:cs="Arial"/>
          <w:sz w:val="20"/>
          <w:szCs w:val="20"/>
        </w:rPr>
      </w:pPr>
      <w:r w:rsidRPr="00EE0DF6">
        <w:rPr>
          <w:rFonts w:ascii="Arial" w:hAnsi="Arial" w:cs="Arial"/>
          <w:sz w:val="20"/>
          <w:szCs w:val="20"/>
        </w:rPr>
        <w:t xml:space="preserve">Guild E, Peers S, and </w:t>
      </w:r>
      <w:proofErr w:type="spellStart"/>
      <w:r w:rsidRPr="00EE0DF6">
        <w:rPr>
          <w:rFonts w:ascii="Arial" w:hAnsi="Arial" w:cs="Arial"/>
          <w:sz w:val="20"/>
          <w:szCs w:val="20"/>
        </w:rPr>
        <w:t>Tomkin</w:t>
      </w:r>
      <w:proofErr w:type="spellEnd"/>
      <w:r w:rsidRPr="00EE0DF6">
        <w:rPr>
          <w:rFonts w:ascii="Arial" w:hAnsi="Arial" w:cs="Arial"/>
          <w:sz w:val="20"/>
          <w:szCs w:val="20"/>
        </w:rPr>
        <w:t xml:space="preserve"> J, (2014) </w:t>
      </w:r>
      <w:r w:rsidRPr="00EE0DF6">
        <w:rPr>
          <w:rFonts w:ascii="Arial" w:hAnsi="Arial" w:cs="Arial"/>
          <w:i/>
          <w:sz w:val="20"/>
          <w:szCs w:val="20"/>
        </w:rPr>
        <w:t>The EU Citizenship Directive: A Commentary</w:t>
      </w:r>
      <w:r w:rsidRPr="00EE0DF6">
        <w:rPr>
          <w:rFonts w:ascii="Arial" w:hAnsi="Arial" w:cs="Arial"/>
          <w:sz w:val="20"/>
          <w:szCs w:val="20"/>
        </w:rPr>
        <w:t xml:space="preserve"> (OUP).</w:t>
      </w:r>
    </w:p>
    <w:p w14:paraId="1B5F1126" w14:textId="77777777" w:rsidR="00A96773" w:rsidRPr="00EE0DF6" w:rsidRDefault="00A96773" w:rsidP="009635D1">
      <w:pPr>
        <w:pStyle w:val="ListParagraph"/>
        <w:numPr>
          <w:ilvl w:val="0"/>
          <w:numId w:val="12"/>
        </w:numPr>
        <w:spacing w:after="0"/>
        <w:ind w:right="260" w:hanging="294"/>
        <w:jc w:val="both"/>
        <w:rPr>
          <w:rFonts w:ascii="Arial" w:hAnsi="Arial" w:cs="Arial"/>
          <w:sz w:val="20"/>
          <w:szCs w:val="20"/>
        </w:rPr>
      </w:pPr>
      <w:r w:rsidRPr="00EE0DF6">
        <w:rPr>
          <w:rFonts w:ascii="Arial" w:hAnsi="Arial" w:cs="Arial"/>
          <w:sz w:val="20"/>
          <w:szCs w:val="20"/>
        </w:rPr>
        <w:t xml:space="preserve">Habermas J, (1990) </w:t>
      </w:r>
      <w:r w:rsidRPr="00EE0DF6">
        <w:rPr>
          <w:rFonts w:ascii="Arial" w:hAnsi="Arial" w:cs="Arial"/>
          <w:i/>
          <w:sz w:val="20"/>
          <w:szCs w:val="20"/>
        </w:rPr>
        <w:t>‘Citizenship and National Identity’ Annex 2 in Between Facts and Norms</w:t>
      </w:r>
      <w:r w:rsidRPr="00EE0DF6">
        <w:rPr>
          <w:rFonts w:ascii="Arial" w:hAnsi="Arial" w:cs="Arial"/>
          <w:sz w:val="20"/>
          <w:szCs w:val="20"/>
        </w:rPr>
        <w:t xml:space="preserve"> (Polity Press 1996).</w:t>
      </w:r>
    </w:p>
    <w:p w14:paraId="79580035" w14:textId="2FD9294D" w:rsidR="00A96773" w:rsidRPr="00EE0DF6" w:rsidRDefault="00A96773" w:rsidP="009635D1">
      <w:pPr>
        <w:pStyle w:val="ListParagraph"/>
        <w:numPr>
          <w:ilvl w:val="0"/>
          <w:numId w:val="12"/>
        </w:numPr>
        <w:spacing w:after="0"/>
        <w:ind w:right="260" w:hanging="294"/>
        <w:jc w:val="both"/>
        <w:rPr>
          <w:rFonts w:ascii="Arial" w:hAnsi="Arial" w:cs="Arial"/>
          <w:sz w:val="20"/>
          <w:szCs w:val="20"/>
        </w:rPr>
      </w:pPr>
      <w:r w:rsidRPr="00EE0DF6">
        <w:rPr>
          <w:rFonts w:ascii="Arial" w:hAnsi="Arial" w:cs="Arial"/>
          <w:sz w:val="20"/>
          <w:szCs w:val="20"/>
        </w:rPr>
        <w:t xml:space="preserve">Marshall TH, (1950) </w:t>
      </w:r>
      <w:r w:rsidRPr="00EE0DF6">
        <w:rPr>
          <w:rFonts w:ascii="Arial" w:hAnsi="Arial" w:cs="Arial"/>
          <w:i/>
          <w:sz w:val="20"/>
          <w:szCs w:val="20"/>
        </w:rPr>
        <w:t>Citizenship and Social Class, and Other Essays</w:t>
      </w:r>
      <w:r w:rsidRPr="00EE0DF6">
        <w:rPr>
          <w:rFonts w:ascii="Arial" w:hAnsi="Arial" w:cs="Arial"/>
          <w:sz w:val="20"/>
          <w:szCs w:val="20"/>
        </w:rPr>
        <w:t xml:space="preserve"> (CUP)</w:t>
      </w:r>
      <w:r w:rsidR="00EE0DF6">
        <w:rPr>
          <w:rFonts w:ascii="Arial" w:hAnsi="Arial" w:cs="Arial"/>
          <w:sz w:val="20"/>
          <w:szCs w:val="20"/>
        </w:rPr>
        <w:t>.</w:t>
      </w:r>
    </w:p>
    <w:p w14:paraId="03434334" w14:textId="1DB5F96F" w:rsidR="00C318AC" w:rsidRDefault="00C318AC" w:rsidP="00BF6F54">
      <w:pPr>
        <w:pStyle w:val="ListParagraph"/>
        <w:spacing w:after="0"/>
        <w:ind w:right="-46"/>
        <w:rPr>
          <w:rFonts w:ascii="Arial" w:hAnsi="Arial" w:cs="Arial"/>
          <w:sz w:val="20"/>
          <w:szCs w:val="20"/>
        </w:rPr>
      </w:pPr>
    </w:p>
    <w:p w14:paraId="692EC88D" w14:textId="77777777" w:rsidR="00AF0515" w:rsidRPr="00EE0DF6" w:rsidRDefault="00AF0515" w:rsidP="00BF6F54">
      <w:pPr>
        <w:pStyle w:val="ListParagraph"/>
        <w:spacing w:after="0"/>
        <w:ind w:right="-46"/>
        <w:rPr>
          <w:rFonts w:ascii="Arial" w:hAnsi="Arial" w:cs="Arial"/>
          <w:sz w:val="20"/>
          <w:szCs w:val="20"/>
        </w:rPr>
      </w:pPr>
    </w:p>
    <w:p w14:paraId="5077E98D" w14:textId="174A24B0" w:rsidR="00DE4F08" w:rsidRDefault="009A2D37" w:rsidP="0066061A">
      <w:pPr>
        <w:numPr>
          <w:ilvl w:val="0"/>
          <w:numId w:val="1"/>
        </w:numPr>
        <w:spacing w:after="120" w:line="240" w:lineRule="auto"/>
        <w:ind w:left="426" w:right="260" w:hanging="426"/>
        <w:rPr>
          <w:rFonts w:ascii="Arial" w:hAnsi="Arial" w:cs="Arial"/>
          <w:iCs/>
          <w:sz w:val="20"/>
          <w:szCs w:val="20"/>
        </w:rPr>
      </w:pPr>
      <w:r w:rsidRPr="00EE0DF6">
        <w:rPr>
          <w:rFonts w:ascii="Arial" w:hAnsi="Arial" w:cs="Arial"/>
          <w:b/>
          <w:sz w:val="20"/>
          <w:szCs w:val="20"/>
        </w:rPr>
        <w:t>Learning</w:t>
      </w:r>
      <w:r w:rsidR="006F3F8B" w:rsidRPr="00EE0DF6">
        <w:rPr>
          <w:rFonts w:ascii="Arial" w:hAnsi="Arial" w:cs="Arial"/>
          <w:b/>
          <w:sz w:val="20"/>
          <w:szCs w:val="20"/>
        </w:rPr>
        <w:t xml:space="preserve"> and Teaching m</w:t>
      </w:r>
      <w:r w:rsidRPr="00EE0DF6">
        <w:rPr>
          <w:rFonts w:ascii="Arial" w:hAnsi="Arial" w:cs="Arial"/>
          <w:b/>
          <w:sz w:val="20"/>
          <w:szCs w:val="20"/>
        </w:rPr>
        <w:t>ethods</w:t>
      </w:r>
      <w:r w:rsidR="006F3F8B" w:rsidRPr="00EE0DF6">
        <w:rPr>
          <w:rFonts w:ascii="Arial" w:hAnsi="Arial" w:cs="Arial"/>
          <w:b/>
          <w:sz w:val="20"/>
          <w:szCs w:val="20"/>
        </w:rPr>
        <w:br/>
      </w:r>
    </w:p>
    <w:p w14:paraId="30D701F6" w14:textId="1F981A00" w:rsidR="00DC22AB" w:rsidRPr="00BA2908" w:rsidRDefault="00407151" w:rsidP="00DC22AB">
      <w:pPr>
        <w:spacing w:after="120" w:line="240" w:lineRule="auto"/>
        <w:ind w:left="426" w:right="260"/>
        <w:rPr>
          <w:rFonts w:ascii="Arial" w:hAnsi="Arial" w:cs="Arial"/>
          <w:iCs/>
          <w:sz w:val="20"/>
          <w:szCs w:val="20"/>
        </w:rPr>
      </w:pPr>
      <w:r>
        <w:rPr>
          <w:rFonts w:ascii="Arial" w:hAnsi="Arial" w:cs="Arial"/>
          <w:iCs/>
          <w:sz w:val="20"/>
          <w:szCs w:val="20"/>
        </w:rPr>
        <w:t>Contact hours: 18</w:t>
      </w:r>
    </w:p>
    <w:p w14:paraId="437310C2" w14:textId="414191B1" w:rsidR="00DC22AB" w:rsidRDefault="00DC22AB" w:rsidP="00DC22AB">
      <w:pPr>
        <w:spacing w:after="120" w:line="240" w:lineRule="auto"/>
        <w:ind w:left="426" w:right="260"/>
        <w:rPr>
          <w:rFonts w:ascii="Arial" w:hAnsi="Arial" w:cs="Arial"/>
          <w:iCs/>
          <w:sz w:val="20"/>
          <w:szCs w:val="20"/>
        </w:rPr>
      </w:pPr>
      <w:r>
        <w:rPr>
          <w:rFonts w:ascii="Arial" w:hAnsi="Arial" w:cs="Arial"/>
          <w:iCs/>
          <w:sz w:val="20"/>
          <w:szCs w:val="20"/>
        </w:rPr>
        <w:t>Private study hours: 18</w:t>
      </w:r>
      <w:r w:rsidR="00407151">
        <w:rPr>
          <w:rFonts w:ascii="Arial" w:hAnsi="Arial" w:cs="Arial"/>
          <w:iCs/>
          <w:sz w:val="20"/>
          <w:szCs w:val="20"/>
        </w:rPr>
        <w:t>2</w:t>
      </w:r>
    </w:p>
    <w:p w14:paraId="688C40C1" w14:textId="624293CE" w:rsidR="000E472F" w:rsidRDefault="000E472F" w:rsidP="0077112A">
      <w:pPr>
        <w:spacing w:after="120" w:line="240" w:lineRule="auto"/>
        <w:ind w:left="426" w:right="260"/>
        <w:rPr>
          <w:rFonts w:ascii="Arial" w:hAnsi="Arial" w:cs="Arial"/>
          <w:iCs/>
          <w:sz w:val="20"/>
          <w:szCs w:val="20"/>
        </w:rPr>
      </w:pPr>
      <w:r>
        <w:rPr>
          <w:rFonts w:ascii="Arial" w:hAnsi="Arial" w:cs="Arial"/>
          <w:iCs/>
          <w:sz w:val="20"/>
          <w:szCs w:val="20"/>
        </w:rPr>
        <w:t>Total study hours: 200</w:t>
      </w:r>
    </w:p>
    <w:p w14:paraId="0B9D5024" w14:textId="19C92432" w:rsidR="00373ACB" w:rsidRPr="00EE0DF6" w:rsidRDefault="009635D1" w:rsidP="009635D1">
      <w:pPr>
        <w:spacing w:after="120" w:line="240" w:lineRule="auto"/>
        <w:ind w:right="260"/>
        <w:rPr>
          <w:rFonts w:ascii="Arial" w:hAnsi="Arial" w:cs="Arial"/>
          <w:i/>
          <w:iCs/>
          <w:sz w:val="20"/>
          <w:szCs w:val="20"/>
        </w:rPr>
      </w:pPr>
      <w:r>
        <w:rPr>
          <w:rFonts w:ascii="Arial" w:hAnsi="Arial" w:cs="Arial"/>
          <w:iCs/>
          <w:sz w:val="20"/>
          <w:szCs w:val="20"/>
        </w:rPr>
        <w:tab/>
      </w:r>
      <w:r>
        <w:rPr>
          <w:rFonts w:ascii="Arial" w:hAnsi="Arial" w:cs="Arial"/>
          <w:iCs/>
          <w:sz w:val="20"/>
          <w:szCs w:val="20"/>
        </w:rPr>
        <w:tab/>
      </w:r>
    </w:p>
    <w:p w14:paraId="1925254B" w14:textId="77777777" w:rsidR="00DC22AB" w:rsidRPr="00DC22AB" w:rsidRDefault="00EF4933" w:rsidP="0066061A">
      <w:pPr>
        <w:numPr>
          <w:ilvl w:val="0"/>
          <w:numId w:val="1"/>
        </w:numPr>
        <w:spacing w:after="120" w:line="240" w:lineRule="auto"/>
        <w:ind w:left="426" w:right="260" w:hanging="426"/>
        <w:rPr>
          <w:rFonts w:ascii="Arial" w:hAnsi="Arial" w:cs="Arial"/>
          <w:b/>
          <w:i/>
          <w:iCs/>
          <w:sz w:val="20"/>
          <w:szCs w:val="20"/>
        </w:rPr>
      </w:pPr>
      <w:r w:rsidRPr="00EE0DF6">
        <w:rPr>
          <w:rFonts w:ascii="Arial" w:hAnsi="Arial" w:cs="Arial"/>
          <w:b/>
          <w:sz w:val="20"/>
          <w:szCs w:val="20"/>
        </w:rPr>
        <w:t>Assessment methods</w:t>
      </w:r>
      <w:r w:rsidR="006F3F8B" w:rsidRPr="00EE0DF6">
        <w:rPr>
          <w:rFonts w:ascii="Arial" w:hAnsi="Arial" w:cs="Arial"/>
          <w:b/>
          <w:sz w:val="20"/>
          <w:szCs w:val="20"/>
        </w:rPr>
        <w:t>.</w:t>
      </w:r>
    </w:p>
    <w:p w14:paraId="4800EA78" w14:textId="77777777" w:rsidR="00DC22AB" w:rsidRDefault="00DC22AB" w:rsidP="00DC22AB">
      <w:pPr>
        <w:spacing w:after="120" w:line="240" w:lineRule="auto"/>
        <w:ind w:right="260"/>
        <w:rPr>
          <w:rFonts w:ascii="Arial" w:hAnsi="Arial" w:cs="Arial"/>
          <w:b/>
          <w:sz w:val="20"/>
          <w:szCs w:val="20"/>
        </w:rPr>
      </w:pPr>
    </w:p>
    <w:p w14:paraId="44F62FE2" w14:textId="633209C0" w:rsidR="00A96773" w:rsidRPr="000E472F" w:rsidRDefault="00DC22AB" w:rsidP="000E472F">
      <w:pPr>
        <w:spacing w:after="120" w:line="240" w:lineRule="auto"/>
        <w:ind w:left="426" w:right="260"/>
        <w:rPr>
          <w:rFonts w:ascii="Arial" w:hAnsi="Arial" w:cs="Arial"/>
          <w:b/>
          <w:i/>
          <w:iCs/>
          <w:sz w:val="20"/>
          <w:szCs w:val="20"/>
        </w:rPr>
      </w:pPr>
      <w:r w:rsidRPr="006F3F43">
        <w:rPr>
          <w:rFonts w:ascii="Arial" w:hAnsi="Arial" w:cs="Arial"/>
          <w:iCs/>
          <w:sz w:val="20"/>
          <w:szCs w:val="20"/>
          <w:u w:val="single"/>
        </w:rPr>
        <w:t>13.1 Main assessment methods</w:t>
      </w:r>
      <w:r w:rsidR="006F3F8B" w:rsidRPr="00EE0DF6">
        <w:rPr>
          <w:rFonts w:ascii="Arial" w:hAnsi="Arial" w:cs="Arial"/>
          <w:b/>
          <w:sz w:val="20"/>
          <w:szCs w:val="20"/>
        </w:rPr>
        <w:br/>
      </w:r>
    </w:p>
    <w:p w14:paraId="392BE36D" w14:textId="0DEC71A6" w:rsidR="00AF0515" w:rsidRDefault="007579A4" w:rsidP="009635D1">
      <w:pPr>
        <w:pStyle w:val="ListParagraph"/>
        <w:spacing w:after="0"/>
        <w:ind w:left="426" w:right="-46"/>
        <w:rPr>
          <w:rFonts w:ascii="Arial" w:hAnsi="Arial" w:cs="Arial"/>
          <w:sz w:val="20"/>
          <w:szCs w:val="20"/>
        </w:rPr>
      </w:pPr>
      <w:r>
        <w:rPr>
          <w:rFonts w:ascii="Arial" w:hAnsi="Arial" w:cs="Arial"/>
          <w:sz w:val="20"/>
          <w:szCs w:val="20"/>
        </w:rPr>
        <w:lastRenderedPageBreak/>
        <w:t>Continuous in-module c</w:t>
      </w:r>
      <w:r w:rsidR="00DC22AB">
        <w:rPr>
          <w:rFonts w:ascii="Arial" w:hAnsi="Arial" w:cs="Arial"/>
          <w:sz w:val="20"/>
          <w:szCs w:val="20"/>
        </w:rPr>
        <w:t xml:space="preserve">ase </w:t>
      </w:r>
      <w:r>
        <w:rPr>
          <w:rFonts w:ascii="Arial" w:hAnsi="Arial" w:cs="Arial"/>
          <w:sz w:val="20"/>
          <w:szCs w:val="20"/>
        </w:rPr>
        <w:t>c</w:t>
      </w:r>
      <w:r w:rsidR="00DC22AB">
        <w:rPr>
          <w:rFonts w:ascii="Arial" w:hAnsi="Arial" w:cs="Arial"/>
          <w:sz w:val="20"/>
          <w:szCs w:val="20"/>
        </w:rPr>
        <w:t>onduct</w:t>
      </w:r>
      <w:r>
        <w:rPr>
          <w:rFonts w:ascii="Arial" w:hAnsi="Arial" w:cs="Arial"/>
          <w:sz w:val="20"/>
          <w:szCs w:val="20"/>
        </w:rPr>
        <w:t xml:space="preserve"> (‘casework’)</w:t>
      </w:r>
      <w:r w:rsidR="00DC22AB">
        <w:rPr>
          <w:rFonts w:ascii="Arial" w:hAnsi="Arial" w:cs="Arial"/>
          <w:sz w:val="20"/>
          <w:szCs w:val="20"/>
        </w:rPr>
        <w:t xml:space="preserve"> (</w:t>
      </w:r>
      <w:r w:rsidR="00A96773" w:rsidRPr="00EE0DF6">
        <w:rPr>
          <w:rFonts w:ascii="Arial" w:hAnsi="Arial" w:cs="Arial"/>
          <w:sz w:val="20"/>
          <w:szCs w:val="20"/>
        </w:rPr>
        <w:t>20%</w:t>
      </w:r>
      <w:r w:rsidR="00DC22AB">
        <w:rPr>
          <w:rFonts w:ascii="Arial" w:hAnsi="Arial" w:cs="Arial"/>
          <w:sz w:val="20"/>
          <w:szCs w:val="20"/>
        </w:rPr>
        <w:t>)</w:t>
      </w:r>
      <w:r w:rsidR="00A96773" w:rsidRPr="00EE0DF6">
        <w:rPr>
          <w:rFonts w:ascii="Arial" w:hAnsi="Arial" w:cs="Arial"/>
          <w:sz w:val="20"/>
          <w:szCs w:val="20"/>
        </w:rPr>
        <w:br/>
      </w:r>
      <w:r w:rsidR="00A96773" w:rsidRPr="00EE0DF6">
        <w:rPr>
          <w:rFonts w:ascii="Arial" w:hAnsi="Arial" w:cs="Arial"/>
          <w:sz w:val="20"/>
          <w:szCs w:val="20"/>
        </w:rPr>
        <w:br/>
      </w:r>
      <w:r w:rsidR="00D01BFB">
        <w:rPr>
          <w:rFonts w:ascii="Arial" w:hAnsi="Arial" w:cs="Arial"/>
          <w:sz w:val="20"/>
          <w:szCs w:val="20"/>
        </w:rPr>
        <w:t>E</w:t>
      </w:r>
      <w:r w:rsidR="00A96773" w:rsidRPr="00EE0DF6">
        <w:rPr>
          <w:rFonts w:ascii="Arial" w:hAnsi="Arial" w:cs="Arial"/>
          <w:sz w:val="20"/>
          <w:szCs w:val="20"/>
        </w:rPr>
        <w:t>ssay</w:t>
      </w:r>
      <w:r w:rsidR="00D01BFB">
        <w:rPr>
          <w:rFonts w:ascii="Arial" w:hAnsi="Arial" w:cs="Arial"/>
          <w:sz w:val="20"/>
          <w:szCs w:val="20"/>
        </w:rPr>
        <w:t>,</w:t>
      </w:r>
      <w:r w:rsidR="00A96773" w:rsidRPr="00EE0DF6">
        <w:rPr>
          <w:rFonts w:ascii="Arial" w:hAnsi="Arial" w:cs="Arial"/>
          <w:sz w:val="20"/>
          <w:szCs w:val="20"/>
        </w:rPr>
        <w:t xml:space="preserve"> 4000 words</w:t>
      </w:r>
      <w:r w:rsidR="00D01BFB">
        <w:rPr>
          <w:rFonts w:ascii="Arial" w:hAnsi="Arial" w:cs="Arial"/>
          <w:sz w:val="20"/>
          <w:szCs w:val="20"/>
        </w:rPr>
        <w:t xml:space="preserve"> (</w:t>
      </w:r>
      <w:r w:rsidR="00A96773" w:rsidRPr="00EE0DF6">
        <w:rPr>
          <w:rFonts w:ascii="Arial" w:hAnsi="Arial" w:cs="Arial"/>
          <w:sz w:val="20"/>
          <w:szCs w:val="20"/>
        </w:rPr>
        <w:t>80%</w:t>
      </w:r>
      <w:r w:rsidR="00D01BFB">
        <w:rPr>
          <w:rFonts w:ascii="Arial" w:hAnsi="Arial" w:cs="Arial"/>
          <w:sz w:val="20"/>
          <w:szCs w:val="20"/>
        </w:rPr>
        <w:t>)</w:t>
      </w:r>
    </w:p>
    <w:p w14:paraId="11667FA2" w14:textId="4E30E4F9" w:rsidR="0066061A" w:rsidRPr="0054351A" w:rsidRDefault="00A96773" w:rsidP="009635D1">
      <w:pPr>
        <w:pStyle w:val="ListParagraph"/>
        <w:spacing w:after="0"/>
        <w:ind w:left="851" w:right="-46"/>
        <w:rPr>
          <w:rFonts w:ascii="Arial" w:hAnsi="Arial" w:cs="Arial"/>
          <w:sz w:val="20"/>
          <w:szCs w:val="20"/>
        </w:rPr>
      </w:pPr>
      <w:r w:rsidRPr="00EE0DF6">
        <w:rPr>
          <w:rFonts w:ascii="Arial" w:hAnsi="Arial" w:cs="Arial"/>
          <w:sz w:val="20"/>
          <w:szCs w:val="20"/>
        </w:rPr>
        <w:br/>
      </w:r>
    </w:p>
    <w:p w14:paraId="37C4332B" w14:textId="77777777" w:rsidR="00DC22AB" w:rsidRDefault="00DC22AB" w:rsidP="00DC22AB">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43B2473" w14:textId="2C657463" w:rsidR="00373ACB" w:rsidRDefault="00373ACB" w:rsidP="0066061A">
      <w:pPr>
        <w:spacing w:after="120" w:line="240" w:lineRule="auto"/>
        <w:ind w:left="426" w:right="260"/>
        <w:rPr>
          <w:rFonts w:ascii="Arial" w:hAnsi="Arial" w:cs="Arial"/>
          <w:b/>
          <w:i/>
          <w:iCs/>
          <w:sz w:val="20"/>
          <w:szCs w:val="20"/>
        </w:rPr>
      </w:pPr>
    </w:p>
    <w:p w14:paraId="4B2ECEDC" w14:textId="5A1EC886" w:rsidR="00D01BFB" w:rsidRPr="009635D1" w:rsidRDefault="00D01BFB" w:rsidP="0066061A">
      <w:pPr>
        <w:spacing w:after="120" w:line="240" w:lineRule="auto"/>
        <w:ind w:left="426" w:right="260"/>
        <w:rPr>
          <w:rFonts w:ascii="Arial" w:hAnsi="Arial" w:cs="Arial"/>
          <w:iCs/>
          <w:sz w:val="20"/>
          <w:szCs w:val="20"/>
        </w:rPr>
      </w:pPr>
      <w:r w:rsidRPr="009635D1">
        <w:rPr>
          <w:rFonts w:ascii="Arial" w:hAnsi="Arial" w:cs="Arial"/>
          <w:iCs/>
          <w:sz w:val="20"/>
          <w:szCs w:val="20"/>
        </w:rPr>
        <w:t>Like for Like</w:t>
      </w:r>
    </w:p>
    <w:p w14:paraId="69FFA2F4" w14:textId="77777777" w:rsidR="00D01BFB" w:rsidRPr="00EE0DF6" w:rsidRDefault="00D01BFB" w:rsidP="0066061A">
      <w:pPr>
        <w:spacing w:after="120" w:line="240" w:lineRule="auto"/>
        <w:ind w:left="426" w:right="260"/>
        <w:rPr>
          <w:rFonts w:ascii="Arial" w:hAnsi="Arial" w:cs="Arial"/>
          <w:b/>
          <w:i/>
          <w:iCs/>
          <w:sz w:val="20"/>
          <w:szCs w:val="20"/>
        </w:rPr>
      </w:pPr>
    </w:p>
    <w:p w14:paraId="0BF204E8" w14:textId="77777777" w:rsidR="00A96773" w:rsidRPr="009635D1" w:rsidRDefault="006F3F8B" w:rsidP="009635D1">
      <w:pPr>
        <w:numPr>
          <w:ilvl w:val="0"/>
          <w:numId w:val="1"/>
        </w:numPr>
        <w:spacing w:after="120" w:line="240" w:lineRule="auto"/>
        <w:ind w:left="426" w:right="260" w:hanging="426"/>
        <w:jc w:val="both"/>
        <w:rPr>
          <w:rFonts w:ascii="Arial" w:hAnsi="Arial" w:cs="Arial"/>
          <w:b/>
          <w:iCs/>
          <w:sz w:val="20"/>
          <w:szCs w:val="20"/>
        </w:rPr>
      </w:pPr>
      <w:r w:rsidRPr="009635D1">
        <w:rPr>
          <w:rFonts w:ascii="Arial" w:hAnsi="Arial" w:cs="Arial"/>
          <w:b/>
          <w:iCs/>
          <w:sz w:val="20"/>
          <w:szCs w:val="20"/>
        </w:rPr>
        <w:t>Map of Module Learning Outcomes</w:t>
      </w:r>
      <w:r w:rsidR="00B30E07" w:rsidRPr="009635D1">
        <w:rPr>
          <w:rFonts w:ascii="Arial" w:hAnsi="Arial" w:cs="Arial"/>
          <w:b/>
          <w:iCs/>
          <w:sz w:val="20"/>
          <w:szCs w:val="20"/>
        </w:rPr>
        <w:t xml:space="preserve"> (sections 8 &amp; 9)</w:t>
      </w:r>
      <w:r w:rsidRPr="009635D1">
        <w:rPr>
          <w:rFonts w:ascii="Arial" w:hAnsi="Arial" w:cs="Arial"/>
          <w:b/>
          <w:iCs/>
          <w:sz w:val="20"/>
          <w:szCs w:val="20"/>
        </w:rPr>
        <w:t xml:space="preserve"> to Learning</w:t>
      </w:r>
      <w:r w:rsidR="00B30E07" w:rsidRPr="009635D1">
        <w:rPr>
          <w:rFonts w:ascii="Arial" w:hAnsi="Arial" w:cs="Arial"/>
          <w:b/>
          <w:iCs/>
          <w:sz w:val="20"/>
          <w:szCs w:val="20"/>
        </w:rPr>
        <w:t xml:space="preserve"> and Teaching Methods (section</w:t>
      </w:r>
      <w:r w:rsidR="0066061A" w:rsidRPr="009635D1">
        <w:rPr>
          <w:rFonts w:ascii="Arial" w:hAnsi="Arial" w:cs="Arial"/>
          <w:b/>
          <w:iCs/>
          <w:sz w:val="20"/>
          <w:szCs w:val="20"/>
        </w:rPr>
        <w:t xml:space="preserve"> </w:t>
      </w:r>
      <w:r w:rsidR="00B30E07" w:rsidRPr="009635D1">
        <w:rPr>
          <w:rFonts w:ascii="Arial" w:hAnsi="Arial" w:cs="Arial"/>
          <w:b/>
          <w:iCs/>
          <w:sz w:val="20"/>
          <w:szCs w:val="20"/>
        </w:rPr>
        <w:t>12</w:t>
      </w:r>
      <w:r w:rsidRPr="009635D1">
        <w:rPr>
          <w:rFonts w:ascii="Arial" w:hAnsi="Arial" w:cs="Arial"/>
          <w:b/>
          <w:iCs/>
          <w:sz w:val="20"/>
          <w:szCs w:val="20"/>
        </w:rPr>
        <w:t>) and m</w:t>
      </w:r>
      <w:r w:rsidR="00B30E07" w:rsidRPr="009635D1">
        <w:rPr>
          <w:rFonts w:ascii="Arial" w:hAnsi="Arial" w:cs="Arial"/>
          <w:b/>
          <w:iCs/>
          <w:sz w:val="20"/>
          <w:szCs w:val="20"/>
        </w:rPr>
        <w:t>ethods of Assessment (section 13</w:t>
      </w:r>
      <w:r w:rsidR="00EF4933" w:rsidRPr="009635D1">
        <w:rPr>
          <w:rFonts w:ascii="Arial" w:hAnsi="Arial" w:cs="Arial"/>
          <w:b/>
          <w:iCs/>
          <w:sz w:val="20"/>
          <w:szCs w:val="20"/>
        </w:rPr>
        <w:t>)</w:t>
      </w:r>
    </w:p>
    <w:p w14:paraId="5EB2E370" w14:textId="77777777" w:rsidR="00727780" w:rsidRPr="00EE0DF6" w:rsidRDefault="00727780" w:rsidP="0066061A">
      <w:pPr>
        <w:spacing w:after="120" w:line="240" w:lineRule="auto"/>
        <w:ind w:right="260"/>
        <w:rPr>
          <w:rFonts w:ascii="Arial" w:hAnsi="Arial" w:cs="Arial"/>
          <w:b/>
          <w:i/>
          <w:iCs/>
          <w:sz w:val="20"/>
          <w:szCs w:val="20"/>
        </w:rPr>
      </w:pPr>
    </w:p>
    <w:tbl>
      <w:tblPr>
        <w:tblStyle w:val="TableGrid"/>
        <w:tblW w:w="4019" w:type="pct"/>
        <w:jc w:val="center"/>
        <w:tblLayout w:type="fixed"/>
        <w:tblLook w:val="04A0" w:firstRow="1" w:lastRow="0" w:firstColumn="1" w:lastColumn="0" w:noHBand="0" w:noVBand="1"/>
      </w:tblPr>
      <w:tblGrid>
        <w:gridCol w:w="1939"/>
        <w:gridCol w:w="588"/>
        <w:gridCol w:w="589"/>
        <w:gridCol w:w="588"/>
        <w:gridCol w:w="588"/>
        <w:gridCol w:w="588"/>
        <w:gridCol w:w="588"/>
        <w:gridCol w:w="588"/>
        <w:gridCol w:w="588"/>
        <w:gridCol w:w="588"/>
        <w:gridCol w:w="588"/>
        <w:gridCol w:w="585"/>
      </w:tblGrid>
      <w:tr w:rsidR="0077112A" w:rsidRPr="00EE0DF6" w14:paraId="52277C8B" w14:textId="77777777" w:rsidTr="0077112A">
        <w:trPr>
          <w:trHeight w:val="397"/>
          <w:jc w:val="center"/>
        </w:trPr>
        <w:tc>
          <w:tcPr>
            <w:tcW w:w="1153" w:type="pct"/>
            <w:shd w:val="clear" w:color="auto" w:fill="D9D9D9" w:themeFill="background1" w:themeFillShade="D9"/>
            <w:vAlign w:val="center"/>
          </w:tcPr>
          <w:p w14:paraId="0FCC3182" w14:textId="77777777" w:rsidR="0077112A" w:rsidRPr="00EE0DF6" w:rsidRDefault="0077112A" w:rsidP="00A96773">
            <w:pPr>
              <w:spacing w:after="120"/>
              <w:rPr>
                <w:rFonts w:ascii="Arial" w:hAnsi="Arial" w:cs="Arial"/>
                <w:i/>
                <w:sz w:val="20"/>
                <w:szCs w:val="20"/>
              </w:rPr>
            </w:pPr>
            <w:r w:rsidRPr="00EE0DF6">
              <w:rPr>
                <w:rFonts w:ascii="Arial" w:hAnsi="Arial" w:cs="Arial"/>
                <w:b/>
                <w:sz w:val="20"/>
                <w:szCs w:val="20"/>
              </w:rPr>
              <w:t>Module learning outcome</w:t>
            </w:r>
          </w:p>
        </w:tc>
        <w:tc>
          <w:tcPr>
            <w:tcW w:w="349" w:type="pct"/>
            <w:vMerge w:val="restart"/>
            <w:tcBorders>
              <w:right w:val="single" w:sz="4" w:space="0" w:color="auto"/>
            </w:tcBorders>
            <w:vAlign w:val="center"/>
          </w:tcPr>
          <w:p w14:paraId="2793F855" w14:textId="7BA203BE"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8.1</w:t>
            </w:r>
          </w:p>
        </w:tc>
        <w:tc>
          <w:tcPr>
            <w:tcW w:w="350" w:type="pct"/>
            <w:vMerge w:val="restart"/>
            <w:tcBorders>
              <w:left w:val="single" w:sz="4" w:space="0" w:color="auto"/>
              <w:right w:val="single" w:sz="4" w:space="0" w:color="auto"/>
            </w:tcBorders>
            <w:vAlign w:val="center"/>
          </w:tcPr>
          <w:p w14:paraId="72AA9FE1"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8.2</w:t>
            </w:r>
          </w:p>
        </w:tc>
        <w:tc>
          <w:tcPr>
            <w:tcW w:w="350" w:type="pct"/>
            <w:vMerge w:val="restart"/>
            <w:tcBorders>
              <w:left w:val="single" w:sz="4" w:space="0" w:color="auto"/>
              <w:right w:val="single" w:sz="4" w:space="0" w:color="auto"/>
            </w:tcBorders>
            <w:vAlign w:val="center"/>
          </w:tcPr>
          <w:p w14:paraId="16C47420"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8.3</w:t>
            </w:r>
          </w:p>
        </w:tc>
        <w:tc>
          <w:tcPr>
            <w:tcW w:w="350" w:type="pct"/>
            <w:vMerge w:val="restart"/>
            <w:tcBorders>
              <w:left w:val="single" w:sz="4" w:space="0" w:color="auto"/>
              <w:right w:val="single" w:sz="4" w:space="0" w:color="auto"/>
            </w:tcBorders>
            <w:vAlign w:val="center"/>
          </w:tcPr>
          <w:p w14:paraId="09A7ACFF"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8.4</w:t>
            </w:r>
          </w:p>
        </w:tc>
        <w:tc>
          <w:tcPr>
            <w:tcW w:w="350" w:type="pct"/>
            <w:vMerge w:val="restart"/>
            <w:tcBorders>
              <w:left w:val="single" w:sz="4" w:space="0" w:color="auto"/>
              <w:right w:val="single" w:sz="4" w:space="0" w:color="auto"/>
            </w:tcBorders>
            <w:vAlign w:val="center"/>
          </w:tcPr>
          <w:p w14:paraId="467878E8" w14:textId="2716DD09" w:rsidR="0077112A" w:rsidRPr="00EE0DF6" w:rsidRDefault="0077112A" w:rsidP="009635D1">
            <w:pPr>
              <w:spacing w:after="120"/>
              <w:jc w:val="center"/>
              <w:rPr>
                <w:rFonts w:ascii="Arial" w:hAnsi="Arial" w:cs="Arial"/>
                <w:sz w:val="20"/>
                <w:szCs w:val="20"/>
              </w:rPr>
            </w:pPr>
            <w:r>
              <w:rPr>
                <w:rFonts w:ascii="Arial" w:hAnsi="Arial" w:cs="Arial"/>
                <w:sz w:val="20"/>
                <w:szCs w:val="20"/>
              </w:rPr>
              <w:t>8.5</w:t>
            </w:r>
          </w:p>
        </w:tc>
        <w:tc>
          <w:tcPr>
            <w:tcW w:w="350" w:type="pct"/>
            <w:vMerge w:val="restart"/>
            <w:tcBorders>
              <w:left w:val="single" w:sz="4" w:space="0" w:color="auto"/>
              <w:right w:val="single" w:sz="4" w:space="0" w:color="auto"/>
            </w:tcBorders>
            <w:vAlign w:val="center"/>
          </w:tcPr>
          <w:p w14:paraId="16C33E37" w14:textId="79A55C65" w:rsidR="0077112A" w:rsidRPr="00EE0DF6" w:rsidRDefault="0077112A" w:rsidP="009635D1">
            <w:pPr>
              <w:spacing w:after="120"/>
              <w:jc w:val="center"/>
              <w:rPr>
                <w:rFonts w:ascii="Arial" w:hAnsi="Arial" w:cs="Arial"/>
                <w:sz w:val="20"/>
                <w:szCs w:val="20"/>
              </w:rPr>
            </w:pPr>
            <w:r>
              <w:rPr>
                <w:rFonts w:ascii="Arial" w:hAnsi="Arial" w:cs="Arial"/>
                <w:sz w:val="20"/>
                <w:szCs w:val="20"/>
              </w:rPr>
              <w:t>8.6.</w:t>
            </w:r>
          </w:p>
        </w:tc>
        <w:tc>
          <w:tcPr>
            <w:tcW w:w="350" w:type="pct"/>
            <w:vMerge w:val="restart"/>
            <w:tcBorders>
              <w:left w:val="single" w:sz="4" w:space="0" w:color="auto"/>
              <w:right w:val="single" w:sz="4" w:space="0" w:color="auto"/>
            </w:tcBorders>
            <w:vAlign w:val="center"/>
          </w:tcPr>
          <w:p w14:paraId="5B3686F7" w14:textId="661A6A3D" w:rsidR="0077112A" w:rsidRPr="00EE0DF6" w:rsidRDefault="0077112A" w:rsidP="009635D1">
            <w:pPr>
              <w:spacing w:after="120"/>
              <w:jc w:val="center"/>
              <w:rPr>
                <w:rFonts w:ascii="Arial" w:hAnsi="Arial" w:cs="Arial"/>
                <w:sz w:val="20"/>
                <w:szCs w:val="20"/>
              </w:rPr>
            </w:pPr>
            <w:r>
              <w:rPr>
                <w:rFonts w:ascii="Arial" w:hAnsi="Arial" w:cs="Arial"/>
                <w:sz w:val="20"/>
                <w:szCs w:val="20"/>
              </w:rPr>
              <w:t>8.7</w:t>
            </w:r>
          </w:p>
        </w:tc>
        <w:tc>
          <w:tcPr>
            <w:tcW w:w="350" w:type="pct"/>
            <w:vMerge w:val="restart"/>
            <w:tcBorders>
              <w:left w:val="single" w:sz="4" w:space="0" w:color="auto"/>
              <w:right w:val="single" w:sz="4" w:space="0" w:color="auto"/>
            </w:tcBorders>
            <w:vAlign w:val="center"/>
          </w:tcPr>
          <w:p w14:paraId="00A45D0D" w14:textId="15CF22D8"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9.1</w:t>
            </w:r>
          </w:p>
        </w:tc>
        <w:tc>
          <w:tcPr>
            <w:tcW w:w="350" w:type="pct"/>
            <w:vMerge w:val="restart"/>
            <w:tcBorders>
              <w:left w:val="single" w:sz="4" w:space="0" w:color="auto"/>
              <w:right w:val="single" w:sz="4" w:space="0" w:color="auto"/>
            </w:tcBorders>
            <w:vAlign w:val="center"/>
          </w:tcPr>
          <w:p w14:paraId="3C9267DB" w14:textId="77777777" w:rsidR="0077112A" w:rsidRPr="00EE0DF6" w:rsidRDefault="0077112A" w:rsidP="009635D1">
            <w:pPr>
              <w:spacing w:after="120"/>
              <w:jc w:val="center"/>
              <w:rPr>
                <w:rFonts w:ascii="Arial" w:hAnsi="Arial" w:cs="Arial"/>
                <w:sz w:val="20"/>
                <w:szCs w:val="20"/>
              </w:rPr>
            </w:pPr>
            <w:r w:rsidRPr="00FA1093">
              <w:rPr>
                <w:rFonts w:ascii="Arial" w:hAnsi="Arial" w:cs="Arial"/>
                <w:sz w:val="20"/>
                <w:szCs w:val="20"/>
              </w:rPr>
              <w:t>9.2</w:t>
            </w:r>
          </w:p>
        </w:tc>
        <w:tc>
          <w:tcPr>
            <w:tcW w:w="350" w:type="pct"/>
            <w:vMerge w:val="restart"/>
            <w:tcBorders>
              <w:left w:val="single" w:sz="4" w:space="0" w:color="auto"/>
              <w:right w:val="single" w:sz="4" w:space="0" w:color="auto"/>
            </w:tcBorders>
            <w:vAlign w:val="center"/>
          </w:tcPr>
          <w:p w14:paraId="57A715E0"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9.3</w:t>
            </w:r>
          </w:p>
        </w:tc>
        <w:tc>
          <w:tcPr>
            <w:tcW w:w="350" w:type="pct"/>
            <w:vMerge w:val="restart"/>
            <w:tcBorders>
              <w:left w:val="single" w:sz="4" w:space="0" w:color="auto"/>
            </w:tcBorders>
            <w:vAlign w:val="center"/>
          </w:tcPr>
          <w:p w14:paraId="43B6AD69" w14:textId="396DFAC1"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9.</w:t>
            </w:r>
            <w:r>
              <w:rPr>
                <w:rFonts w:ascii="Arial" w:hAnsi="Arial" w:cs="Arial"/>
                <w:sz w:val="20"/>
                <w:szCs w:val="20"/>
              </w:rPr>
              <w:t>4</w:t>
            </w:r>
          </w:p>
        </w:tc>
      </w:tr>
      <w:tr w:rsidR="0077112A" w:rsidRPr="00EE0DF6" w14:paraId="0648D451" w14:textId="77777777" w:rsidTr="0077112A">
        <w:trPr>
          <w:trHeight w:val="397"/>
          <w:jc w:val="center"/>
        </w:trPr>
        <w:tc>
          <w:tcPr>
            <w:tcW w:w="1153" w:type="pct"/>
            <w:shd w:val="clear" w:color="auto" w:fill="D9D9D9" w:themeFill="background1" w:themeFillShade="D9"/>
            <w:vAlign w:val="center"/>
          </w:tcPr>
          <w:p w14:paraId="4FE1D3CF" w14:textId="77777777" w:rsidR="0077112A" w:rsidRPr="00EE0DF6" w:rsidRDefault="0077112A" w:rsidP="00A96773">
            <w:pPr>
              <w:spacing w:after="120"/>
              <w:rPr>
                <w:rFonts w:ascii="Arial" w:hAnsi="Arial" w:cs="Arial"/>
                <w:b/>
                <w:sz w:val="20"/>
                <w:szCs w:val="20"/>
              </w:rPr>
            </w:pPr>
            <w:r w:rsidRPr="00EE0DF6">
              <w:rPr>
                <w:rFonts w:ascii="Arial" w:hAnsi="Arial" w:cs="Arial"/>
                <w:b/>
                <w:sz w:val="20"/>
                <w:szCs w:val="20"/>
              </w:rPr>
              <w:t>Learning / teaching method</w:t>
            </w:r>
          </w:p>
        </w:tc>
        <w:tc>
          <w:tcPr>
            <w:tcW w:w="349" w:type="pct"/>
            <w:vMerge/>
            <w:tcBorders>
              <w:right w:val="single" w:sz="4" w:space="0" w:color="auto"/>
            </w:tcBorders>
            <w:vAlign w:val="center"/>
          </w:tcPr>
          <w:p w14:paraId="5E4FFB39" w14:textId="77777777" w:rsidR="0077112A" w:rsidRPr="00EE0DF6" w:rsidRDefault="0077112A" w:rsidP="006F56D9">
            <w:pPr>
              <w:spacing w:after="120"/>
              <w:jc w:val="center"/>
              <w:rPr>
                <w:rFonts w:ascii="Arial" w:hAnsi="Arial" w:cs="Arial"/>
                <w:b/>
                <w:sz w:val="20"/>
                <w:szCs w:val="20"/>
              </w:rPr>
            </w:pPr>
          </w:p>
        </w:tc>
        <w:tc>
          <w:tcPr>
            <w:tcW w:w="350" w:type="pct"/>
            <w:vMerge/>
            <w:tcBorders>
              <w:left w:val="single" w:sz="4" w:space="0" w:color="auto"/>
              <w:right w:val="single" w:sz="4" w:space="0" w:color="auto"/>
            </w:tcBorders>
            <w:vAlign w:val="center"/>
          </w:tcPr>
          <w:p w14:paraId="3D659439" w14:textId="77777777" w:rsidR="0077112A" w:rsidRPr="00EE0DF6" w:rsidRDefault="0077112A" w:rsidP="006F56D9">
            <w:pPr>
              <w:spacing w:after="120"/>
              <w:jc w:val="center"/>
              <w:rPr>
                <w:rFonts w:ascii="Arial" w:hAnsi="Arial" w:cs="Arial"/>
                <w:b/>
                <w:sz w:val="20"/>
                <w:szCs w:val="20"/>
              </w:rPr>
            </w:pPr>
          </w:p>
        </w:tc>
        <w:tc>
          <w:tcPr>
            <w:tcW w:w="350" w:type="pct"/>
            <w:vMerge/>
            <w:tcBorders>
              <w:left w:val="single" w:sz="4" w:space="0" w:color="auto"/>
              <w:right w:val="single" w:sz="4" w:space="0" w:color="auto"/>
            </w:tcBorders>
            <w:vAlign w:val="center"/>
          </w:tcPr>
          <w:p w14:paraId="7CF4125D" w14:textId="77777777" w:rsidR="0077112A" w:rsidRPr="00EE0DF6" w:rsidRDefault="0077112A" w:rsidP="006F56D9">
            <w:pPr>
              <w:spacing w:after="120"/>
              <w:jc w:val="center"/>
              <w:rPr>
                <w:rFonts w:ascii="Arial" w:hAnsi="Arial" w:cs="Arial"/>
                <w:b/>
                <w:sz w:val="20"/>
                <w:szCs w:val="20"/>
              </w:rPr>
            </w:pPr>
          </w:p>
        </w:tc>
        <w:tc>
          <w:tcPr>
            <w:tcW w:w="350" w:type="pct"/>
            <w:vMerge/>
            <w:tcBorders>
              <w:left w:val="single" w:sz="4" w:space="0" w:color="auto"/>
              <w:right w:val="single" w:sz="4" w:space="0" w:color="auto"/>
            </w:tcBorders>
            <w:vAlign w:val="center"/>
          </w:tcPr>
          <w:p w14:paraId="3A717AD0" w14:textId="77777777" w:rsidR="0077112A" w:rsidRPr="00EE0DF6" w:rsidRDefault="0077112A" w:rsidP="006F56D9">
            <w:pPr>
              <w:spacing w:after="120"/>
              <w:jc w:val="center"/>
              <w:rPr>
                <w:rFonts w:ascii="Arial" w:hAnsi="Arial" w:cs="Arial"/>
                <w:b/>
                <w:sz w:val="20"/>
                <w:szCs w:val="20"/>
              </w:rPr>
            </w:pPr>
          </w:p>
        </w:tc>
        <w:tc>
          <w:tcPr>
            <w:tcW w:w="350" w:type="pct"/>
            <w:vMerge/>
            <w:tcBorders>
              <w:left w:val="single" w:sz="4" w:space="0" w:color="auto"/>
              <w:right w:val="single" w:sz="4" w:space="0" w:color="auto"/>
            </w:tcBorders>
            <w:vAlign w:val="center"/>
          </w:tcPr>
          <w:p w14:paraId="3E04581B" w14:textId="77777777" w:rsidR="0077112A" w:rsidRPr="00EE0DF6" w:rsidRDefault="0077112A" w:rsidP="006F56D9">
            <w:pPr>
              <w:spacing w:after="120"/>
              <w:jc w:val="center"/>
              <w:rPr>
                <w:rFonts w:ascii="Arial" w:hAnsi="Arial" w:cs="Arial"/>
                <w:b/>
                <w:sz w:val="20"/>
                <w:szCs w:val="20"/>
              </w:rPr>
            </w:pPr>
          </w:p>
        </w:tc>
        <w:tc>
          <w:tcPr>
            <w:tcW w:w="350" w:type="pct"/>
            <w:vMerge/>
            <w:tcBorders>
              <w:left w:val="single" w:sz="4" w:space="0" w:color="auto"/>
              <w:right w:val="single" w:sz="4" w:space="0" w:color="auto"/>
            </w:tcBorders>
            <w:vAlign w:val="center"/>
          </w:tcPr>
          <w:p w14:paraId="47B4D2DC" w14:textId="77777777" w:rsidR="0077112A" w:rsidRPr="00EE0DF6" w:rsidRDefault="0077112A" w:rsidP="006F56D9">
            <w:pPr>
              <w:spacing w:after="120"/>
              <w:jc w:val="center"/>
              <w:rPr>
                <w:rFonts w:ascii="Arial" w:hAnsi="Arial" w:cs="Arial"/>
                <w:b/>
                <w:sz w:val="20"/>
                <w:szCs w:val="20"/>
              </w:rPr>
            </w:pPr>
          </w:p>
        </w:tc>
        <w:tc>
          <w:tcPr>
            <w:tcW w:w="350" w:type="pct"/>
            <w:vMerge/>
            <w:tcBorders>
              <w:left w:val="single" w:sz="4" w:space="0" w:color="auto"/>
              <w:right w:val="single" w:sz="4" w:space="0" w:color="auto"/>
            </w:tcBorders>
            <w:vAlign w:val="center"/>
          </w:tcPr>
          <w:p w14:paraId="7F0A0D99" w14:textId="77777777" w:rsidR="0077112A" w:rsidRPr="00EE0DF6" w:rsidRDefault="0077112A" w:rsidP="006F56D9">
            <w:pPr>
              <w:spacing w:after="120"/>
              <w:jc w:val="center"/>
              <w:rPr>
                <w:rFonts w:ascii="Arial" w:hAnsi="Arial" w:cs="Arial"/>
                <w:b/>
                <w:sz w:val="20"/>
                <w:szCs w:val="20"/>
              </w:rPr>
            </w:pPr>
          </w:p>
        </w:tc>
        <w:tc>
          <w:tcPr>
            <w:tcW w:w="350" w:type="pct"/>
            <w:vMerge/>
            <w:tcBorders>
              <w:left w:val="single" w:sz="4" w:space="0" w:color="auto"/>
              <w:right w:val="single" w:sz="4" w:space="0" w:color="auto"/>
            </w:tcBorders>
            <w:vAlign w:val="center"/>
          </w:tcPr>
          <w:p w14:paraId="2E814F29" w14:textId="55E49A67" w:rsidR="0077112A" w:rsidRPr="00EE0DF6" w:rsidRDefault="0077112A" w:rsidP="006F56D9">
            <w:pPr>
              <w:spacing w:after="120"/>
              <w:jc w:val="center"/>
              <w:rPr>
                <w:rFonts w:ascii="Arial" w:hAnsi="Arial" w:cs="Arial"/>
                <w:b/>
                <w:sz w:val="20"/>
                <w:szCs w:val="20"/>
              </w:rPr>
            </w:pPr>
          </w:p>
        </w:tc>
        <w:tc>
          <w:tcPr>
            <w:tcW w:w="350" w:type="pct"/>
            <w:vMerge/>
            <w:tcBorders>
              <w:left w:val="single" w:sz="4" w:space="0" w:color="auto"/>
              <w:right w:val="single" w:sz="4" w:space="0" w:color="auto"/>
            </w:tcBorders>
            <w:vAlign w:val="center"/>
          </w:tcPr>
          <w:p w14:paraId="31C6AA51" w14:textId="77777777" w:rsidR="0077112A" w:rsidRPr="00EE0DF6" w:rsidRDefault="0077112A" w:rsidP="006F56D9">
            <w:pPr>
              <w:spacing w:after="120"/>
              <w:jc w:val="center"/>
              <w:rPr>
                <w:rFonts w:ascii="Arial" w:hAnsi="Arial" w:cs="Arial"/>
                <w:b/>
                <w:sz w:val="20"/>
                <w:szCs w:val="20"/>
              </w:rPr>
            </w:pPr>
          </w:p>
        </w:tc>
        <w:tc>
          <w:tcPr>
            <w:tcW w:w="350" w:type="pct"/>
            <w:vMerge/>
            <w:tcBorders>
              <w:left w:val="single" w:sz="4" w:space="0" w:color="auto"/>
              <w:right w:val="single" w:sz="4" w:space="0" w:color="auto"/>
            </w:tcBorders>
            <w:vAlign w:val="center"/>
          </w:tcPr>
          <w:p w14:paraId="2D80B7C6" w14:textId="77777777" w:rsidR="0077112A" w:rsidRPr="00EE0DF6" w:rsidRDefault="0077112A" w:rsidP="006F56D9">
            <w:pPr>
              <w:spacing w:after="120"/>
              <w:jc w:val="center"/>
              <w:rPr>
                <w:rFonts w:ascii="Arial" w:hAnsi="Arial" w:cs="Arial"/>
                <w:b/>
                <w:sz w:val="20"/>
                <w:szCs w:val="20"/>
              </w:rPr>
            </w:pPr>
          </w:p>
        </w:tc>
        <w:tc>
          <w:tcPr>
            <w:tcW w:w="350" w:type="pct"/>
            <w:vMerge/>
            <w:tcBorders>
              <w:left w:val="single" w:sz="4" w:space="0" w:color="auto"/>
            </w:tcBorders>
            <w:vAlign w:val="center"/>
          </w:tcPr>
          <w:p w14:paraId="6710B050" w14:textId="77777777" w:rsidR="0077112A" w:rsidRPr="00EE0DF6" w:rsidRDefault="0077112A" w:rsidP="006F56D9">
            <w:pPr>
              <w:spacing w:after="120"/>
              <w:jc w:val="center"/>
              <w:rPr>
                <w:rFonts w:ascii="Arial" w:hAnsi="Arial" w:cs="Arial"/>
                <w:b/>
                <w:sz w:val="20"/>
                <w:szCs w:val="20"/>
              </w:rPr>
            </w:pPr>
          </w:p>
        </w:tc>
      </w:tr>
      <w:tr w:rsidR="0077112A" w:rsidRPr="00EE0DF6" w14:paraId="0F7F390E" w14:textId="77777777" w:rsidTr="0077112A">
        <w:trPr>
          <w:trHeight w:val="397"/>
          <w:jc w:val="center"/>
        </w:trPr>
        <w:tc>
          <w:tcPr>
            <w:tcW w:w="1153" w:type="pct"/>
            <w:vAlign w:val="center"/>
          </w:tcPr>
          <w:p w14:paraId="3305E671" w14:textId="77777777" w:rsidR="0077112A" w:rsidRPr="00EE0DF6" w:rsidRDefault="0077112A" w:rsidP="00A96773">
            <w:pPr>
              <w:spacing w:after="120"/>
              <w:rPr>
                <w:rFonts w:ascii="Arial" w:hAnsi="Arial" w:cs="Arial"/>
                <w:sz w:val="20"/>
                <w:szCs w:val="20"/>
              </w:rPr>
            </w:pPr>
            <w:r w:rsidRPr="00EE0DF6">
              <w:rPr>
                <w:rFonts w:ascii="Arial" w:hAnsi="Arial" w:cs="Arial"/>
                <w:sz w:val="20"/>
                <w:szCs w:val="20"/>
              </w:rPr>
              <w:t>Seminars</w:t>
            </w:r>
          </w:p>
        </w:tc>
        <w:tc>
          <w:tcPr>
            <w:tcW w:w="349" w:type="pct"/>
            <w:vAlign w:val="center"/>
          </w:tcPr>
          <w:p w14:paraId="63BEAA68"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249C3957"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1850851E"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640F8073" w14:textId="77777777" w:rsidR="0077112A" w:rsidRPr="00EE0DF6" w:rsidRDefault="0077112A" w:rsidP="009635D1">
            <w:pPr>
              <w:spacing w:after="120"/>
              <w:jc w:val="center"/>
              <w:rPr>
                <w:rFonts w:ascii="Arial" w:hAnsi="Arial" w:cs="Arial"/>
                <w:sz w:val="20"/>
                <w:szCs w:val="20"/>
              </w:rPr>
            </w:pPr>
          </w:p>
        </w:tc>
        <w:tc>
          <w:tcPr>
            <w:tcW w:w="350" w:type="pct"/>
            <w:vAlign w:val="center"/>
          </w:tcPr>
          <w:p w14:paraId="26C422B9" w14:textId="315334A5" w:rsidR="0077112A" w:rsidRPr="00EE0DF6" w:rsidRDefault="0077112A" w:rsidP="009635D1">
            <w:pPr>
              <w:spacing w:after="120"/>
              <w:jc w:val="center"/>
              <w:rPr>
                <w:rFonts w:ascii="Arial" w:hAnsi="Arial" w:cs="Arial"/>
                <w:sz w:val="20"/>
                <w:szCs w:val="20"/>
              </w:rPr>
            </w:pPr>
            <w:r>
              <w:rPr>
                <w:rFonts w:ascii="Arial" w:hAnsi="Arial" w:cs="Arial"/>
                <w:sz w:val="20"/>
                <w:szCs w:val="20"/>
              </w:rPr>
              <w:t>X</w:t>
            </w:r>
          </w:p>
        </w:tc>
        <w:tc>
          <w:tcPr>
            <w:tcW w:w="350" w:type="pct"/>
            <w:vAlign w:val="center"/>
          </w:tcPr>
          <w:p w14:paraId="4D74C7F5" w14:textId="5D9AC18A" w:rsidR="0077112A" w:rsidRPr="00EE0DF6" w:rsidRDefault="0077112A" w:rsidP="009635D1">
            <w:pPr>
              <w:spacing w:after="120"/>
              <w:jc w:val="center"/>
              <w:rPr>
                <w:rFonts w:ascii="Arial" w:hAnsi="Arial" w:cs="Arial"/>
                <w:sz w:val="20"/>
                <w:szCs w:val="20"/>
              </w:rPr>
            </w:pPr>
            <w:r>
              <w:rPr>
                <w:rFonts w:ascii="Arial" w:hAnsi="Arial" w:cs="Arial"/>
                <w:sz w:val="20"/>
                <w:szCs w:val="20"/>
              </w:rPr>
              <w:t>X</w:t>
            </w:r>
          </w:p>
        </w:tc>
        <w:tc>
          <w:tcPr>
            <w:tcW w:w="350" w:type="pct"/>
            <w:vAlign w:val="center"/>
          </w:tcPr>
          <w:p w14:paraId="1427D70D" w14:textId="77777777" w:rsidR="0077112A" w:rsidRPr="00EE0DF6" w:rsidRDefault="0077112A" w:rsidP="009635D1">
            <w:pPr>
              <w:spacing w:after="120"/>
              <w:jc w:val="center"/>
              <w:rPr>
                <w:rFonts w:ascii="Arial" w:hAnsi="Arial" w:cs="Arial"/>
                <w:sz w:val="20"/>
                <w:szCs w:val="20"/>
              </w:rPr>
            </w:pPr>
          </w:p>
        </w:tc>
        <w:tc>
          <w:tcPr>
            <w:tcW w:w="350" w:type="pct"/>
            <w:vAlign w:val="center"/>
          </w:tcPr>
          <w:p w14:paraId="41BFB097" w14:textId="3FB891F4" w:rsidR="0077112A" w:rsidRPr="00EE0DF6" w:rsidRDefault="0077112A" w:rsidP="009635D1">
            <w:pPr>
              <w:spacing w:after="120"/>
              <w:jc w:val="center"/>
              <w:rPr>
                <w:rFonts w:ascii="Arial" w:hAnsi="Arial" w:cs="Arial"/>
                <w:sz w:val="20"/>
                <w:szCs w:val="20"/>
              </w:rPr>
            </w:pPr>
          </w:p>
        </w:tc>
        <w:tc>
          <w:tcPr>
            <w:tcW w:w="350" w:type="pct"/>
            <w:vAlign w:val="center"/>
          </w:tcPr>
          <w:p w14:paraId="71E67183"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309D9492"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7CA98C7B" w14:textId="77777777" w:rsidR="0077112A" w:rsidRPr="00EE0DF6" w:rsidRDefault="0077112A" w:rsidP="009635D1">
            <w:pPr>
              <w:spacing w:after="120"/>
              <w:jc w:val="center"/>
              <w:rPr>
                <w:rFonts w:ascii="Arial" w:hAnsi="Arial" w:cs="Arial"/>
                <w:sz w:val="20"/>
                <w:szCs w:val="20"/>
              </w:rPr>
            </w:pPr>
          </w:p>
        </w:tc>
      </w:tr>
      <w:tr w:rsidR="0077112A" w:rsidRPr="00EE0DF6" w14:paraId="78EF75DA" w14:textId="77777777" w:rsidTr="0077112A">
        <w:trPr>
          <w:trHeight w:val="397"/>
          <w:jc w:val="center"/>
        </w:trPr>
        <w:tc>
          <w:tcPr>
            <w:tcW w:w="1153" w:type="pct"/>
            <w:vAlign w:val="center"/>
          </w:tcPr>
          <w:p w14:paraId="1EBC96FE" w14:textId="77777777" w:rsidR="0077112A" w:rsidRPr="00EE0DF6" w:rsidRDefault="0077112A" w:rsidP="00A96773">
            <w:pPr>
              <w:spacing w:after="120"/>
              <w:rPr>
                <w:rFonts w:ascii="Arial" w:hAnsi="Arial" w:cs="Arial"/>
                <w:sz w:val="20"/>
                <w:szCs w:val="20"/>
              </w:rPr>
            </w:pPr>
            <w:r w:rsidRPr="00EE0DF6">
              <w:rPr>
                <w:rFonts w:ascii="Arial" w:hAnsi="Arial" w:cs="Arial"/>
                <w:sz w:val="20"/>
                <w:szCs w:val="20"/>
              </w:rPr>
              <w:t xml:space="preserve">Case supervision, </w:t>
            </w:r>
            <w:proofErr w:type="gramStart"/>
            <w:r w:rsidRPr="00EE0DF6">
              <w:rPr>
                <w:rFonts w:ascii="Arial" w:hAnsi="Arial" w:cs="Arial"/>
                <w:sz w:val="20"/>
                <w:szCs w:val="20"/>
              </w:rPr>
              <w:t>training</w:t>
            </w:r>
            <w:proofErr w:type="gramEnd"/>
            <w:r w:rsidRPr="00EE0DF6">
              <w:rPr>
                <w:rFonts w:ascii="Arial" w:hAnsi="Arial" w:cs="Arial"/>
                <w:sz w:val="20"/>
                <w:szCs w:val="20"/>
              </w:rPr>
              <w:t xml:space="preserve"> and teaching</w:t>
            </w:r>
          </w:p>
        </w:tc>
        <w:tc>
          <w:tcPr>
            <w:tcW w:w="349" w:type="pct"/>
            <w:vAlign w:val="center"/>
          </w:tcPr>
          <w:p w14:paraId="5097E3AA"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6E05DD67"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720BA0CA"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432466A2"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42FC2877" w14:textId="2C9974AE" w:rsidR="0077112A" w:rsidRPr="00EE0DF6" w:rsidRDefault="0077112A" w:rsidP="009635D1">
            <w:pPr>
              <w:spacing w:after="120"/>
              <w:jc w:val="center"/>
              <w:rPr>
                <w:rFonts w:ascii="Arial" w:hAnsi="Arial" w:cs="Arial"/>
                <w:sz w:val="20"/>
                <w:szCs w:val="20"/>
              </w:rPr>
            </w:pPr>
            <w:r>
              <w:rPr>
                <w:rFonts w:ascii="Arial" w:hAnsi="Arial" w:cs="Arial"/>
                <w:sz w:val="20"/>
                <w:szCs w:val="20"/>
              </w:rPr>
              <w:t>X</w:t>
            </w:r>
          </w:p>
        </w:tc>
        <w:tc>
          <w:tcPr>
            <w:tcW w:w="350" w:type="pct"/>
            <w:vAlign w:val="center"/>
          </w:tcPr>
          <w:p w14:paraId="5EA939D7" w14:textId="33357128" w:rsidR="0077112A" w:rsidRPr="00EE0DF6" w:rsidRDefault="0077112A" w:rsidP="009635D1">
            <w:pPr>
              <w:spacing w:after="120"/>
              <w:jc w:val="center"/>
              <w:rPr>
                <w:rFonts w:ascii="Arial" w:hAnsi="Arial" w:cs="Arial"/>
                <w:sz w:val="20"/>
                <w:szCs w:val="20"/>
              </w:rPr>
            </w:pPr>
            <w:r>
              <w:rPr>
                <w:rFonts w:ascii="Arial" w:hAnsi="Arial" w:cs="Arial"/>
                <w:sz w:val="20"/>
                <w:szCs w:val="20"/>
              </w:rPr>
              <w:t>X</w:t>
            </w:r>
          </w:p>
        </w:tc>
        <w:tc>
          <w:tcPr>
            <w:tcW w:w="350" w:type="pct"/>
            <w:vAlign w:val="center"/>
          </w:tcPr>
          <w:p w14:paraId="1D1CDA6E" w14:textId="590BDD7F" w:rsidR="0077112A" w:rsidRPr="00EE0DF6" w:rsidRDefault="0077112A" w:rsidP="009635D1">
            <w:pPr>
              <w:spacing w:after="120"/>
              <w:jc w:val="center"/>
              <w:rPr>
                <w:rFonts w:ascii="Arial" w:hAnsi="Arial" w:cs="Arial"/>
                <w:sz w:val="20"/>
                <w:szCs w:val="20"/>
              </w:rPr>
            </w:pPr>
            <w:r>
              <w:rPr>
                <w:rFonts w:ascii="Arial" w:hAnsi="Arial" w:cs="Arial"/>
                <w:sz w:val="20"/>
                <w:szCs w:val="20"/>
              </w:rPr>
              <w:t>X</w:t>
            </w:r>
          </w:p>
        </w:tc>
        <w:tc>
          <w:tcPr>
            <w:tcW w:w="350" w:type="pct"/>
            <w:vAlign w:val="center"/>
          </w:tcPr>
          <w:p w14:paraId="66823B6D" w14:textId="5771C76B"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2D2EB7FD" w14:textId="77777777" w:rsidR="0077112A" w:rsidRPr="00EE0DF6" w:rsidRDefault="0077112A" w:rsidP="009635D1">
            <w:pPr>
              <w:spacing w:after="120"/>
              <w:jc w:val="center"/>
              <w:rPr>
                <w:rFonts w:ascii="Arial" w:hAnsi="Arial" w:cs="Arial"/>
                <w:sz w:val="20"/>
                <w:szCs w:val="20"/>
              </w:rPr>
            </w:pPr>
          </w:p>
        </w:tc>
        <w:tc>
          <w:tcPr>
            <w:tcW w:w="350" w:type="pct"/>
            <w:vAlign w:val="center"/>
          </w:tcPr>
          <w:p w14:paraId="74553442" w14:textId="77777777" w:rsidR="0077112A" w:rsidRPr="00EE0DF6" w:rsidRDefault="0077112A" w:rsidP="009635D1">
            <w:pPr>
              <w:spacing w:after="120"/>
              <w:jc w:val="center"/>
              <w:rPr>
                <w:rFonts w:ascii="Arial" w:hAnsi="Arial" w:cs="Arial"/>
                <w:sz w:val="20"/>
                <w:szCs w:val="20"/>
              </w:rPr>
            </w:pPr>
          </w:p>
        </w:tc>
        <w:tc>
          <w:tcPr>
            <w:tcW w:w="350" w:type="pct"/>
            <w:vAlign w:val="center"/>
          </w:tcPr>
          <w:p w14:paraId="7E3601C9" w14:textId="77777777" w:rsidR="0077112A" w:rsidRPr="00EE0DF6" w:rsidRDefault="0077112A" w:rsidP="009635D1">
            <w:pPr>
              <w:spacing w:after="120"/>
              <w:jc w:val="center"/>
              <w:rPr>
                <w:rFonts w:ascii="Arial" w:hAnsi="Arial" w:cs="Arial"/>
                <w:sz w:val="20"/>
                <w:szCs w:val="20"/>
              </w:rPr>
            </w:pPr>
          </w:p>
        </w:tc>
      </w:tr>
      <w:tr w:rsidR="0077112A" w:rsidRPr="00EE0DF6" w14:paraId="54414159" w14:textId="77777777" w:rsidTr="0077112A">
        <w:trPr>
          <w:trHeight w:val="397"/>
          <w:jc w:val="center"/>
        </w:trPr>
        <w:tc>
          <w:tcPr>
            <w:tcW w:w="1153" w:type="pct"/>
            <w:vAlign w:val="center"/>
          </w:tcPr>
          <w:p w14:paraId="15891360" w14:textId="77777777" w:rsidR="0077112A" w:rsidRPr="00EE0DF6" w:rsidRDefault="0077112A" w:rsidP="00A96773">
            <w:pPr>
              <w:spacing w:after="120"/>
              <w:rPr>
                <w:rFonts w:ascii="Arial" w:hAnsi="Arial" w:cs="Arial"/>
                <w:sz w:val="20"/>
                <w:szCs w:val="20"/>
              </w:rPr>
            </w:pPr>
            <w:r w:rsidRPr="00EE0DF6">
              <w:rPr>
                <w:rFonts w:ascii="Arial" w:hAnsi="Arial" w:cs="Arial"/>
                <w:sz w:val="20"/>
                <w:szCs w:val="20"/>
              </w:rPr>
              <w:t>Private Study</w:t>
            </w:r>
          </w:p>
        </w:tc>
        <w:tc>
          <w:tcPr>
            <w:tcW w:w="349" w:type="pct"/>
            <w:vAlign w:val="center"/>
          </w:tcPr>
          <w:p w14:paraId="428E6F59"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6D528FC2"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1361EAEF"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2E7E840E"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185EF675" w14:textId="38A899CF" w:rsidR="0077112A" w:rsidRPr="00EE0DF6" w:rsidRDefault="0077112A" w:rsidP="009635D1">
            <w:pPr>
              <w:spacing w:after="120"/>
              <w:jc w:val="center"/>
              <w:rPr>
                <w:rFonts w:ascii="Arial" w:hAnsi="Arial" w:cs="Arial"/>
                <w:sz w:val="20"/>
                <w:szCs w:val="20"/>
              </w:rPr>
            </w:pPr>
            <w:r>
              <w:rPr>
                <w:rFonts w:ascii="Arial" w:hAnsi="Arial" w:cs="Arial"/>
                <w:sz w:val="20"/>
                <w:szCs w:val="20"/>
              </w:rPr>
              <w:t>X</w:t>
            </w:r>
          </w:p>
        </w:tc>
        <w:tc>
          <w:tcPr>
            <w:tcW w:w="350" w:type="pct"/>
            <w:vAlign w:val="center"/>
          </w:tcPr>
          <w:p w14:paraId="0E21A320" w14:textId="130B2318" w:rsidR="0077112A" w:rsidRPr="00EE0DF6" w:rsidRDefault="0077112A" w:rsidP="009635D1">
            <w:pPr>
              <w:spacing w:after="120"/>
              <w:jc w:val="center"/>
              <w:rPr>
                <w:rFonts w:ascii="Arial" w:hAnsi="Arial" w:cs="Arial"/>
                <w:sz w:val="20"/>
                <w:szCs w:val="20"/>
              </w:rPr>
            </w:pPr>
            <w:r>
              <w:rPr>
                <w:rFonts w:ascii="Arial" w:hAnsi="Arial" w:cs="Arial"/>
                <w:sz w:val="20"/>
                <w:szCs w:val="20"/>
              </w:rPr>
              <w:t>X</w:t>
            </w:r>
          </w:p>
        </w:tc>
        <w:tc>
          <w:tcPr>
            <w:tcW w:w="350" w:type="pct"/>
            <w:vAlign w:val="center"/>
          </w:tcPr>
          <w:p w14:paraId="3B7BB414" w14:textId="30D5CDA8" w:rsidR="0077112A" w:rsidRPr="00EE0DF6" w:rsidRDefault="0077112A" w:rsidP="009635D1">
            <w:pPr>
              <w:spacing w:after="120"/>
              <w:jc w:val="center"/>
              <w:rPr>
                <w:rFonts w:ascii="Arial" w:hAnsi="Arial" w:cs="Arial"/>
                <w:sz w:val="20"/>
                <w:szCs w:val="20"/>
              </w:rPr>
            </w:pPr>
            <w:r>
              <w:rPr>
                <w:rFonts w:ascii="Arial" w:hAnsi="Arial" w:cs="Arial"/>
                <w:sz w:val="20"/>
                <w:szCs w:val="20"/>
              </w:rPr>
              <w:t>X</w:t>
            </w:r>
          </w:p>
        </w:tc>
        <w:tc>
          <w:tcPr>
            <w:tcW w:w="350" w:type="pct"/>
            <w:vAlign w:val="center"/>
          </w:tcPr>
          <w:p w14:paraId="469CCD86" w14:textId="76F461F5"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08856F9D"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02179D06"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68DF2953"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r>
      <w:tr w:rsidR="0077112A" w:rsidRPr="00EE0DF6" w14:paraId="19CC5271" w14:textId="77777777" w:rsidTr="0077112A">
        <w:trPr>
          <w:trHeight w:val="397"/>
          <w:jc w:val="center"/>
        </w:trPr>
        <w:tc>
          <w:tcPr>
            <w:tcW w:w="1153" w:type="pct"/>
            <w:shd w:val="clear" w:color="auto" w:fill="D9D9D9" w:themeFill="background1" w:themeFillShade="D9"/>
            <w:vAlign w:val="center"/>
          </w:tcPr>
          <w:p w14:paraId="6674D842" w14:textId="77777777" w:rsidR="0077112A" w:rsidRPr="00EE0DF6" w:rsidRDefault="0077112A" w:rsidP="00A96773">
            <w:pPr>
              <w:spacing w:after="120"/>
              <w:rPr>
                <w:rFonts w:ascii="Arial" w:hAnsi="Arial" w:cs="Arial"/>
                <w:b/>
                <w:sz w:val="20"/>
                <w:szCs w:val="20"/>
              </w:rPr>
            </w:pPr>
            <w:r w:rsidRPr="00EE0DF6">
              <w:rPr>
                <w:rFonts w:ascii="Arial" w:hAnsi="Arial" w:cs="Arial"/>
                <w:b/>
                <w:sz w:val="20"/>
                <w:szCs w:val="20"/>
              </w:rPr>
              <w:t>Assessment method</w:t>
            </w:r>
          </w:p>
        </w:tc>
        <w:tc>
          <w:tcPr>
            <w:tcW w:w="349" w:type="pct"/>
            <w:vAlign w:val="center"/>
          </w:tcPr>
          <w:p w14:paraId="338C583D" w14:textId="77777777" w:rsidR="0077112A" w:rsidRPr="00EE0DF6" w:rsidRDefault="0077112A" w:rsidP="009635D1">
            <w:pPr>
              <w:spacing w:after="120"/>
              <w:jc w:val="center"/>
              <w:rPr>
                <w:rFonts w:ascii="Arial" w:hAnsi="Arial" w:cs="Arial"/>
                <w:b/>
                <w:sz w:val="20"/>
                <w:szCs w:val="20"/>
              </w:rPr>
            </w:pPr>
          </w:p>
        </w:tc>
        <w:tc>
          <w:tcPr>
            <w:tcW w:w="350" w:type="pct"/>
            <w:vAlign w:val="center"/>
          </w:tcPr>
          <w:p w14:paraId="2A21FB78" w14:textId="77777777" w:rsidR="0077112A" w:rsidRPr="00EE0DF6" w:rsidRDefault="0077112A" w:rsidP="009635D1">
            <w:pPr>
              <w:spacing w:after="120"/>
              <w:jc w:val="center"/>
              <w:rPr>
                <w:rFonts w:ascii="Arial" w:hAnsi="Arial" w:cs="Arial"/>
                <w:b/>
                <w:sz w:val="20"/>
                <w:szCs w:val="20"/>
              </w:rPr>
            </w:pPr>
          </w:p>
        </w:tc>
        <w:tc>
          <w:tcPr>
            <w:tcW w:w="350" w:type="pct"/>
            <w:vAlign w:val="center"/>
          </w:tcPr>
          <w:p w14:paraId="74B9063A" w14:textId="77777777" w:rsidR="0077112A" w:rsidRPr="00EE0DF6" w:rsidRDefault="0077112A" w:rsidP="009635D1">
            <w:pPr>
              <w:spacing w:after="120"/>
              <w:jc w:val="center"/>
              <w:rPr>
                <w:rFonts w:ascii="Arial" w:hAnsi="Arial" w:cs="Arial"/>
                <w:b/>
                <w:sz w:val="20"/>
                <w:szCs w:val="20"/>
              </w:rPr>
            </w:pPr>
          </w:p>
        </w:tc>
        <w:tc>
          <w:tcPr>
            <w:tcW w:w="350" w:type="pct"/>
            <w:vAlign w:val="center"/>
          </w:tcPr>
          <w:p w14:paraId="7930E4E4" w14:textId="77777777" w:rsidR="0077112A" w:rsidRPr="00EE0DF6" w:rsidRDefault="0077112A" w:rsidP="009635D1">
            <w:pPr>
              <w:spacing w:after="120"/>
              <w:jc w:val="center"/>
              <w:rPr>
                <w:rFonts w:ascii="Arial" w:hAnsi="Arial" w:cs="Arial"/>
                <w:b/>
                <w:sz w:val="20"/>
                <w:szCs w:val="20"/>
              </w:rPr>
            </w:pPr>
          </w:p>
        </w:tc>
        <w:tc>
          <w:tcPr>
            <w:tcW w:w="350" w:type="pct"/>
            <w:vAlign w:val="center"/>
          </w:tcPr>
          <w:p w14:paraId="1D608E3E" w14:textId="77777777" w:rsidR="0077112A" w:rsidRPr="00EE0DF6" w:rsidRDefault="0077112A" w:rsidP="009635D1">
            <w:pPr>
              <w:spacing w:after="120"/>
              <w:jc w:val="center"/>
              <w:rPr>
                <w:rFonts w:ascii="Arial" w:hAnsi="Arial" w:cs="Arial"/>
                <w:b/>
                <w:sz w:val="20"/>
                <w:szCs w:val="20"/>
              </w:rPr>
            </w:pPr>
          </w:p>
        </w:tc>
        <w:tc>
          <w:tcPr>
            <w:tcW w:w="350" w:type="pct"/>
            <w:vAlign w:val="center"/>
          </w:tcPr>
          <w:p w14:paraId="1C3DA4A3" w14:textId="77777777" w:rsidR="0077112A" w:rsidRPr="00EE0DF6" w:rsidRDefault="0077112A" w:rsidP="009635D1">
            <w:pPr>
              <w:spacing w:after="120"/>
              <w:jc w:val="center"/>
              <w:rPr>
                <w:rFonts w:ascii="Arial" w:hAnsi="Arial" w:cs="Arial"/>
                <w:b/>
                <w:sz w:val="20"/>
                <w:szCs w:val="20"/>
              </w:rPr>
            </w:pPr>
          </w:p>
        </w:tc>
        <w:tc>
          <w:tcPr>
            <w:tcW w:w="350" w:type="pct"/>
            <w:vAlign w:val="center"/>
          </w:tcPr>
          <w:p w14:paraId="03E1B8F7" w14:textId="77777777" w:rsidR="0077112A" w:rsidRPr="00EE0DF6" w:rsidRDefault="0077112A" w:rsidP="009635D1">
            <w:pPr>
              <w:spacing w:after="120"/>
              <w:jc w:val="center"/>
              <w:rPr>
                <w:rFonts w:ascii="Arial" w:hAnsi="Arial" w:cs="Arial"/>
                <w:b/>
                <w:sz w:val="20"/>
                <w:szCs w:val="20"/>
              </w:rPr>
            </w:pPr>
          </w:p>
        </w:tc>
        <w:tc>
          <w:tcPr>
            <w:tcW w:w="350" w:type="pct"/>
            <w:vAlign w:val="center"/>
          </w:tcPr>
          <w:p w14:paraId="63C9E866" w14:textId="13B8389D" w:rsidR="0077112A" w:rsidRPr="00EE0DF6" w:rsidRDefault="0077112A" w:rsidP="009635D1">
            <w:pPr>
              <w:spacing w:after="120"/>
              <w:jc w:val="center"/>
              <w:rPr>
                <w:rFonts w:ascii="Arial" w:hAnsi="Arial" w:cs="Arial"/>
                <w:b/>
                <w:sz w:val="20"/>
                <w:szCs w:val="20"/>
              </w:rPr>
            </w:pPr>
          </w:p>
        </w:tc>
        <w:tc>
          <w:tcPr>
            <w:tcW w:w="350" w:type="pct"/>
            <w:vAlign w:val="center"/>
          </w:tcPr>
          <w:p w14:paraId="53E58EB5" w14:textId="77777777" w:rsidR="0077112A" w:rsidRPr="00EE0DF6" w:rsidRDefault="0077112A" w:rsidP="009635D1">
            <w:pPr>
              <w:spacing w:after="120"/>
              <w:jc w:val="center"/>
              <w:rPr>
                <w:rFonts w:ascii="Arial" w:hAnsi="Arial" w:cs="Arial"/>
                <w:b/>
                <w:sz w:val="20"/>
                <w:szCs w:val="20"/>
              </w:rPr>
            </w:pPr>
          </w:p>
        </w:tc>
        <w:tc>
          <w:tcPr>
            <w:tcW w:w="350" w:type="pct"/>
            <w:vAlign w:val="center"/>
          </w:tcPr>
          <w:p w14:paraId="28A0A70C" w14:textId="77777777" w:rsidR="0077112A" w:rsidRPr="00EE0DF6" w:rsidRDefault="0077112A" w:rsidP="009635D1">
            <w:pPr>
              <w:spacing w:after="120"/>
              <w:jc w:val="center"/>
              <w:rPr>
                <w:rFonts w:ascii="Arial" w:hAnsi="Arial" w:cs="Arial"/>
                <w:b/>
                <w:sz w:val="20"/>
                <w:szCs w:val="20"/>
              </w:rPr>
            </w:pPr>
          </w:p>
        </w:tc>
        <w:tc>
          <w:tcPr>
            <w:tcW w:w="350" w:type="pct"/>
            <w:vAlign w:val="center"/>
          </w:tcPr>
          <w:p w14:paraId="7ED70449" w14:textId="77777777" w:rsidR="0077112A" w:rsidRPr="00EE0DF6" w:rsidRDefault="0077112A" w:rsidP="009635D1">
            <w:pPr>
              <w:spacing w:after="120"/>
              <w:jc w:val="center"/>
              <w:rPr>
                <w:rFonts w:ascii="Arial" w:hAnsi="Arial" w:cs="Arial"/>
                <w:b/>
                <w:sz w:val="20"/>
                <w:szCs w:val="20"/>
              </w:rPr>
            </w:pPr>
          </w:p>
        </w:tc>
      </w:tr>
      <w:tr w:rsidR="0077112A" w:rsidRPr="00EE0DF6" w14:paraId="548FE27B" w14:textId="77777777" w:rsidTr="0077112A">
        <w:trPr>
          <w:trHeight w:val="397"/>
          <w:jc w:val="center"/>
        </w:trPr>
        <w:tc>
          <w:tcPr>
            <w:tcW w:w="1153" w:type="pct"/>
            <w:vAlign w:val="center"/>
          </w:tcPr>
          <w:p w14:paraId="4E837E82" w14:textId="28ADAF81" w:rsidR="0077112A" w:rsidRPr="00EE0DF6" w:rsidRDefault="0077112A" w:rsidP="000E472F">
            <w:pPr>
              <w:spacing w:after="120"/>
              <w:rPr>
                <w:rFonts w:ascii="Arial" w:hAnsi="Arial" w:cs="Arial"/>
                <w:sz w:val="20"/>
                <w:szCs w:val="20"/>
              </w:rPr>
            </w:pPr>
            <w:r w:rsidRPr="00EE0DF6">
              <w:rPr>
                <w:rFonts w:ascii="Arial" w:hAnsi="Arial" w:cs="Arial"/>
                <w:sz w:val="20"/>
                <w:szCs w:val="20"/>
              </w:rPr>
              <w:t xml:space="preserve">Continuous in-module </w:t>
            </w:r>
            <w:r>
              <w:rPr>
                <w:rFonts w:ascii="Arial" w:hAnsi="Arial" w:cs="Arial"/>
                <w:sz w:val="20"/>
                <w:szCs w:val="20"/>
              </w:rPr>
              <w:t xml:space="preserve">case conduct </w:t>
            </w:r>
          </w:p>
        </w:tc>
        <w:tc>
          <w:tcPr>
            <w:tcW w:w="349" w:type="pct"/>
            <w:vAlign w:val="center"/>
          </w:tcPr>
          <w:p w14:paraId="7FE0B3A0" w14:textId="77777777" w:rsidR="0077112A" w:rsidRPr="00EE0DF6" w:rsidRDefault="0077112A" w:rsidP="009635D1">
            <w:pPr>
              <w:spacing w:after="120"/>
              <w:jc w:val="center"/>
              <w:rPr>
                <w:rFonts w:ascii="Arial" w:hAnsi="Arial" w:cs="Arial"/>
                <w:sz w:val="20"/>
                <w:szCs w:val="20"/>
              </w:rPr>
            </w:pPr>
          </w:p>
        </w:tc>
        <w:tc>
          <w:tcPr>
            <w:tcW w:w="350" w:type="pct"/>
            <w:vAlign w:val="center"/>
          </w:tcPr>
          <w:p w14:paraId="6A5802E6"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4D742279"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7B5B4B87"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572EAC9D" w14:textId="0FA039D4" w:rsidR="0077112A" w:rsidRPr="00EE0DF6" w:rsidRDefault="0077112A" w:rsidP="009635D1">
            <w:pPr>
              <w:spacing w:after="120"/>
              <w:jc w:val="center"/>
              <w:rPr>
                <w:rFonts w:ascii="Arial" w:hAnsi="Arial" w:cs="Arial"/>
                <w:sz w:val="20"/>
                <w:szCs w:val="20"/>
              </w:rPr>
            </w:pPr>
            <w:r>
              <w:rPr>
                <w:rFonts w:ascii="Arial" w:hAnsi="Arial" w:cs="Arial"/>
                <w:sz w:val="20"/>
                <w:szCs w:val="20"/>
              </w:rPr>
              <w:t>X</w:t>
            </w:r>
          </w:p>
        </w:tc>
        <w:tc>
          <w:tcPr>
            <w:tcW w:w="350" w:type="pct"/>
            <w:vAlign w:val="center"/>
          </w:tcPr>
          <w:p w14:paraId="34A0E69E" w14:textId="39EFB44E" w:rsidR="0077112A" w:rsidRPr="00EE0DF6" w:rsidRDefault="0077112A" w:rsidP="009635D1">
            <w:pPr>
              <w:spacing w:after="120"/>
              <w:jc w:val="center"/>
              <w:rPr>
                <w:rFonts w:ascii="Arial" w:hAnsi="Arial" w:cs="Arial"/>
                <w:sz w:val="20"/>
                <w:szCs w:val="20"/>
              </w:rPr>
            </w:pPr>
            <w:r>
              <w:rPr>
                <w:rFonts w:ascii="Arial" w:hAnsi="Arial" w:cs="Arial"/>
                <w:sz w:val="20"/>
                <w:szCs w:val="20"/>
              </w:rPr>
              <w:t>X</w:t>
            </w:r>
          </w:p>
        </w:tc>
        <w:tc>
          <w:tcPr>
            <w:tcW w:w="350" w:type="pct"/>
            <w:vAlign w:val="center"/>
          </w:tcPr>
          <w:p w14:paraId="1BBBFE3D" w14:textId="3375E316" w:rsidR="0077112A" w:rsidRPr="00EE0DF6" w:rsidRDefault="0077112A" w:rsidP="009635D1">
            <w:pPr>
              <w:spacing w:after="120"/>
              <w:jc w:val="center"/>
              <w:rPr>
                <w:rFonts w:ascii="Arial" w:hAnsi="Arial" w:cs="Arial"/>
                <w:sz w:val="20"/>
                <w:szCs w:val="20"/>
              </w:rPr>
            </w:pPr>
            <w:r>
              <w:rPr>
                <w:rFonts w:ascii="Arial" w:hAnsi="Arial" w:cs="Arial"/>
                <w:sz w:val="20"/>
                <w:szCs w:val="20"/>
              </w:rPr>
              <w:t>X</w:t>
            </w:r>
          </w:p>
        </w:tc>
        <w:tc>
          <w:tcPr>
            <w:tcW w:w="350" w:type="pct"/>
            <w:vAlign w:val="center"/>
          </w:tcPr>
          <w:p w14:paraId="786D767F" w14:textId="0581949B"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1A67DB1A"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1D4D3CC1" w14:textId="77777777" w:rsidR="0077112A" w:rsidRPr="00EE0DF6" w:rsidRDefault="0077112A" w:rsidP="009635D1">
            <w:pPr>
              <w:spacing w:after="120"/>
              <w:jc w:val="center"/>
              <w:rPr>
                <w:rFonts w:ascii="Arial" w:hAnsi="Arial" w:cs="Arial"/>
                <w:sz w:val="20"/>
                <w:szCs w:val="20"/>
              </w:rPr>
            </w:pPr>
          </w:p>
        </w:tc>
        <w:tc>
          <w:tcPr>
            <w:tcW w:w="350" w:type="pct"/>
            <w:vAlign w:val="center"/>
          </w:tcPr>
          <w:p w14:paraId="5D8BBAF3" w14:textId="77777777" w:rsidR="0077112A" w:rsidRPr="00EE0DF6" w:rsidRDefault="0077112A" w:rsidP="009635D1">
            <w:pPr>
              <w:spacing w:after="120"/>
              <w:jc w:val="center"/>
              <w:rPr>
                <w:rFonts w:ascii="Arial" w:hAnsi="Arial" w:cs="Arial"/>
                <w:sz w:val="20"/>
                <w:szCs w:val="20"/>
              </w:rPr>
            </w:pPr>
          </w:p>
        </w:tc>
      </w:tr>
      <w:tr w:rsidR="0077112A" w:rsidRPr="00EE0DF6" w14:paraId="5A92F8D9" w14:textId="77777777" w:rsidTr="0077112A">
        <w:trPr>
          <w:trHeight w:val="397"/>
          <w:jc w:val="center"/>
        </w:trPr>
        <w:tc>
          <w:tcPr>
            <w:tcW w:w="1153" w:type="pct"/>
            <w:vAlign w:val="center"/>
          </w:tcPr>
          <w:p w14:paraId="2EF0593C" w14:textId="033571CD" w:rsidR="0077112A" w:rsidRPr="00EE0DF6" w:rsidRDefault="0077112A" w:rsidP="00A96773">
            <w:pPr>
              <w:spacing w:after="120"/>
              <w:rPr>
                <w:rFonts w:ascii="Arial" w:hAnsi="Arial" w:cs="Arial"/>
                <w:sz w:val="20"/>
                <w:szCs w:val="20"/>
              </w:rPr>
            </w:pPr>
            <w:r w:rsidRPr="00EE0DF6">
              <w:rPr>
                <w:rFonts w:ascii="Arial" w:hAnsi="Arial" w:cs="Arial"/>
                <w:sz w:val="20"/>
                <w:szCs w:val="20"/>
              </w:rPr>
              <w:t>Essay</w:t>
            </w:r>
          </w:p>
        </w:tc>
        <w:tc>
          <w:tcPr>
            <w:tcW w:w="349" w:type="pct"/>
            <w:vAlign w:val="center"/>
          </w:tcPr>
          <w:p w14:paraId="5F2D8BA4"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7152FF12"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18105658"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45CD2ABC" w14:textId="77777777" w:rsidR="0077112A" w:rsidRPr="00EE0DF6" w:rsidRDefault="0077112A" w:rsidP="009635D1">
            <w:pPr>
              <w:spacing w:after="120"/>
              <w:jc w:val="center"/>
              <w:rPr>
                <w:rFonts w:ascii="Arial" w:hAnsi="Arial" w:cs="Arial"/>
                <w:sz w:val="20"/>
                <w:szCs w:val="20"/>
              </w:rPr>
            </w:pPr>
          </w:p>
        </w:tc>
        <w:tc>
          <w:tcPr>
            <w:tcW w:w="350" w:type="pct"/>
            <w:vAlign w:val="center"/>
          </w:tcPr>
          <w:p w14:paraId="43414656" w14:textId="77777777" w:rsidR="0077112A" w:rsidRPr="00EE0DF6" w:rsidRDefault="0077112A" w:rsidP="009635D1">
            <w:pPr>
              <w:spacing w:after="120"/>
              <w:jc w:val="center"/>
              <w:rPr>
                <w:rFonts w:ascii="Arial" w:hAnsi="Arial" w:cs="Arial"/>
                <w:sz w:val="20"/>
                <w:szCs w:val="20"/>
              </w:rPr>
            </w:pPr>
          </w:p>
        </w:tc>
        <w:tc>
          <w:tcPr>
            <w:tcW w:w="350" w:type="pct"/>
            <w:vAlign w:val="center"/>
          </w:tcPr>
          <w:p w14:paraId="3A341F8B" w14:textId="15D7C037" w:rsidR="0077112A" w:rsidRPr="00EE0DF6" w:rsidRDefault="0077112A" w:rsidP="009635D1">
            <w:pPr>
              <w:spacing w:after="120"/>
              <w:jc w:val="center"/>
              <w:rPr>
                <w:rFonts w:ascii="Arial" w:hAnsi="Arial" w:cs="Arial"/>
                <w:sz w:val="20"/>
                <w:szCs w:val="20"/>
              </w:rPr>
            </w:pPr>
            <w:r>
              <w:rPr>
                <w:rFonts w:ascii="Arial" w:hAnsi="Arial" w:cs="Arial"/>
                <w:sz w:val="20"/>
                <w:szCs w:val="20"/>
              </w:rPr>
              <w:t>X</w:t>
            </w:r>
          </w:p>
        </w:tc>
        <w:tc>
          <w:tcPr>
            <w:tcW w:w="350" w:type="pct"/>
            <w:vAlign w:val="center"/>
          </w:tcPr>
          <w:p w14:paraId="7CAAEA37" w14:textId="77777777" w:rsidR="0077112A" w:rsidRPr="00EE0DF6" w:rsidRDefault="0077112A" w:rsidP="009635D1">
            <w:pPr>
              <w:spacing w:after="120"/>
              <w:jc w:val="center"/>
              <w:rPr>
                <w:rFonts w:ascii="Arial" w:hAnsi="Arial" w:cs="Arial"/>
                <w:sz w:val="20"/>
                <w:szCs w:val="20"/>
              </w:rPr>
            </w:pPr>
          </w:p>
        </w:tc>
        <w:tc>
          <w:tcPr>
            <w:tcW w:w="350" w:type="pct"/>
            <w:vAlign w:val="center"/>
          </w:tcPr>
          <w:p w14:paraId="6AED540C" w14:textId="16151E8A"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2DBE43D3"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773CCC0B"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c>
          <w:tcPr>
            <w:tcW w:w="350" w:type="pct"/>
            <w:vAlign w:val="center"/>
          </w:tcPr>
          <w:p w14:paraId="3E519376" w14:textId="77777777" w:rsidR="0077112A" w:rsidRPr="00EE0DF6" w:rsidRDefault="0077112A" w:rsidP="009635D1">
            <w:pPr>
              <w:spacing w:after="120"/>
              <w:jc w:val="center"/>
              <w:rPr>
                <w:rFonts w:ascii="Arial" w:hAnsi="Arial" w:cs="Arial"/>
                <w:sz w:val="20"/>
                <w:szCs w:val="20"/>
              </w:rPr>
            </w:pPr>
            <w:r w:rsidRPr="00EE0DF6">
              <w:rPr>
                <w:rFonts w:ascii="Arial" w:hAnsi="Arial" w:cs="Arial"/>
                <w:sz w:val="20"/>
                <w:szCs w:val="20"/>
              </w:rPr>
              <w:t>X</w:t>
            </w:r>
          </w:p>
        </w:tc>
      </w:tr>
    </w:tbl>
    <w:p w14:paraId="5361801C" w14:textId="77777777" w:rsidR="007A6245" w:rsidRPr="00EE0DF6" w:rsidRDefault="007A6245" w:rsidP="0066061A">
      <w:pPr>
        <w:spacing w:after="120" w:line="240" w:lineRule="auto"/>
        <w:ind w:left="426" w:right="260"/>
        <w:rPr>
          <w:rFonts w:ascii="Arial" w:hAnsi="Arial" w:cs="Arial"/>
          <w:b/>
          <w:iCs/>
          <w:sz w:val="20"/>
          <w:szCs w:val="20"/>
        </w:rPr>
      </w:pPr>
    </w:p>
    <w:p w14:paraId="4CE165CF" w14:textId="77777777" w:rsidR="00DC22AB" w:rsidRPr="00DF2132" w:rsidRDefault="00DC22AB" w:rsidP="007579A4">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7E0B9DAC" w14:textId="77777777" w:rsidR="00DC22AB" w:rsidRDefault="00DC22AB" w:rsidP="009635D1">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1EACC9C5" w14:textId="77777777" w:rsidR="00DC22AB" w:rsidRPr="00A7491F" w:rsidRDefault="00DC22AB" w:rsidP="009635D1">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5C54ED3" w14:textId="77777777" w:rsidR="00DC22AB" w:rsidRPr="00D023E6" w:rsidRDefault="00DC22AB" w:rsidP="009635D1">
      <w:pPr>
        <w:pStyle w:val="ListParagraph"/>
        <w:numPr>
          <w:ilvl w:val="0"/>
          <w:numId w:val="15"/>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5D6DE0B3" w14:textId="77777777" w:rsidR="00DC22AB" w:rsidRPr="00D023E6" w:rsidRDefault="00DC22AB" w:rsidP="009635D1">
      <w:pPr>
        <w:pStyle w:val="ListParagraph"/>
        <w:numPr>
          <w:ilvl w:val="0"/>
          <w:numId w:val="15"/>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B520A05" w14:textId="77777777" w:rsidR="00DC22AB" w:rsidRPr="00D023E6" w:rsidRDefault="00DC22AB" w:rsidP="009635D1">
      <w:pPr>
        <w:pStyle w:val="ListParagraph"/>
        <w:numPr>
          <w:ilvl w:val="0"/>
          <w:numId w:val="15"/>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557373B" w14:textId="77777777" w:rsidR="00DC22AB" w:rsidRDefault="00DC22AB" w:rsidP="009635D1">
      <w:pPr>
        <w:pStyle w:val="ListParagraph"/>
        <w:numPr>
          <w:ilvl w:val="0"/>
          <w:numId w:val="15"/>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DEED556" w14:textId="4423641D" w:rsidR="00DC22AB" w:rsidRPr="00971465" w:rsidRDefault="00DC22AB" w:rsidP="007579A4">
      <w:pPr>
        <w:pStyle w:val="ListParagraph"/>
        <w:numPr>
          <w:ilvl w:val="0"/>
          <w:numId w:val="15"/>
        </w:numPr>
        <w:spacing w:after="120" w:line="240" w:lineRule="auto"/>
        <w:ind w:right="260"/>
        <w:rPr>
          <w:rFonts w:ascii="Arial" w:hAnsi="Arial" w:cs="Arial"/>
          <w:sz w:val="20"/>
          <w:szCs w:val="20"/>
        </w:rPr>
      </w:pPr>
      <w:r w:rsidRPr="00796CBF">
        <w:rPr>
          <w:rFonts w:ascii="Arial" w:hAnsi="Arial" w:cs="Arial"/>
          <w:sz w:val="20"/>
          <w:szCs w:val="20"/>
        </w:rPr>
        <w:t>In accordance with the KLS school-level statement on Lecture Capture, the lecture/seminars will not be recorded as they are heavily discussion-based</w:t>
      </w:r>
      <w:r w:rsidRPr="00971465">
        <w:rPr>
          <w:rFonts w:ascii="Arial" w:hAnsi="Arial" w:cs="Arial"/>
          <w:sz w:val="20"/>
          <w:szCs w:val="20"/>
        </w:rPr>
        <w:br/>
      </w:r>
    </w:p>
    <w:p w14:paraId="3E7B044E" w14:textId="77777777" w:rsidR="00DC22AB" w:rsidRPr="00A7491F" w:rsidRDefault="00DC22AB" w:rsidP="009635D1">
      <w:pPr>
        <w:spacing w:after="120" w:line="240" w:lineRule="auto"/>
        <w:ind w:left="426" w:right="260"/>
        <w:jc w:val="both"/>
        <w:rPr>
          <w:rFonts w:ascii="Arial" w:hAnsi="Arial" w:cs="Arial"/>
          <w:b/>
          <w:sz w:val="20"/>
          <w:szCs w:val="20"/>
        </w:rPr>
      </w:pPr>
      <w:r w:rsidRPr="00A7491F">
        <w:rPr>
          <w:rFonts w:ascii="Arial" w:hAnsi="Arial" w:cs="Arial"/>
          <w:b/>
          <w:sz w:val="20"/>
          <w:szCs w:val="20"/>
        </w:rPr>
        <w:lastRenderedPageBreak/>
        <w:t>b) Learning, teaching and assessment methods</w:t>
      </w:r>
    </w:p>
    <w:p w14:paraId="106109CB" w14:textId="4B593EBE" w:rsidR="00DC22AB" w:rsidRPr="00373ACB" w:rsidRDefault="00DC22AB" w:rsidP="009635D1">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6EF3D424" w14:textId="77777777" w:rsidR="009A2D37" w:rsidRPr="00EE0DF6" w:rsidRDefault="009A2D37" w:rsidP="0066061A">
      <w:pPr>
        <w:spacing w:after="120" w:line="240" w:lineRule="auto"/>
        <w:ind w:left="426" w:right="260"/>
        <w:rPr>
          <w:rFonts w:ascii="Arial" w:hAnsi="Arial" w:cs="Arial"/>
          <w:iCs/>
          <w:sz w:val="20"/>
          <w:szCs w:val="20"/>
        </w:rPr>
      </w:pPr>
    </w:p>
    <w:p w14:paraId="1B1E6683" w14:textId="77777777" w:rsidR="009A2D37" w:rsidRPr="00EE0DF6" w:rsidRDefault="009A2D37" w:rsidP="0066061A">
      <w:pPr>
        <w:numPr>
          <w:ilvl w:val="0"/>
          <w:numId w:val="1"/>
        </w:numPr>
        <w:spacing w:after="120" w:line="240" w:lineRule="auto"/>
        <w:ind w:left="426" w:right="260" w:hanging="426"/>
        <w:jc w:val="both"/>
        <w:rPr>
          <w:rFonts w:ascii="Arial" w:hAnsi="Arial" w:cs="Arial"/>
          <w:b/>
          <w:sz w:val="20"/>
          <w:szCs w:val="20"/>
        </w:rPr>
      </w:pPr>
      <w:r w:rsidRPr="00EE0DF6">
        <w:rPr>
          <w:rFonts w:ascii="Arial" w:hAnsi="Arial" w:cs="Arial"/>
          <w:b/>
          <w:sz w:val="20"/>
          <w:szCs w:val="20"/>
        </w:rPr>
        <w:t>Campus(es) or Centre(s) where module will be delivered:</w:t>
      </w:r>
    </w:p>
    <w:p w14:paraId="784F659C" w14:textId="77777777" w:rsidR="009A2D37" w:rsidRPr="00EE0DF6" w:rsidRDefault="0066061A" w:rsidP="0066061A">
      <w:pPr>
        <w:spacing w:after="120" w:line="240" w:lineRule="auto"/>
        <w:ind w:left="426" w:right="260"/>
        <w:rPr>
          <w:rFonts w:ascii="Arial" w:hAnsi="Arial" w:cs="Arial"/>
          <w:iCs/>
          <w:sz w:val="20"/>
          <w:szCs w:val="20"/>
        </w:rPr>
      </w:pPr>
      <w:r w:rsidRPr="00EE0DF6">
        <w:rPr>
          <w:rFonts w:ascii="Arial" w:hAnsi="Arial" w:cs="Arial"/>
          <w:iCs/>
          <w:sz w:val="20"/>
          <w:szCs w:val="20"/>
        </w:rPr>
        <w:t>Canterbury</w:t>
      </w:r>
    </w:p>
    <w:p w14:paraId="06AE326E" w14:textId="77777777" w:rsidR="00DC22AB" w:rsidRDefault="00DC22AB" w:rsidP="0066061A">
      <w:pPr>
        <w:spacing w:line="240" w:lineRule="auto"/>
        <w:rPr>
          <w:rFonts w:ascii="Arial" w:hAnsi="Arial" w:cs="Arial"/>
          <w:sz w:val="20"/>
          <w:szCs w:val="20"/>
        </w:rPr>
      </w:pPr>
    </w:p>
    <w:p w14:paraId="4C65622C" w14:textId="77777777" w:rsidR="00DC22AB" w:rsidRPr="00DF2132" w:rsidRDefault="00DC22AB" w:rsidP="00DC22AB">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900B216" w14:textId="77777777" w:rsidR="000E472F" w:rsidRDefault="00D01BFB" w:rsidP="009635D1">
      <w:pPr>
        <w:pStyle w:val="ListParagraph"/>
        <w:ind w:left="426" w:right="260"/>
        <w:jc w:val="both"/>
        <w:rPr>
          <w:rFonts w:ascii="Arial" w:hAnsi="Arial" w:cs="Arial"/>
          <w:sz w:val="20"/>
          <w:szCs w:val="20"/>
        </w:rPr>
      </w:pPr>
      <w:r>
        <w:rPr>
          <w:rFonts w:ascii="Arial" w:hAnsi="Arial" w:cs="Arial"/>
          <w:sz w:val="20"/>
          <w:szCs w:val="20"/>
        </w:rPr>
        <w:t xml:space="preserve">This module </w:t>
      </w:r>
      <w:r w:rsidRPr="00D01BFB">
        <w:rPr>
          <w:rFonts w:ascii="Arial" w:hAnsi="Arial" w:cs="Arial"/>
          <w:sz w:val="20"/>
          <w:szCs w:val="20"/>
        </w:rPr>
        <w:t>focuses on citizens of the EU and their family members who have chosen to exercise free movement and residence rights and thereby seek to rely on their ‘rights’ as EU citizens in the territory of another Member State</w:t>
      </w:r>
      <w:r>
        <w:rPr>
          <w:rFonts w:ascii="Arial" w:hAnsi="Arial" w:cs="Arial"/>
          <w:sz w:val="20"/>
          <w:szCs w:val="20"/>
        </w:rPr>
        <w:t>.</w:t>
      </w:r>
    </w:p>
    <w:p w14:paraId="069B01BF" w14:textId="77777777" w:rsidR="0077112A" w:rsidRDefault="0077112A">
      <w:pPr>
        <w:rPr>
          <w:rFonts w:ascii="Arial" w:hAnsi="Arial" w:cs="Arial"/>
          <w:b/>
          <w:sz w:val="20"/>
          <w:szCs w:val="20"/>
        </w:rPr>
      </w:pPr>
      <w:r>
        <w:rPr>
          <w:rFonts w:ascii="Arial" w:hAnsi="Arial" w:cs="Arial"/>
          <w:b/>
          <w:sz w:val="20"/>
          <w:szCs w:val="20"/>
        </w:rPr>
        <w:br w:type="page"/>
      </w:r>
    </w:p>
    <w:p w14:paraId="292932A9" w14:textId="147C7B83" w:rsidR="000E472F" w:rsidRPr="00EE0DF6" w:rsidRDefault="000E472F" w:rsidP="000E472F">
      <w:pPr>
        <w:spacing w:after="120" w:line="240" w:lineRule="auto"/>
        <w:ind w:right="260"/>
        <w:rPr>
          <w:rFonts w:ascii="Arial" w:hAnsi="Arial" w:cs="Arial"/>
          <w:b/>
          <w:sz w:val="20"/>
          <w:szCs w:val="20"/>
        </w:rPr>
      </w:pPr>
      <w:r w:rsidRPr="00EE0DF6">
        <w:rPr>
          <w:rFonts w:ascii="Arial" w:hAnsi="Arial" w:cs="Arial"/>
          <w:b/>
          <w:sz w:val="20"/>
          <w:szCs w:val="20"/>
        </w:rPr>
        <w:lastRenderedPageBreak/>
        <w:t xml:space="preserve">FACULTIES SUPPORT OFFICE USE ONLY </w:t>
      </w:r>
    </w:p>
    <w:p w14:paraId="2C895849" w14:textId="77777777" w:rsidR="000E472F" w:rsidRPr="00EE0DF6" w:rsidRDefault="000E472F" w:rsidP="0077112A">
      <w:pPr>
        <w:spacing w:after="120" w:line="240" w:lineRule="auto"/>
        <w:ind w:right="260"/>
        <w:jc w:val="both"/>
        <w:rPr>
          <w:rFonts w:ascii="Arial" w:hAnsi="Arial" w:cs="Arial"/>
          <w:b/>
          <w:sz w:val="20"/>
          <w:szCs w:val="20"/>
        </w:rPr>
      </w:pPr>
      <w:r w:rsidRPr="00EE0DF6">
        <w:rPr>
          <w:rFonts w:ascii="Arial" w:hAnsi="Arial" w:cs="Arial"/>
          <w:b/>
          <w:sz w:val="20"/>
          <w:szCs w:val="20"/>
        </w:rPr>
        <w:t>Revision record – all revisions must be recorded in the grid and full details of the change retained in the appropriate committee records.</w:t>
      </w:r>
    </w:p>
    <w:p w14:paraId="2C0CA8A9" w14:textId="77777777" w:rsidR="000E472F" w:rsidRPr="00EE0DF6" w:rsidRDefault="000E472F" w:rsidP="000E472F">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0E472F" w:rsidRPr="00EE0DF6" w14:paraId="3E93EEBB" w14:textId="77777777" w:rsidTr="0077112A">
        <w:trPr>
          <w:trHeight w:val="317"/>
        </w:trPr>
        <w:tc>
          <w:tcPr>
            <w:tcW w:w="1673" w:type="dxa"/>
          </w:tcPr>
          <w:p w14:paraId="7CAF2173" w14:textId="77777777" w:rsidR="000E472F" w:rsidRPr="00EE0DF6" w:rsidRDefault="000E472F" w:rsidP="00352F94">
            <w:pPr>
              <w:spacing w:after="120"/>
              <w:ind w:right="-330"/>
              <w:rPr>
                <w:rFonts w:ascii="Arial" w:hAnsi="Arial" w:cs="Arial"/>
                <w:sz w:val="20"/>
                <w:szCs w:val="20"/>
              </w:rPr>
            </w:pPr>
            <w:r w:rsidRPr="00EE0DF6">
              <w:rPr>
                <w:rFonts w:ascii="Arial" w:hAnsi="Arial" w:cs="Arial"/>
                <w:sz w:val="20"/>
                <w:szCs w:val="20"/>
              </w:rPr>
              <w:t>Date approved</w:t>
            </w:r>
          </w:p>
        </w:tc>
        <w:tc>
          <w:tcPr>
            <w:tcW w:w="1417" w:type="dxa"/>
          </w:tcPr>
          <w:p w14:paraId="65A3329C" w14:textId="77777777" w:rsidR="000E472F" w:rsidRPr="00EE0DF6" w:rsidRDefault="000E472F" w:rsidP="00352F94">
            <w:pPr>
              <w:spacing w:after="120"/>
              <w:rPr>
                <w:rFonts w:ascii="Arial" w:hAnsi="Arial" w:cs="Arial"/>
                <w:sz w:val="20"/>
                <w:szCs w:val="20"/>
              </w:rPr>
            </w:pPr>
            <w:r w:rsidRPr="00EE0DF6">
              <w:rPr>
                <w:rFonts w:ascii="Arial" w:hAnsi="Arial" w:cs="Arial"/>
                <w:sz w:val="20"/>
                <w:szCs w:val="20"/>
              </w:rPr>
              <w:t>Major/minor revision</w:t>
            </w:r>
          </w:p>
        </w:tc>
        <w:tc>
          <w:tcPr>
            <w:tcW w:w="2342" w:type="dxa"/>
          </w:tcPr>
          <w:p w14:paraId="40D97200" w14:textId="039EB5DC" w:rsidR="000E472F" w:rsidRPr="00EE0DF6" w:rsidRDefault="000E472F" w:rsidP="00352F94">
            <w:pPr>
              <w:spacing w:after="120"/>
              <w:ind w:right="-34"/>
              <w:rPr>
                <w:rFonts w:ascii="Arial" w:hAnsi="Arial" w:cs="Arial"/>
                <w:sz w:val="20"/>
                <w:szCs w:val="20"/>
              </w:rPr>
            </w:pPr>
            <w:r w:rsidRPr="00EE0DF6">
              <w:rPr>
                <w:rFonts w:ascii="Arial" w:hAnsi="Arial" w:cs="Arial"/>
                <w:sz w:val="20"/>
                <w:szCs w:val="20"/>
              </w:rPr>
              <w:t>Start date of the delivery of revised version</w:t>
            </w:r>
          </w:p>
        </w:tc>
        <w:tc>
          <w:tcPr>
            <w:tcW w:w="2658" w:type="dxa"/>
          </w:tcPr>
          <w:p w14:paraId="70F72FFB" w14:textId="77777777" w:rsidR="000E472F" w:rsidRPr="00EE0DF6" w:rsidRDefault="000E472F" w:rsidP="00352F94">
            <w:pPr>
              <w:spacing w:after="120"/>
              <w:ind w:right="-330"/>
              <w:rPr>
                <w:rFonts w:ascii="Arial" w:hAnsi="Arial" w:cs="Arial"/>
                <w:sz w:val="20"/>
                <w:szCs w:val="20"/>
              </w:rPr>
            </w:pPr>
            <w:r w:rsidRPr="00EE0DF6">
              <w:rPr>
                <w:rFonts w:ascii="Arial" w:hAnsi="Arial" w:cs="Arial"/>
                <w:sz w:val="20"/>
                <w:szCs w:val="20"/>
              </w:rPr>
              <w:t>Section revised</w:t>
            </w:r>
          </w:p>
        </w:tc>
        <w:tc>
          <w:tcPr>
            <w:tcW w:w="2400" w:type="dxa"/>
          </w:tcPr>
          <w:p w14:paraId="55F8A30C" w14:textId="77777777" w:rsidR="000E472F" w:rsidRPr="00EE0DF6" w:rsidRDefault="000E472F" w:rsidP="00352F94">
            <w:pPr>
              <w:spacing w:after="120"/>
              <w:ind w:right="-330"/>
              <w:rPr>
                <w:rFonts w:ascii="Arial" w:hAnsi="Arial" w:cs="Arial"/>
                <w:sz w:val="20"/>
                <w:szCs w:val="20"/>
              </w:rPr>
            </w:pPr>
            <w:r w:rsidRPr="00EE0DF6">
              <w:rPr>
                <w:rFonts w:ascii="Arial" w:hAnsi="Arial" w:cs="Arial"/>
                <w:sz w:val="20"/>
                <w:szCs w:val="20"/>
              </w:rPr>
              <w:t>Impacts PLOs</w:t>
            </w:r>
            <w:r w:rsidRPr="00EE0DF6">
              <w:rPr>
                <w:rFonts w:ascii="Arial" w:hAnsi="Arial" w:cs="Arial"/>
                <w:sz w:val="20"/>
                <w:szCs w:val="20"/>
              </w:rPr>
              <w:br/>
              <w:t>(Q6 &amp; 7 cover sheet)</w:t>
            </w:r>
          </w:p>
        </w:tc>
      </w:tr>
      <w:tr w:rsidR="000E472F" w:rsidRPr="00EE0DF6" w14:paraId="59008A26" w14:textId="77777777" w:rsidTr="0077112A">
        <w:trPr>
          <w:trHeight w:val="305"/>
        </w:trPr>
        <w:tc>
          <w:tcPr>
            <w:tcW w:w="1673" w:type="dxa"/>
          </w:tcPr>
          <w:p w14:paraId="4C3A60F0" w14:textId="77777777" w:rsidR="000E472F" w:rsidRPr="00EE0DF6" w:rsidRDefault="000E472F" w:rsidP="00352F94">
            <w:pPr>
              <w:spacing w:after="120"/>
              <w:ind w:right="-330"/>
              <w:rPr>
                <w:rFonts w:ascii="Arial" w:hAnsi="Arial" w:cs="Arial"/>
                <w:sz w:val="20"/>
                <w:szCs w:val="20"/>
              </w:rPr>
            </w:pPr>
          </w:p>
        </w:tc>
        <w:tc>
          <w:tcPr>
            <w:tcW w:w="1417" w:type="dxa"/>
          </w:tcPr>
          <w:p w14:paraId="76A5AB54" w14:textId="77777777" w:rsidR="000E472F" w:rsidRPr="00EE0DF6" w:rsidRDefault="000E472F" w:rsidP="00352F94">
            <w:pPr>
              <w:spacing w:after="120"/>
              <w:ind w:right="-330"/>
              <w:rPr>
                <w:rFonts w:ascii="Arial" w:hAnsi="Arial" w:cs="Arial"/>
                <w:sz w:val="20"/>
                <w:szCs w:val="20"/>
              </w:rPr>
            </w:pPr>
          </w:p>
        </w:tc>
        <w:tc>
          <w:tcPr>
            <w:tcW w:w="2342" w:type="dxa"/>
          </w:tcPr>
          <w:p w14:paraId="4CAAB50B" w14:textId="77777777" w:rsidR="000E472F" w:rsidRPr="00EE0DF6" w:rsidRDefault="000E472F" w:rsidP="00352F94">
            <w:pPr>
              <w:spacing w:after="120"/>
              <w:ind w:right="-330"/>
              <w:rPr>
                <w:rFonts w:ascii="Arial" w:hAnsi="Arial" w:cs="Arial"/>
                <w:sz w:val="20"/>
                <w:szCs w:val="20"/>
              </w:rPr>
            </w:pPr>
          </w:p>
        </w:tc>
        <w:tc>
          <w:tcPr>
            <w:tcW w:w="2658" w:type="dxa"/>
          </w:tcPr>
          <w:p w14:paraId="4BF046D4" w14:textId="77777777" w:rsidR="000E472F" w:rsidRPr="00EE0DF6" w:rsidRDefault="000E472F" w:rsidP="00352F94">
            <w:pPr>
              <w:spacing w:after="120"/>
              <w:ind w:right="-330"/>
              <w:rPr>
                <w:rFonts w:ascii="Arial" w:hAnsi="Arial" w:cs="Arial"/>
                <w:sz w:val="20"/>
                <w:szCs w:val="20"/>
              </w:rPr>
            </w:pPr>
          </w:p>
        </w:tc>
        <w:tc>
          <w:tcPr>
            <w:tcW w:w="2400" w:type="dxa"/>
          </w:tcPr>
          <w:p w14:paraId="5BDA1911" w14:textId="77777777" w:rsidR="000E472F" w:rsidRPr="00EE0DF6" w:rsidRDefault="000E472F" w:rsidP="00352F94">
            <w:pPr>
              <w:spacing w:after="120"/>
              <w:ind w:right="-330"/>
              <w:rPr>
                <w:rFonts w:ascii="Arial" w:hAnsi="Arial" w:cs="Arial"/>
                <w:sz w:val="20"/>
                <w:szCs w:val="20"/>
              </w:rPr>
            </w:pPr>
          </w:p>
        </w:tc>
      </w:tr>
      <w:tr w:rsidR="000E472F" w:rsidRPr="00EE0DF6" w14:paraId="54D2BEC4" w14:textId="77777777" w:rsidTr="0077112A">
        <w:trPr>
          <w:trHeight w:val="305"/>
        </w:trPr>
        <w:tc>
          <w:tcPr>
            <w:tcW w:w="1673" w:type="dxa"/>
          </w:tcPr>
          <w:p w14:paraId="04C0C001" w14:textId="77777777" w:rsidR="000E472F" w:rsidRPr="00EE0DF6" w:rsidRDefault="000E472F" w:rsidP="00352F94">
            <w:pPr>
              <w:spacing w:after="120"/>
              <w:ind w:right="-330"/>
              <w:rPr>
                <w:rFonts w:ascii="Arial" w:hAnsi="Arial" w:cs="Arial"/>
                <w:sz w:val="20"/>
                <w:szCs w:val="20"/>
              </w:rPr>
            </w:pPr>
          </w:p>
        </w:tc>
        <w:tc>
          <w:tcPr>
            <w:tcW w:w="1417" w:type="dxa"/>
          </w:tcPr>
          <w:p w14:paraId="7192A4ED" w14:textId="77777777" w:rsidR="000E472F" w:rsidRPr="00EE0DF6" w:rsidRDefault="000E472F" w:rsidP="00352F94">
            <w:pPr>
              <w:spacing w:after="120"/>
              <w:ind w:right="-330"/>
              <w:rPr>
                <w:rFonts w:ascii="Arial" w:hAnsi="Arial" w:cs="Arial"/>
                <w:sz w:val="20"/>
                <w:szCs w:val="20"/>
              </w:rPr>
            </w:pPr>
          </w:p>
        </w:tc>
        <w:tc>
          <w:tcPr>
            <w:tcW w:w="2342" w:type="dxa"/>
          </w:tcPr>
          <w:p w14:paraId="21CE0BA4" w14:textId="77777777" w:rsidR="000E472F" w:rsidRPr="00EE0DF6" w:rsidRDefault="000E472F" w:rsidP="00352F94">
            <w:pPr>
              <w:spacing w:after="120"/>
              <w:ind w:right="-330"/>
              <w:rPr>
                <w:rFonts w:ascii="Arial" w:hAnsi="Arial" w:cs="Arial"/>
                <w:sz w:val="20"/>
                <w:szCs w:val="20"/>
              </w:rPr>
            </w:pPr>
          </w:p>
        </w:tc>
        <w:tc>
          <w:tcPr>
            <w:tcW w:w="2658" w:type="dxa"/>
          </w:tcPr>
          <w:p w14:paraId="78A149A6" w14:textId="77777777" w:rsidR="000E472F" w:rsidRPr="00EE0DF6" w:rsidRDefault="000E472F" w:rsidP="00352F94">
            <w:pPr>
              <w:spacing w:after="120"/>
              <w:ind w:right="-330"/>
              <w:rPr>
                <w:rFonts w:ascii="Arial" w:hAnsi="Arial" w:cs="Arial"/>
                <w:sz w:val="20"/>
                <w:szCs w:val="20"/>
              </w:rPr>
            </w:pPr>
          </w:p>
        </w:tc>
        <w:tc>
          <w:tcPr>
            <w:tcW w:w="2400" w:type="dxa"/>
          </w:tcPr>
          <w:p w14:paraId="5E93528C" w14:textId="77777777" w:rsidR="000E472F" w:rsidRPr="00EE0DF6" w:rsidRDefault="000E472F" w:rsidP="00352F94">
            <w:pPr>
              <w:spacing w:after="120"/>
              <w:ind w:right="-330"/>
              <w:rPr>
                <w:rFonts w:ascii="Arial" w:hAnsi="Arial" w:cs="Arial"/>
                <w:sz w:val="20"/>
                <w:szCs w:val="20"/>
              </w:rPr>
            </w:pPr>
          </w:p>
        </w:tc>
      </w:tr>
    </w:tbl>
    <w:p w14:paraId="18FA1074" w14:textId="79F7CDE6" w:rsidR="00641D6D" w:rsidRPr="000E472F" w:rsidRDefault="00641D6D" w:rsidP="000E472F">
      <w:pPr>
        <w:ind w:right="260"/>
        <w:jc w:val="both"/>
        <w:rPr>
          <w:rFonts w:ascii="Arial" w:hAnsi="Arial" w:cs="Arial"/>
          <w:sz w:val="20"/>
          <w:szCs w:val="20"/>
        </w:rPr>
      </w:pPr>
    </w:p>
    <w:sectPr w:rsidR="00641D6D" w:rsidRPr="000E472F" w:rsidSect="0077112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BCD1" w14:textId="77777777" w:rsidR="00D43D7D" w:rsidRDefault="00D43D7D" w:rsidP="009A2D37">
      <w:pPr>
        <w:spacing w:after="0" w:line="240" w:lineRule="auto"/>
      </w:pPr>
      <w:r>
        <w:separator/>
      </w:r>
    </w:p>
  </w:endnote>
  <w:endnote w:type="continuationSeparator" w:id="0">
    <w:p w14:paraId="5E4CEB5B" w14:textId="77777777" w:rsidR="00D43D7D" w:rsidRDefault="00D43D7D" w:rsidP="009A2D37">
      <w:pPr>
        <w:spacing w:after="0" w:line="240" w:lineRule="auto"/>
      </w:pPr>
      <w:r>
        <w:continuationSeparator/>
      </w:r>
    </w:p>
  </w:endnote>
  <w:endnote w:type="continuationNotice" w:id="1">
    <w:p w14:paraId="0E4FF33E" w14:textId="77777777" w:rsidR="00D43D7D" w:rsidRDefault="00D43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722076"/>
      <w:docPartObj>
        <w:docPartGallery w:val="Page Numbers (Bottom of Page)"/>
        <w:docPartUnique/>
      </w:docPartObj>
    </w:sdtPr>
    <w:sdtEndPr/>
    <w:sdtContent>
      <w:p w14:paraId="1E93814B" w14:textId="77777777" w:rsidR="0077112A" w:rsidRDefault="0077112A" w:rsidP="009A2D37">
        <w:pPr>
          <w:pStyle w:val="Footer"/>
          <w:jc w:val="center"/>
        </w:pPr>
      </w:p>
      <w:p w14:paraId="3AD5C9CF" w14:textId="3C2CD27B" w:rsidR="00DE190E" w:rsidRDefault="00DE190E" w:rsidP="009A2D37">
        <w:pPr>
          <w:pStyle w:val="Footer"/>
          <w:jc w:val="center"/>
        </w:pPr>
        <w:r>
          <w:fldChar w:fldCharType="begin"/>
        </w:r>
        <w:r>
          <w:instrText xml:space="preserve"> PAGE   \* MERGEFORMAT </w:instrText>
        </w:r>
        <w:r>
          <w:fldChar w:fldCharType="separate"/>
        </w:r>
        <w:r w:rsidR="006F56D9">
          <w:rPr>
            <w:noProof/>
          </w:rPr>
          <w:t>2</w:t>
        </w:r>
        <w:r>
          <w:rPr>
            <w:noProof/>
          </w:rPr>
          <w:fldChar w:fldCharType="end"/>
        </w:r>
      </w:p>
    </w:sdtContent>
  </w:sdt>
  <w:p w14:paraId="36ABCE76" w14:textId="1C957005" w:rsidR="00DE190E" w:rsidRPr="007B7724" w:rsidRDefault="000C457D" w:rsidP="00DC22AB">
    <w:pPr>
      <w:pStyle w:val="Footer"/>
      <w:spacing w:after="120"/>
      <w:ind w:right="-330"/>
      <w:jc w:val="center"/>
      <w:rPr>
        <w:rFonts w:ascii="Arial" w:hAnsi="Arial"/>
        <w:sz w:val="18"/>
      </w:rPr>
    </w:pPr>
    <w:r w:rsidRPr="000C457D">
      <w:rPr>
        <w:rFonts w:ascii="Arial" w:hAnsi="Arial"/>
        <w:sz w:val="18"/>
      </w:rPr>
      <w:t xml:space="preserve">LAWS9320 (LW932) EU Citizenship and Residence Rights - Clinical Option </w:t>
    </w:r>
    <w:r w:rsidR="00DC22AB" w:rsidRPr="00DC22AB">
      <w:rPr>
        <w:rFonts w:ascii="Arial" w:hAnsi="Arial"/>
        <w:sz w:val="18"/>
      </w:rPr>
      <w:t xml:space="preserve">- (Sept. </w:t>
    </w:r>
    <w:r w:rsidRPr="00DC22AB">
      <w:rPr>
        <w:rFonts w:ascii="Arial" w:hAnsi="Arial"/>
        <w:sz w:val="18"/>
      </w:rPr>
      <w:t>201</w:t>
    </w:r>
    <w:r>
      <w:rPr>
        <w:rFonts w:ascii="Arial" w:hAnsi="Arial"/>
        <w:sz w:val="18"/>
      </w:rPr>
      <w:t>8</w:t>
    </w:r>
    <w:r w:rsidRPr="00DC22AB">
      <w:rPr>
        <w:rFonts w:ascii="Arial" w:hAnsi="Arial"/>
        <w:sz w:val="18"/>
      </w:rPr>
      <w:t xml:space="preserve"> </w:t>
    </w:r>
    <w:r w:rsidR="00DC22AB" w:rsidRPr="00DC22AB">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7C42" w14:textId="77777777" w:rsidR="00D43D7D" w:rsidRDefault="00D43D7D" w:rsidP="009A2D37">
      <w:pPr>
        <w:spacing w:after="0" w:line="240" w:lineRule="auto"/>
      </w:pPr>
      <w:r>
        <w:separator/>
      </w:r>
    </w:p>
  </w:footnote>
  <w:footnote w:type="continuationSeparator" w:id="0">
    <w:p w14:paraId="4388BDC0" w14:textId="77777777" w:rsidR="00D43D7D" w:rsidRDefault="00D43D7D" w:rsidP="009A2D37">
      <w:pPr>
        <w:spacing w:after="0" w:line="240" w:lineRule="auto"/>
      </w:pPr>
      <w:r>
        <w:continuationSeparator/>
      </w:r>
    </w:p>
  </w:footnote>
  <w:footnote w:type="continuationNotice" w:id="1">
    <w:p w14:paraId="248DB159" w14:textId="77777777" w:rsidR="00D43D7D" w:rsidRDefault="00D43D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B410" w14:textId="77777777" w:rsidR="00DE190E" w:rsidRPr="0075408A" w:rsidRDefault="00DE190E"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730D0C" wp14:editId="34C832B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B20AB11" w14:textId="77777777" w:rsidR="00DE190E" w:rsidRPr="008C00F8" w:rsidRDefault="00DE190E" w:rsidP="005E6D38">
    <w:pPr>
      <w:pStyle w:val="Heading1"/>
      <w:spacing w:before="60" w:after="60"/>
      <w:rPr>
        <w:rFonts w:ascii="Arial" w:hAnsi="Arial" w:cs="Arial"/>
      </w:rPr>
    </w:pPr>
  </w:p>
  <w:p w14:paraId="2F4FA28A" w14:textId="77777777" w:rsidR="00DE190E" w:rsidRDefault="00DE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DA36" w14:textId="3331F70B" w:rsidR="00DE190E" w:rsidRPr="0075408A" w:rsidRDefault="00DE190E"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F4D8604" wp14:editId="5C1B3FDD">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8144579" w14:textId="77777777" w:rsidR="00DE190E" w:rsidRPr="000F7FBF" w:rsidRDefault="00DE190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E21C2"/>
    <w:multiLevelType w:val="hybridMultilevel"/>
    <w:tmpl w:val="B524ACA2"/>
    <w:lvl w:ilvl="0" w:tplc="86D297D0">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E5F7A0E"/>
    <w:multiLevelType w:val="hybridMultilevel"/>
    <w:tmpl w:val="A32EB292"/>
    <w:lvl w:ilvl="0" w:tplc="0809000F">
      <w:start w:val="1"/>
      <w:numFmt w:val="decimal"/>
      <w:lvlText w:val="%1."/>
      <w:lvlJc w:val="left"/>
      <w:pPr>
        <w:ind w:left="720" w:hanging="360"/>
      </w:pPr>
      <w:rPr>
        <w:rFonts w:hint="default"/>
      </w:rPr>
    </w:lvl>
    <w:lvl w:ilvl="1" w:tplc="86D297D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777E34"/>
    <w:multiLevelType w:val="hybridMultilevel"/>
    <w:tmpl w:val="D4E4D9EE"/>
    <w:lvl w:ilvl="0" w:tplc="08090001">
      <w:start w:val="1"/>
      <w:numFmt w:val="bullet"/>
      <w:lvlText w:val=""/>
      <w:lvlJc w:val="left"/>
      <w:pPr>
        <w:ind w:left="720" w:hanging="360"/>
      </w:pPr>
      <w:rPr>
        <w:rFonts w:ascii="Symbol" w:hAnsi="Symbol" w:hint="default"/>
        <w:b w:val="0"/>
      </w:rPr>
    </w:lvl>
    <w:lvl w:ilvl="1" w:tplc="CEE0F028">
      <w:start w:val="1"/>
      <w:numFmt w:val="decimal"/>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3"/>
  </w:num>
  <w:num w:numId="8">
    <w:abstractNumId w:val="9"/>
  </w:num>
  <w:num w:numId="9">
    <w:abstractNumId w:val="12"/>
  </w:num>
  <w:num w:numId="10">
    <w:abstractNumId w:val="7"/>
  </w:num>
  <w:num w:numId="11">
    <w:abstractNumId w:val="3"/>
  </w:num>
  <w:num w:numId="12">
    <w:abstractNumId w:val="14"/>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773"/>
    <w:rsid w:val="00000C8C"/>
    <w:rsid w:val="000017F2"/>
    <w:rsid w:val="00002762"/>
    <w:rsid w:val="00005661"/>
    <w:rsid w:val="00010A16"/>
    <w:rsid w:val="0001243F"/>
    <w:rsid w:val="00021EA0"/>
    <w:rsid w:val="00025992"/>
    <w:rsid w:val="00027937"/>
    <w:rsid w:val="00030C9E"/>
    <w:rsid w:val="00031E67"/>
    <w:rsid w:val="000408CC"/>
    <w:rsid w:val="00045089"/>
    <w:rsid w:val="00045373"/>
    <w:rsid w:val="00052037"/>
    <w:rsid w:val="000553DB"/>
    <w:rsid w:val="00063A2F"/>
    <w:rsid w:val="000678D3"/>
    <w:rsid w:val="0007557C"/>
    <w:rsid w:val="00081B27"/>
    <w:rsid w:val="00094810"/>
    <w:rsid w:val="00097C46"/>
    <w:rsid w:val="000C0294"/>
    <w:rsid w:val="000C0B6A"/>
    <w:rsid w:val="000C457D"/>
    <w:rsid w:val="000C7A1C"/>
    <w:rsid w:val="000D16C0"/>
    <w:rsid w:val="000D2A8A"/>
    <w:rsid w:val="000D32AC"/>
    <w:rsid w:val="000E20C1"/>
    <w:rsid w:val="000E3B73"/>
    <w:rsid w:val="000E472F"/>
    <w:rsid w:val="000F5B1D"/>
    <w:rsid w:val="000F6C56"/>
    <w:rsid w:val="000F7FBF"/>
    <w:rsid w:val="00106BE5"/>
    <w:rsid w:val="001070B4"/>
    <w:rsid w:val="00110947"/>
    <w:rsid w:val="00111906"/>
    <w:rsid w:val="00111CB3"/>
    <w:rsid w:val="00117577"/>
    <w:rsid w:val="00117793"/>
    <w:rsid w:val="001206E4"/>
    <w:rsid w:val="001214D3"/>
    <w:rsid w:val="00121BFC"/>
    <w:rsid w:val="001402AD"/>
    <w:rsid w:val="001540CE"/>
    <w:rsid w:val="001560CD"/>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336"/>
    <w:rsid w:val="001E62C1"/>
    <w:rsid w:val="001F0779"/>
    <w:rsid w:val="001F3C3E"/>
    <w:rsid w:val="0020243A"/>
    <w:rsid w:val="0021578E"/>
    <w:rsid w:val="00225F70"/>
    <w:rsid w:val="00227582"/>
    <w:rsid w:val="002308BE"/>
    <w:rsid w:val="002407C0"/>
    <w:rsid w:val="002461AF"/>
    <w:rsid w:val="002465A1"/>
    <w:rsid w:val="00264576"/>
    <w:rsid w:val="002653FE"/>
    <w:rsid w:val="0026585A"/>
    <w:rsid w:val="00266735"/>
    <w:rsid w:val="00273CF0"/>
    <w:rsid w:val="002748D4"/>
    <w:rsid w:val="00274ED7"/>
    <w:rsid w:val="002815EE"/>
    <w:rsid w:val="0028461D"/>
    <w:rsid w:val="0028590C"/>
    <w:rsid w:val="00292C46"/>
    <w:rsid w:val="002938D6"/>
    <w:rsid w:val="00294B73"/>
    <w:rsid w:val="002A0C18"/>
    <w:rsid w:val="002A219B"/>
    <w:rsid w:val="002A22DB"/>
    <w:rsid w:val="002B20F5"/>
    <w:rsid w:val="002B2A1A"/>
    <w:rsid w:val="002B69EE"/>
    <w:rsid w:val="002B71F2"/>
    <w:rsid w:val="002C3678"/>
    <w:rsid w:val="002D6432"/>
    <w:rsid w:val="002E71C0"/>
    <w:rsid w:val="002F05F4"/>
    <w:rsid w:val="002F0CE4"/>
    <w:rsid w:val="002F23EF"/>
    <w:rsid w:val="002F24F4"/>
    <w:rsid w:val="002F2626"/>
    <w:rsid w:val="00302082"/>
    <w:rsid w:val="00304503"/>
    <w:rsid w:val="00306620"/>
    <w:rsid w:val="00315AA0"/>
    <w:rsid w:val="00323975"/>
    <w:rsid w:val="003262B9"/>
    <w:rsid w:val="00334A02"/>
    <w:rsid w:val="00335706"/>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5403"/>
    <w:rsid w:val="00407151"/>
    <w:rsid w:val="004114F8"/>
    <w:rsid w:val="00413814"/>
    <w:rsid w:val="00422B69"/>
    <w:rsid w:val="00423D86"/>
    <w:rsid w:val="00424C90"/>
    <w:rsid w:val="00436BE9"/>
    <w:rsid w:val="00441E76"/>
    <w:rsid w:val="00443272"/>
    <w:rsid w:val="004443DA"/>
    <w:rsid w:val="004474A2"/>
    <w:rsid w:val="00460925"/>
    <w:rsid w:val="00464924"/>
    <w:rsid w:val="00471C6C"/>
    <w:rsid w:val="00472023"/>
    <w:rsid w:val="00486993"/>
    <w:rsid w:val="00492DA4"/>
    <w:rsid w:val="00496AA3"/>
    <w:rsid w:val="00497C98"/>
    <w:rsid w:val="004A39D7"/>
    <w:rsid w:val="004A45AF"/>
    <w:rsid w:val="004A4C4B"/>
    <w:rsid w:val="004A55FA"/>
    <w:rsid w:val="004C1EC4"/>
    <w:rsid w:val="004D035C"/>
    <w:rsid w:val="004D12EF"/>
    <w:rsid w:val="004D6355"/>
    <w:rsid w:val="004F3C18"/>
    <w:rsid w:val="004F4328"/>
    <w:rsid w:val="005005E4"/>
    <w:rsid w:val="00506270"/>
    <w:rsid w:val="00513689"/>
    <w:rsid w:val="0051375A"/>
    <w:rsid w:val="00521097"/>
    <w:rsid w:val="0053059E"/>
    <w:rsid w:val="00532F6F"/>
    <w:rsid w:val="00533663"/>
    <w:rsid w:val="0054351A"/>
    <w:rsid w:val="005460C2"/>
    <w:rsid w:val="005526FB"/>
    <w:rsid w:val="0055280A"/>
    <w:rsid w:val="005548E1"/>
    <w:rsid w:val="0055585D"/>
    <w:rsid w:val="00556F27"/>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1337C"/>
    <w:rsid w:val="0061488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6F56D9"/>
    <w:rsid w:val="00700488"/>
    <w:rsid w:val="00700F4A"/>
    <w:rsid w:val="00703404"/>
    <w:rsid w:val="00703F79"/>
    <w:rsid w:val="00703F92"/>
    <w:rsid w:val="00704637"/>
    <w:rsid w:val="007103E4"/>
    <w:rsid w:val="007105E4"/>
    <w:rsid w:val="00714EE5"/>
    <w:rsid w:val="00720270"/>
    <w:rsid w:val="00724362"/>
    <w:rsid w:val="00727780"/>
    <w:rsid w:val="0073792C"/>
    <w:rsid w:val="00742468"/>
    <w:rsid w:val="00754069"/>
    <w:rsid w:val="007579A4"/>
    <w:rsid w:val="00763508"/>
    <w:rsid w:val="007667DF"/>
    <w:rsid w:val="0077080B"/>
    <w:rsid w:val="0077112A"/>
    <w:rsid w:val="00787070"/>
    <w:rsid w:val="007906FD"/>
    <w:rsid w:val="00797197"/>
    <w:rsid w:val="007972A7"/>
    <w:rsid w:val="007A2BA2"/>
    <w:rsid w:val="007A2E1E"/>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713"/>
    <w:rsid w:val="00815880"/>
    <w:rsid w:val="00817350"/>
    <w:rsid w:val="0082322C"/>
    <w:rsid w:val="00823942"/>
    <w:rsid w:val="00827FFD"/>
    <w:rsid w:val="00835468"/>
    <w:rsid w:val="00836E5B"/>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B7018"/>
    <w:rsid w:val="008D7401"/>
    <w:rsid w:val="008E226E"/>
    <w:rsid w:val="00903DF6"/>
    <w:rsid w:val="00921CF6"/>
    <w:rsid w:val="009246F0"/>
    <w:rsid w:val="00924EF0"/>
    <w:rsid w:val="00932A2A"/>
    <w:rsid w:val="00934D7B"/>
    <w:rsid w:val="00937A15"/>
    <w:rsid w:val="00942AE9"/>
    <w:rsid w:val="00947180"/>
    <w:rsid w:val="009567BE"/>
    <w:rsid w:val="009635D1"/>
    <w:rsid w:val="009676FA"/>
    <w:rsid w:val="009679E0"/>
    <w:rsid w:val="00977632"/>
    <w:rsid w:val="00982A8E"/>
    <w:rsid w:val="00987DB4"/>
    <w:rsid w:val="00996204"/>
    <w:rsid w:val="00996AA1"/>
    <w:rsid w:val="009A26CB"/>
    <w:rsid w:val="009A2D37"/>
    <w:rsid w:val="009A7587"/>
    <w:rsid w:val="009B0A69"/>
    <w:rsid w:val="009B5B0B"/>
    <w:rsid w:val="009C2474"/>
    <w:rsid w:val="009C7082"/>
    <w:rsid w:val="009D0006"/>
    <w:rsid w:val="009D068C"/>
    <w:rsid w:val="009F3A2A"/>
    <w:rsid w:val="009F731F"/>
    <w:rsid w:val="009F75B2"/>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6773"/>
    <w:rsid w:val="00A97038"/>
    <w:rsid w:val="00AA3C15"/>
    <w:rsid w:val="00AA6330"/>
    <w:rsid w:val="00AC7501"/>
    <w:rsid w:val="00AD1039"/>
    <w:rsid w:val="00AD4922"/>
    <w:rsid w:val="00AD748B"/>
    <w:rsid w:val="00AD7AAF"/>
    <w:rsid w:val="00AE4865"/>
    <w:rsid w:val="00AF051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1A3C"/>
    <w:rsid w:val="00BB2A6D"/>
    <w:rsid w:val="00BB4189"/>
    <w:rsid w:val="00BC19F7"/>
    <w:rsid w:val="00BC1D37"/>
    <w:rsid w:val="00BC41ED"/>
    <w:rsid w:val="00BD009E"/>
    <w:rsid w:val="00BD0AB4"/>
    <w:rsid w:val="00BD0EF8"/>
    <w:rsid w:val="00BD7A8C"/>
    <w:rsid w:val="00BE2126"/>
    <w:rsid w:val="00BE3B17"/>
    <w:rsid w:val="00BF51AB"/>
    <w:rsid w:val="00BF6F54"/>
    <w:rsid w:val="00BF716B"/>
    <w:rsid w:val="00BF7233"/>
    <w:rsid w:val="00C02AA2"/>
    <w:rsid w:val="00C04C95"/>
    <w:rsid w:val="00C07A56"/>
    <w:rsid w:val="00C12613"/>
    <w:rsid w:val="00C16DEF"/>
    <w:rsid w:val="00C2492F"/>
    <w:rsid w:val="00C318AC"/>
    <w:rsid w:val="00C3744A"/>
    <w:rsid w:val="00C4002A"/>
    <w:rsid w:val="00C46912"/>
    <w:rsid w:val="00C612A8"/>
    <w:rsid w:val="00C62D88"/>
    <w:rsid w:val="00C65C3C"/>
    <w:rsid w:val="00C65EF9"/>
    <w:rsid w:val="00C67631"/>
    <w:rsid w:val="00C729D7"/>
    <w:rsid w:val="00C83354"/>
    <w:rsid w:val="00C84004"/>
    <w:rsid w:val="00C843F6"/>
    <w:rsid w:val="00C84507"/>
    <w:rsid w:val="00C862C7"/>
    <w:rsid w:val="00CA3254"/>
    <w:rsid w:val="00CB11CE"/>
    <w:rsid w:val="00CC25A2"/>
    <w:rsid w:val="00CC4926"/>
    <w:rsid w:val="00CD7F07"/>
    <w:rsid w:val="00CE04F3"/>
    <w:rsid w:val="00CE12D8"/>
    <w:rsid w:val="00CE4574"/>
    <w:rsid w:val="00CE5C54"/>
    <w:rsid w:val="00CE70E6"/>
    <w:rsid w:val="00CE725A"/>
    <w:rsid w:val="00CF2E1E"/>
    <w:rsid w:val="00D01BFB"/>
    <w:rsid w:val="00D02E99"/>
    <w:rsid w:val="00D13357"/>
    <w:rsid w:val="00D13A13"/>
    <w:rsid w:val="00D2689A"/>
    <w:rsid w:val="00D3369E"/>
    <w:rsid w:val="00D43D7D"/>
    <w:rsid w:val="00D55B09"/>
    <w:rsid w:val="00D65506"/>
    <w:rsid w:val="00D71231"/>
    <w:rsid w:val="00D71DF4"/>
    <w:rsid w:val="00D773CF"/>
    <w:rsid w:val="00D83563"/>
    <w:rsid w:val="00D8448F"/>
    <w:rsid w:val="00DA507F"/>
    <w:rsid w:val="00DA64B6"/>
    <w:rsid w:val="00DB5C9D"/>
    <w:rsid w:val="00DC22AB"/>
    <w:rsid w:val="00DC3321"/>
    <w:rsid w:val="00DD02E6"/>
    <w:rsid w:val="00DD2606"/>
    <w:rsid w:val="00DE190E"/>
    <w:rsid w:val="00DE4F08"/>
    <w:rsid w:val="00DF665B"/>
    <w:rsid w:val="00E0152A"/>
    <w:rsid w:val="00E03394"/>
    <w:rsid w:val="00E066E5"/>
    <w:rsid w:val="00E22F03"/>
    <w:rsid w:val="00E233C1"/>
    <w:rsid w:val="00E437ED"/>
    <w:rsid w:val="00E51404"/>
    <w:rsid w:val="00E574C9"/>
    <w:rsid w:val="00E610DE"/>
    <w:rsid w:val="00E66167"/>
    <w:rsid w:val="00E67BDF"/>
    <w:rsid w:val="00E71F2F"/>
    <w:rsid w:val="00E77786"/>
    <w:rsid w:val="00E806FB"/>
    <w:rsid w:val="00E80A5C"/>
    <w:rsid w:val="00E869ED"/>
    <w:rsid w:val="00EA6558"/>
    <w:rsid w:val="00EB1C2D"/>
    <w:rsid w:val="00EC1810"/>
    <w:rsid w:val="00EC3FCC"/>
    <w:rsid w:val="00EC432B"/>
    <w:rsid w:val="00ED32FF"/>
    <w:rsid w:val="00EE0DF6"/>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2ED6"/>
    <w:rsid w:val="00F96D71"/>
    <w:rsid w:val="00F97C9E"/>
    <w:rsid w:val="00FA1093"/>
    <w:rsid w:val="00FA20DE"/>
    <w:rsid w:val="00FA4EE8"/>
    <w:rsid w:val="00FB12CA"/>
    <w:rsid w:val="00FB36EC"/>
    <w:rsid w:val="00FB4110"/>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C0451"/>
  <w15:docId w15:val="{AD38642F-6495-444E-B5BD-6E5BA953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342330-C200-4DB7-BC33-771F3A2B1815}"/>
</file>

<file path=customXml/itemProps2.xml><?xml version="1.0" encoding="utf-8"?>
<ds:datastoreItem xmlns:ds="http://schemas.openxmlformats.org/officeDocument/2006/customXml" ds:itemID="{CE8E0B79-0859-4E8F-B6A5-55AB0F78227F}">
  <ds:schemaRefs>
    <ds:schemaRef ds:uri="http://schemas.microsoft.com/sharepoint/v3/contenttype/forms"/>
  </ds:schemaRefs>
</ds:datastoreItem>
</file>

<file path=customXml/itemProps3.xml><?xml version="1.0" encoding="utf-8"?>
<ds:datastoreItem xmlns:ds="http://schemas.openxmlformats.org/officeDocument/2006/customXml" ds:itemID="{334B18F5-C851-44CD-B749-BF128188747A}">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6F1C62A5-AF51-487C-A16B-E6DB664BB2AE}">
  <ds:schemaRefs>
    <ds:schemaRef ds:uri="http://schemas.openxmlformats.org/officeDocument/2006/bibliography"/>
  </ds:schemaRefs>
</ds:datastoreItem>
</file>

<file path=customXml/itemProps5.xml><?xml version="1.0" encoding="utf-8"?>
<ds:datastoreItem xmlns:ds="http://schemas.openxmlformats.org/officeDocument/2006/customXml" ds:itemID="{CE27A009-3397-42C7-962F-5CBCCC76C4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7</cp:revision>
  <cp:lastPrinted>2016-03-21T16:01:00Z</cp:lastPrinted>
  <dcterms:created xsi:type="dcterms:W3CDTF">2018-03-21T13:26:00Z</dcterms:created>
  <dcterms:modified xsi:type="dcterms:W3CDTF">2022-03-22T17:24:00Z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fff702dc-1801-4771-9359-bb53dfb2ab07</vt:lpwstr>
  </property>
  <property fmtid="{D5CDD505-2E9C-101B-9397-08002B2CF9AE}" pid="4" name="Order">
    <vt:r8>8800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