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4BB"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Title of the module</w:t>
      </w:r>
    </w:p>
    <w:p w14:paraId="6F774A37" w14:textId="1FB3E124" w:rsidR="00E55994" w:rsidRPr="00931082" w:rsidRDefault="00931082" w:rsidP="00E55994">
      <w:pPr>
        <w:spacing w:after="120" w:line="240" w:lineRule="auto"/>
        <w:ind w:left="426" w:right="260"/>
        <w:jc w:val="both"/>
        <w:rPr>
          <w:rFonts w:ascii="Arial" w:hAnsi="Arial" w:cs="Arial"/>
          <w:sz w:val="20"/>
          <w:szCs w:val="20"/>
        </w:rPr>
      </w:pPr>
      <w:r>
        <w:rPr>
          <w:rFonts w:ascii="Arial" w:hAnsi="Arial" w:cs="Arial"/>
          <w:sz w:val="20"/>
          <w:szCs w:val="20"/>
        </w:rPr>
        <w:t xml:space="preserve">LAWS9270 </w:t>
      </w:r>
      <w:r w:rsidR="00975ABF">
        <w:rPr>
          <w:rFonts w:ascii="Arial" w:hAnsi="Arial" w:cs="Arial"/>
          <w:sz w:val="20"/>
          <w:szCs w:val="20"/>
        </w:rPr>
        <w:t xml:space="preserve">/ LAWS9271 </w:t>
      </w:r>
      <w:r>
        <w:rPr>
          <w:rFonts w:ascii="Arial" w:hAnsi="Arial" w:cs="Arial"/>
          <w:sz w:val="20"/>
          <w:szCs w:val="20"/>
        </w:rPr>
        <w:t xml:space="preserve">(LW927) </w:t>
      </w:r>
      <w:r w:rsidR="00E55994" w:rsidRPr="00931082">
        <w:rPr>
          <w:rFonts w:ascii="Arial" w:hAnsi="Arial" w:cs="Arial"/>
          <w:sz w:val="20"/>
          <w:szCs w:val="20"/>
        </w:rPr>
        <w:t>Law and the Humanities 1: Ethos and Scholarship [intensive delivery]</w:t>
      </w:r>
    </w:p>
    <w:p w14:paraId="4E67097B" w14:textId="77777777" w:rsidR="009A2D37" w:rsidRPr="00931082" w:rsidRDefault="009A2D37" w:rsidP="00D50113">
      <w:pPr>
        <w:spacing w:after="120" w:line="240" w:lineRule="auto"/>
        <w:ind w:left="426" w:right="260"/>
        <w:jc w:val="both"/>
        <w:rPr>
          <w:rFonts w:ascii="Arial" w:hAnsi="Arial" w:cs="Arial"/>
          <w:sz w:val="20"/>
          <w:szCs w:val="20"/>
        </w:rPr>
      </w:pPr>
    </w:p>
    <w:p w14:paraId="61E383EE"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School or partner institution which will be responsible for management of the module</w:t>
      </w:r>
    </w:p>
    <w:p w14:paraId="70492FE7" w14:textId="77777777" w:rsidR="009A2D37" w:rsidRPr="00931082" w:rsidRDefault="00E55994" w:rsidP="00D50113">
      <w:pPr>
        <w:spacing w:after="120" w:line="240" w:lineRule="auto"/>
        <w:ind w:left="426" w:right="260"/>
        <w:rPr>
          <w:rFonts w:ascii="Arial" w:hAnsi="Arial" w:cs="Arial"/>
          <w:iCs/>
          <w:sz w:val="20"/>
          <w:szCs w:val="20"/>
        </w:rPr>
      </w:pPr>
      <w:r w:rsidRPr="00931082">
        <w:rPr>
          <w:rFonts w:ascii="Arial" w:hAnsi="Arial" w:cs="Arial"/>
          <w:iCs/>
          <w:sz w:val="20"/>
          <w:szCs w:val="20"/>
        </w:rPr>
        <w:t>Kent Law School</w:t>
      </w:r>
    </w:p>
    <w:p w14:paraId="42BFA714" w14:textId="77777777" w:rsidR="003719A2" w:rsidRPr="00931082" w:rsidRDefault="003719A2" w:rsidP="00D50113">
      <w:pPr>
        <w:spacing w:after="120" w:line="240" w:lineRule="auto"/>
        <w:ind w:left="426" w:right="260"/>
        <w:rPr>
          <w:rFonts w:ascii="Arial" w:hAnsi="Arial" w:cs="Arial"/>
          <w:iCs/>
          <w:sz w:val="20"/>
          <w:szCs w:val="20"/>
        </w:rPr>
      </w:pPr>
    </w:p>
    <w:p w14:paraId="4D799556" w14:textId="77777777" w:rsidR="009A2D37" w:rsidRPr="00931082" w:rsidRDefault="002A7F48"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The level of the module (</w:t>
      </w:r>
      <w:r w:rsidR="00D83563" w:rsidRPr="00931082">
        <w:rPr>
          <w:rFonts w:ascii="Arial" w:hAnsi="Arial" w:cs="Arial"/>
          <w:b/>
          <w:sz w:val="20"/>
          <w:szCs w:val="20"/>
        </w:rPr>
        <w:t>Level</w:t>
      </w:r>
      <w:r w:rsidR="00441E76" w:rsidRPr="00931082">
        <w:rPr>
          <w:rFonts w:ascii="Arial" w:hAnsi="Arial" w:cs="Arial"/>
          <w:b/>
          <w:sz w:val="20"/>
          <w:szCs w:val="20"/>
        </w:rPr>
        <w:t xml:space="preserve"> 4</w:t>
      </w:r>
      <w:r w:rsidR="001D0C7D" w:rsidRPr="00931082">
        <w:rPr>
          <w:rFonts w:ascii="Arial" w:hAnsi="Arial" w:cs="Arial"/>
          <w:b/>
          <w:sz w:val="20"/>
          <w:szCs w:val="20"/>
        </w:rPr>
        <w:t xml:space="preserve">, </w:t>
      </w:r>
      <w:r w:rsidR="00441E76" w:rsidRPr="00931082">
        <w:rPr>
          <w:rFonts w:ascii="Arial" w:hAnsi="Arial" w:cs="Arial"/>
          <w:b/>
          <w:sz w:val="20"/>
          <w:szCs w:val="20"/>
        </w:rPr>
        <w:t>Level 5</w:t>
      </w:r>
      <w:r w:rsidR="001D0C7D" w:rsidRPr="00931082">
        <w:rPr>
          <w:rFonts w:ascii="Arial" w:hAnsi="Arial" w:cs="Arial"/>
          <w:b/>
          <w:sz w:val="20"/>
          <w:szCs w:val="20"/>
        </w:rPr>
        <w:t xml:space="preserve">, </w:t>
      </w:r>
      <w:r w:rsidR="00441E76" w:rsidRPr="00931082">
        <w:rPr>
          <w:rFonts w:ascii="Arial" w:hAnsi="Arial" w:cs="Arial"/>
          <w:b/>
          <w:sz w:val="20"/>
          <w:szCs w:val="20"/>
        </w:rPr>
        <w:t>Level 6</w:t>
      </w:r>
      <w:r w:rsidR="001D0C7D" w:rsidRPr="00931082">
        <w:rPr>
          <w:rFonts w:ascii="Arial" w:hAnsi="Arial" w:cs="Arial"/>
          <w:b/>
          <w:sz w:val="20"/>
          <w:szCs w:val="20"/>
        </w:rPr>
        <w:t xml:space="preserve"> or </w:t>
      </w:r>
      <w:r w:rsidR="00C612A8" w:rsidRPr="00931082">
        <w:rPr>
          <w:rFonts w:ascii="Arial" w:hAnsi="Arial" w:cs="Arial"/>
          <w:b/>
          <w:sz w:val="20"/>
          <w:szCs w:val="20"/>
        </w:rPr>
        <w:t>L</w:t>
      </w:r>
      <w:r w:rsidR="00441E76" w:rsidRPr="00931082">
        <w:rPr>
          <w:rFonts w:ascii="Arial" w:hAnsi="Arial" w:cs="Arial"/>
          <w:b/>
          <w:sz w:val="20"/>
          <w:szCs w:val="20"/>
        </w:rPr>
        <w:t>evel 7</w:t>
      </w:r>
      <w:r w:rsidR="009A2D37" w:rsidRPr="00931082">
        <w:rPr>
          <w:rFonts w:ascii="Arial" w:hAnsi="Arial" w:cs="Arial"/>
          <w:b/>
          <w:sz w:val="20"/>
          <w:szCs w:val="20"/>
        </w:rPr>
        <w:t>)</w:t>
      </w:r>
    </w:p>
    <w:p w14:paraId="4C62F3BC" w14:textId="77777777" w:rsidR="009A2D37" w:rsidRPr="00931082" w:rsidRDefault="00E55994" w:rsidP="00D50113">
      <w:pPr>
        <w:spacing w:after="120" w:line="240" w:lineRule="auto"/>
        <w:ind w:left="426" w:right="260"/>
        <w:rPr>
          <w:rFonts w:ascii="Arial" w:hAnsi="Arial" w:cs="Arial"/>
          <w:iCs/>
          <w:sz w:val="20"/>
          <w:szCs w:val="20"/>
        </w:rPr>
      </w:pPr>
      <w:r w:rsidRPr="00931082">
        <w:rPr>
          <w:rFonts w:ascii="Arial" w:hAnsi="Arial" w:cs="Arial"/>
          <w:iCs/>
          <w:sz w:val="20"/>
          <w:szCs w:val="20"/>
        </w:rPr>
        <w:t>Level 7</w:t>
      </w:r>
    </w:p>
    <w:p w14:paraId="0B2D57EE" w14:textId="77777777" w:rsidR="003719A2" w:rsidRPr="00931082" w:rsidRDefault="003719A2" w:rsidP="00D50113">
      <w:pPr>
        <w:spacing w:after="120" w:line="240" w:lineRule="auto"/>
        <w:ind w:left="426" w:right="260"/>
        <w:rPr>
          <w:rFonts w:ascii="Arial" w:hAnsi="Arial" w:cs="Arial"/>
          <w:iCs/>
          <w:sz w:val="20"/>
          <w:szCs w:val="20"/>
        </w:rPr>
      </w:pPr>
    </w:p>
    <w:p w14:paraId="6592F6C3"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 xml:space="preserve">The number of credits and the ECTS value which the module represents </w:t>
      </w:r>
    </w:p>
    <w:p w14:paraId="1B792160" w14:textId="77777777" w:rsidR="00931082" w:rsidRPr="00931082" w:rsidRDefault="00931082" w:rsidP="00931082">
      <w:pPr>
        <w:spacing w:after="120" w:line="240" w:lineRule="auto"/>
        <w:ind w:right="260" w:firstLine="426"/>
        <w:rPr>
          <w:rFonts w:ascii="Arial" w:hAnsi="Arial" w:cs="Arial"/>
          <w:sz w:val="20"/>
          <w:szCs w:val="20"/>
        </w:rPr>
      </w:pPr>
      <w:r w:rsidRPr="00931082">
        <w:rPr>
          <w:rFonts w:ascii="Arial" w:hAnsi="Arial" w:cs="Arial"/>
          <w:sz w:val="20"/>
          <w:szCs w:val="20"/>
        </w:rPr>
        <w:t>20 credits (10 ECTS Credits)</w:t>
      </w:r>
    </w:p>
    <w:p w14:paraId="0519327C" w14:textId="77777777" w:rsidR="003719A2" w:rsidRPr="00931082" w:rsidRDefault="003719A2" w:rsidP="00D50113">
      <w:pPr>
        <w:spacing w:after="120" w:line="240" w:lineRule="auto"/>
        <w:ind w:left="426" w:right="260"/>
        <w:rPr>
          <w:rFonts w:ascii="Arial" w:hAnsi="Arial" w:cs="Arial"/>
          <w:sz w:val="20"/>
          <w:szCs w:val="20"/>
        </w:rPr>
      </w:pPr>
    </w:p>
    <w:p w14:paraId="32B28269"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Which term(s) the module is to be taught in (or other teaching pattern)</w:t>
      </w:r>
    </w:p>
    <w:p w14:paraId="0541B4F0" w14:textId="4F0A9DDF" w:rsidR="009A2D37" w:rsidRPr="00931082" w:rsidRDefault="00A1211F" w:rsidP="00D50113">
      <w:pPr>
        <w:spacing w:after="120" w:line="240" w:lineRule="auto"/>
        <w:ind w:left="426" w:right="260"/>
        <w:rPr>
          <w:rFonts w:ascii="Arial" w:hAnsi="Arial" w:cs="Arial"/>
          <w:iCs/>
          <w:sz w:val="20"/>
          <w:szCs w:val="20"/>
        </w:rPr>
      </w:pPr>
      <w:r w:rsidRPr="00931082">
        <w:rPr>
          <w:rFonts w:ascii="Arial" w:hAnsi="Arial" w:cs="Arial"/>
          <w:iCs/>
          <w:sz w:val="20"/>
          <w:szCs w:val="20"/>
        </w:rPr>
        <w:t xml:space="preserve">Autumn </w:t>
      </w:r>
      <w:r w:rsidR="00E55994" w:rsidRPr="00931082">
        <w:rPr>
          <w:rFonts w:ascii="Arial" w:hAnsi="Arial" w:cs="Arial"/>
          <w:iCs/>
          <w:sz w:val="20"/>
          <w:szCs w:val="20"/>
        </w:rPr>
        <w:t>Term</w:t>
      </w:r>
    </w:p>
    <w:p w14:paraId="44C716E8" w14:textId="77777777" w:rsidR="003719A2" w:rsidRPr="00931082" w:rsidRDefault="003719A2" w:rsidP="00D50113">
      <w:pPr>
        <w:spacing w:after="120" w:line="240" w:lineRule="auto"/>
        <w:ind w:left="426" w:right="260"/>
        <w:rPr>
          <w:rFonts w:ascii="Arial" w:hAnsi="Arial" w:cs="Arial"/>
          <w:iCs/>
          <w:sz w:val="20"/>
          <w:szCs w:val="20"/>
        </w:rPr>
      </w:pPr>
    </w:p>
    <w:p w14:paraId="24C69335"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Prerequisite and co-requisite modules</w:t>
      </w:r>
    </w:p>
    <w:p w14:paraId="710A1252" w14:textId="77777777" w:rsidR="009A2D37" w:rsidRPr="00931082" w:rsidRDefault="00E55994" w:rsidP="00D50113">
      <w:pPr>
        <w:spacing w:after="120" w:line="240" w:lineRule="auto"/>
        <w:ind w:left="426" w:right="260"/>
        <w:rPr>
          <w:rFonts w:ascii="Arial" w:hAnsi="Arial" w:cs="Arial"/>
          <w:iCs/>
          <w:sz w:val="20"/>
          <w:szCs w:val="20"/>
        </w:rPr>
      </w:pPr>
      <w:r w:rsidRPr="00931082">
        <w:rPr>
          <w:rFonts w:ascii="Arial" w:hAnsi="Arial" w:cs="Arial"/>
          <w:iCs/>
          <w:sz w:val="20"/>
          <w:szCs w:val="20"/>
        </w:rPr>
        <w:t>None</w:t>
      </w:r>
    </w:p>
    <w:p w14:paraId="2A6DCB3A" w14:textId="77777777" w:rsidR="003719A2" w:rsidRPr="00931082" w:rsidRDefault="003719A2" w:rsidP="00D50113">
      <w:pPr>
        <w:spacing w:after="120" w:line="240" w:lineRule="auto"/>
        <w:ind w:left="426" w:right="260"/>
        <w:rPr>
          <w:rFonts w:ascii="Arial" w:hAnsi="Arial" w:cs="Arial"/>
          <w:iCs/>
          <w:sz w:val="20"/>
          <w:szCs w:val="20"/>
        </w:rPr>
      </w:pPr>
    </w:p>
    <w:p w14:paraId="511A383A" w14:textId="77777777" w:rsidR="009A2D37" w:rsidRPr="00931082" w:rsidRDefault="009A2D37"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The programmes of study to which the module contributes</w:t>
      </w:r>
    </w:p>
    <w:p w14:paraId="75EBDFD6" w14:textId="77777777" w:rsidR="009A2D37" w:rsidRPr="00931082" w:rsidRDefault="00E55994" w:rsidP="00944583">
      <w:pPr>
        <w:spacing w:after="120" w:line="240" w:lineRule="auto"/>
        <w:ind w:left="426" w:right="260"/>
        <w:jc w:val="both"/>
        <w:rPr>
          <w:rFonts w:ascii="Arial" w:hAnsi="Arial" w:cs="Arial"/>
          <w:iCs/>
          <w:sz w:val="20"/>
          <w:szCs w:val="20"/>
        </w:rPr>
      </w:pPr>
      <w:r w:rsidRPr="00931082">
        <w:rPr>
          <w:rFonts w:ascii="Arial" w:hAnsi="Arial" w:cs="Arial"/>
          <w:iCs/>
          <w:sz w:val="20"/>
          <w:szCs w:val="20"/>
        </w:rPr>
        <w:t>All law postgraduate programmes. Available to postgraduate students from other schools at the convenor’s discretion.</w:t>
      </w:r>
    </w:p>
    <w:p w14:paraId="74F6FB9E" w14:textId="77777777" w:rsidR="003719A2" w:rsidRPr="00931082" w:rsidRDefault="003719A2" w:rsidP="00D50113">
      <w:pPr>
        <w:spacing w:after="120" w:line="240" w:lineRule="auto"/>
        <w:ind w:left="426" w:right="260"/>
        <w:rPr>
          <w:rFonts w:ascii="Arial" w:hAnsi="Arial" w:cs="Arial"/>
          <w:iCs/>
          <w:sz w:val="20"/>
          <w:szCs w:val="20"/>
        </w:rPr>
      </w:pPr>
    </w:p>
    <w:p w14:paraId="421FC560" w14:textId="77777777" w:rsidR="009A2D37" w:rsidRPr="00931082" w:rsidRDefault="009A2D37" w:rsidP="00D50113">
      <w:pPr>
        <w:numPr>
          <w:ilvl w:val="0"/>
          <w:numId w:val="1"/>
        </w:numPr>
        <w:spacing w:after="120" w:line="240" w:lineRule="auto"/>
        <w:ind w:left="426" w:right="260" w:hanging="426"/>
        <w:rPr>
          <w:rFonts w:ascii="Arial" w:hAnsi="Arial" w:cs="Arial"/>
          <w:b/>
          <w:sz w:val="20"/>
          <w:szCs w:val="20"/>
        </w:rPr>
      </w:pPr>
      <w:r w:rsidRPr="00931082">
        <w:rPr>
          <w:rFonts w:ascii="Arial" w:hAnsi="Arial" w:cs="Arial"/>
          <w:b/>
          <w:sz w:val="20"/>
          <w:szCs w:val="20"/>
        </w:rPr>
        <w:t>The intended subject specific learning outcomes</w:t>
      </w:r>
      <w:r w:rsidR="00C729D7" w:rsidRPr="00931082">
        <w:rPr>
          <w:rFonts w:ascii="Arial" w:hAnsi="Arial" w:cs="Arial"/>
          <w:b/>
          <w:sz w:val="20"/>
          <w:szCs w:val="20"/>
        </w:rPr>
        <w:t>.</w:t>
      </w:r>
      <w:r w:rsidR="00C729D7" w:rsidRPr="00931082">
        <w:rPr>
          <w:rFonts w:ascii="Arial" w:hAnsi="Arial" w:cs="Arial"/>
          <w:b/>
          <w:sz w:val="20"/>
          <w:szCs w:val="20"/>
        </w:rPr>
        <w:br/>
        <w:t>On successfully completing the module students will be able to:</w:t>
      </w:r>
    </w:p>
    <w:p w14:paraId="57E3B9C8" w14:textId="64A739AA"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 xml:space="preserve">Demonstrate a systematic </w:t>
      </w:r>
      <w:r w:rsidR="00E55994" w:rsidRPr="000B208A">
        <w:rPr>
          <w:rFonts w:ascii="Arial" w:hAnsi="Arial" w:cs="Arial"/>
          <w:sz w:val="20"/>
          <w:szCs w:val="20"/>
        </w:rPr>
        <w:t>understand</w:t>
      </w:r>
      <w:r>
        <w:rPr>
          <w:rFonts w:ascii="Arial" w:hAnsi="Arial" w:cs="Arial"/>
          <w:sz w:val="20"/>
          <w:szCs w:val="20"/>
        </w:rPr>
        <w:t>ing of</w:t>
      </w:r>
      <w:r w:rsidR="00E55994" w:rsidRPr="000B208A">
        <w:rPr>
          <w:rFonts w:ascii="Arial" w:hAnsi="Arial" w:cs="Arial"/>
          <w:sz w:val="20"/>
          <w:szCs w:val="20"/>
        </w:rPr>
        <w:t xml:space="preserve"> the specific importance of humanities scholarship and scholarly perspectives to the history, nature and thought of law</w:t>
      </w:r>
      <w:r w:rsidR="000B208A">
        <w:rPr>
          <w:rFonts w:ascii="Arial" w:hAnsi="Arial" w:cs="Arial"/>
          <w:sz w:val="20"/>
          <w:szCs w:val="20"/>
        </w:rPr>
        <w:t>.</w:t>
      </w:r>
    </w:p>
    <w:p w14:paraId="565B198D" w14:textId="6118F71B"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 xml:space="preserve">Demonstrate a comprehensive </w:t>
      </w:r>
      <w:r w:rsidR="00E55994" w:rsidRPr="000B208A">
        <w:rPr>
          <w:rFonts w:ascii="Arial" w:hAnsi="Arial" w:cs="Arial"/>
          <w:sz w:val="20"/>
          <w:szCs w:val="20"/>
        </w:rPr>
        <w:t>appreciat</w:t>
      </w:r>
      <w:r>
        <w:rPr>
          <w:rFonts w:ascii="Arial" w:hAnsi="Arial" w:cs="Arial"/>
          <w:sz w:val="20"/>
          <w:szCs w:val="20"/>
        </w:rPr>
        <w:t>ion of</w:t>
      </w:r>
      <w:r w:rsidR="00E55994" w:rsidRPr="000B208A">
        <w:rPr>
          <w:rFonts w:ascii="Arial" w:hAnsi="Arial" w:cs="Arial"/>
          <w:sz w:val="20"/>
          <w:szCs w:val="20"/>
        </w:rPr>
        <w:t xml:space="preserve"> the nature and value of humanities research perspectives in the contemporary study of law and the academy more generally</w:t>
      </w:r>
      <w:r w:rsidR="000B208A">
        <w:rPr>
          <w:rFonts w:ascii="Arial" w:hAnsi="Arial" w:cs="Arial"/>
          <w:sz w:val="20"/>
          <w:szCs w:val="20"/>
        </w:rPr>
        <w:t>.</w:t>
      </w:r>
    </w:p>
    <w:p w14:paraId="7FF025A3" w14:textId="26C4C7B9"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C</w:t>
      </w:r>
      <w:r w:rsidR="00E55994" w:rsidRPr="000B208A">
        <w:rPr>
          <w:rFonts w:ascii="Arial" w:hAnsi="Arial" w:cs="Arial"/>
          <w:sz w:val="20"/>
          <w:szCs w:val="20"/>
        </w:rPr>
        <w:t>ritically analyse contemporary understandings of the key parameters of legal scholarship, such as the object of legal scholarship, the end or purpose of legal scholarship, the notion of a research ethos, the problem of ethics and responsibility, and the nature and status of legal knowledge</w:t>
      </w:r>
      <w:r w:rsidR="000B208A">
        <w:rPr>
          <w:rFonts w:ascii="Arial" w:hAnsi="Arial" w:cs="Arial"/>
          <w:sz w:val="20"/>
          <w:szCs w:val="20"/>
        </w:rPr>
        <w:t>.</w:t>
      </w:r>
    </w:p>
    <w:p w14:paraId="3AE0E23D" w14:textId="5BED7554"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C</w:t>
      </w:r>
      <w:r w:rsidR="00E55994" w:rsidRPr="000B208A">
        <w:rPr>
          <w:rFonts w:ascii="Arial" w:hAnsi="Arial" w:cs="Arial"/>
          <w:sz w:val="20"/>
          <w:szCs w:val="20"/>
        </w:rPr>
        <w:t>ritically reflect on how humanities research perspectives can inform and shape students’ own scholarly engagement with law and legal inquiry</w:t>
      </w:r>
      <w:r w:rsidR="000B208A">
        <w:rPr>
          <w:rFonts w:ascii="Arial" w:hAnsi="Arial" w:cs="Arial"/>
          <w:sz w:val="20"/>
          <w:szCs w:val="20"/>
        </w:rPr>
        <w:t>.</w:t>
      </w:r>
    </w:p>
    <w:p w14:paraId="60541A18" w14:textId="19144A75" w:rsidR="00E55994" w:rsidRPr="000B208A" w:rsidRDefault="000B208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D</w:t>
      </w:r>
      <w:r w:rsidR="00E55994" w:rsidRPr="000B208A">
        <w:rPr>
          <w:rFonts w:ascii="Arial" w:hAnsi="Arial" w:cs="Arial"/>
          <w:sz w:val="20"/>
          <w:szCs w:val="20"/>
        </w:rPr>
        <w:t>evelop a research question of contemporary relevance to the law and humanities academy</w:t>
      </w:r>
      <w:r>
        <w:rPr>
          <w:rFonts w:ascii="Arial" w:hAnsi="Arial" w:cs="Arial"/>
          <w:sz w:val="20"/>
          <w:szCs w:val="20"/>
        </w:rPr>
        <w:t>.</w:t>
      </w:r>
    </w:p>
    <w:p w14:paraId="157A060E" w14:textId="1DFDE923"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S</w:t>
      </w:r>
      <w:r w:rsidR="00E55994" w:rsidRPr="000B208A">
        <w:rPr>
          <w:rFonts w:ascii="Arial" w:hAnsi="Arial" w:cs="Arial"/>
          <w:sz w:val="20"/>
          <w:szCs w:val="20"/>
        </w:rPr>
        <w:t>ynthesise competing theories and critical perspectives relevant to a humanities-based approach to law</w:t>
      </w:r>
      <w:r w:rsidR="000B208A">
        <w:rPr>
          <w:rFonts w:ascii="Arial" w:hAnsi="Arial" w:cs="Arial"/>
          <w:sz w:val="20"/>
          <w:szCs w:val="20"/>
        </w:rPr>
        <w:t>.</w:t>
      </w:r>
    </w:p>
    <w:p w14:paraId="0546F9D1" w14:textId="7036F50A" w:rsidR="00E55994" w:rsidRPr="000B208A" w:rsidRDefault="006372F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C</w:t>
      </w:r>
      <w:r w:rsidR="00E55994" w:rsidRPr="000B208A">
        <w:rPr>
          <w:rFonts w:ascii="Arial" w:hAnsi="Arial" w:cs="Arial"/>
          <w:sz w:val="20"/>
          <w:szCs w:val="20"/>
        </w:rPr>
        <w:t>ritically evaluate examples of scholarship relevant to a humanities-based approach to law</w:t>
      </w:r>
      <w:r w:rsidR="000B208A">
        <w:rPr>
          <w:rFonts w:ascii="Arial" w:hAnsi="Arial" w:cs="Arial"/>
          <w:sz w:val="20"/>
          <w:szCs w:val="20"/>
        </w:rPr>
        <w:t>.</w:t>
      </w:r>
    </w:p>
    <w:p w14:paraId="0EEA7948" w14:textId="6FA082F1" w:rsidR="009A2D37" w:rsidRPr="000B208A" w:rsidRDefault="000B208A" w:rsidP="001B31F1">
      <w:pPr>
        <w:pStyle w:val="ListParagraph"/>
        <w:numPr>
          <w:ilvl w:val="0"/>
          <w:numId w:val="9"/>
        </w:numPr>
        <w:spacing w:after="120" w:line="240" w:lineRule="auto"/>
        <w:ind w:left="1134" w:right="260" w:hanging="425"/>
        <w:jc w:val="both"/>
        <w:rPr>
          <w:rFonts w:ascii="Arial" w:hAnsi="Arial" w:cs="Arial"/>
          <w:sz w:val="20"/>
          <w:szCs w:val="20"/>
        </w:rPr>
      </w:pPr>
      <w:r>
        <w:rPr>
          <w:rFonts w:ascii="Arial" w:hAnsi="Arial" w:cs="Arial"/>
          <w:sz w:val="20"/>
          <w:szCs w:val="20"/>
        </w:rPr>
        <w:t>P</w:t>
      </w:r>
      <w:r w:rsidR="00E55994" w:rsidRPr="000B208A">
        <w:rPr>
          <w:rFonts w:ascii="Arial" w:hAnsi="Arial" w:cs="Arial"/>
          <w:sz w:val="20"/>
          <w:szCs w:val="20"/>
        </w:rPr>
        <w:t>articipate in an exchange of informed views in a public online forum on topics relevant to the discipline of law and the humanities</w:t>
      </w:r>
      <w:r>
        <w:rPr>
          <w:rFonts w:ascii="Arial" w:hAnsi="Arial" w:cs="Arial"/>
          <w:sz w:val="20"/>
          <w:szCs w:val="20"/>
        </w:rPr>
        <w:t>.</w:t>
      </w:r>
    </w:p>
    <w:p w14:paraId="543B7507" w14:textId="77777777" w:rsidR="003719A2" w:rsidRPr="00931082" w:rsidRDefault="003719A2" w:rsidP="005F6B7C">
      <w:pPr>
        <w:spacing w:after="120" w:line="240" w:lineRule="auto"/>
        <w:ind w:left="720" w:right="260" w:hanging="360"/>
        <w:rPr>
          <w:rFonts w:ascii="Arial" w:hAnsi="Arial" w:cs="Arial"/>
          <w:sz w:val="20"/>
          <w:szCs w:val="20"/>
        </w:rPr>
      </w:pPr>
    </w:p>
    <w:p w14:paraId="08057E64" w14:textId="77777777" w:rsidR="00C729D7" w:rsidRPr="00054332" w:rsidRDefault="009A2D37" w:rsidP="00D50113">
      <w:pPr>
        <w:numPr>
          <w:ilvl w:val="0"/>
          <w:numId w:val="1"/>
        </w:numPr>
        <w:spacing w:after="120" w:line="240" w:lineRule="auto"/>
        <w:ind w:left="426" w:right="260" w:hanging="426"/>
        <w:rPr>
          <w:rFonts w:ascii="Arial" w:hAnsi="Arial" w:cs="Arial"/>
          <w:b/>
          <w:sz w:val="20"/>
          <w:szCs w:val="20"/>
        </w:rPr>
      </w:pPr>
      <w:r w:rsidRPr="00054332">
        <w:rPr>
          <w:rFonts w:ascii="Arial" w:hAnsi="Arial" w:cs="Arial"/>
          <w:b/>
          <w:sz w:val="20"/>
          <w:szCs w:val="20"/>
        </w:rPr>
        <w:t>The intended generic learning outcomes</w:t>
      </w:r>
      <w:r w:rsidR="00C729D7" w:rsidRPr="00054332">
        <w:rPr>
          <w:rFonts w:ascii="Arial" w:hAnsi="Arial" w:cs="Arial"/>
          <w:b/>
          <w:sz w:val="20"/>
          <w:szCs w:val="20"/>
        </w:rPr>
        <w:t>.</w:t>
      </w:r>
      <w:r w:rsidR="00C729D7" w:rsidRPr="00054332">
        <w:rPr>
          <w:rFonts w:ascii="Arial" w:hAnsi="Arial" w:cs="Arial"/>
          <w:b/>
          <w:sz w:val="20"/>
          <w:szCs w:val="20"/>
        </w:rPr>
        <w:br/>
        <w:t>On successfully completing the module students will be able to:</w:t>
      </w:r>
    </w:p>
    <w:p w14:paraId="55CE6492" w14:textId="383BF23B" w:rsidR="005F6B7C" w:rsidRPr="000B208A" w:rsidRDefault="006372FA" w:rsidP="001B31F1">
      <w:pPr>
        <w:pStyle w:val="ListParagraph"/>
        <w:numPr>
          <w:ilvl w:val="0"/>
          <w:numId w:val="10"/>
        </w:numPr>
        <w:spacing w:after="120" w:line="240" w:lineRule="auto"/>
        <w:ind w:left="1134" w:right="260" w:hanging="437"/>
        <w:jc w:val="both"/>
        <w:rPr>
          <w:rFonts w:ascii="Arial" w:hAnsi="Arial" w:cs="Arial"/>
          <w:sz w:val="20"/>
          <w:szCs w:val="20"/>
        </w:rPr>
      </w:pPr>
      <w:r w:rsidRPr="00054332">
        <w:rPr>
          <w:rFonts w:ascii="Arial" w:hAnsi="Arial" w:cs="Arial"/>
          <w:sz w:val="20"/>
          <w:szCs w:val="20"/>
        </w:rPr>
        <w:t>E</w:t>
      </w:r>
      <w:r w:rsidR="005F6B7C" w:rsidRPr="000B208A">
        <w:rPr>
          <w:rFonts w:ascii="Arial" w:hAnsi="Arial" w:cs="Arial"/>
          <w:sz w:val="20"/>
          <w:szCs w:val="20"/>
        </w:rPr>
        <w:t>valuate and synthesize complex material from across various</w:t>
      </w:r>
      <w:r w:rsidR="003719A2" w:rsidRPr="000B208A">
        <w:rPr>
          <w:rFonts w:ascii="Arial" w:hAnsi="Arial" w:cs="Arial"/>
          <w:sz w:val="20"/>
          <w:szCs w:val="20"/>
        </w:rPr>
        <w:t xml:space="preserve"> </w:t>
      </w:r>
      <w:r w:rsidR="005F6B7C" w:rsidRPr="000B208A">
        <w:rPr>
          <w:rFonts w:ascii="Arial" w:hAnsi="Arial" w:cs="Arial"/>
          <w:sz w:val="20"/>
          <w:szCs w:val="20"/>
        </w:rPr>
        <w:t xml:space="preserve">disciplines </w:t>
      </w:r>
      <w:r w:rsidR="003719A2" w:rsidRPr="000B208A">
        <w:rPr>
          <w:rFonts w:ascii="Arial" w:hAnsi="Arial" w:cs="Arial"/>
          <w:sz w:val="20"/>
          <w:szCs w:val="20"/>
        </w:rPr>
        <w:t>(law</w:t>
      </w:r>
      <w:r w:rsidR="004353C3" w:rsidRPr="000B208A">
        <w:rPr>
          <w:rFonts w:ascii="Arial" w:hAnsi="Arial" w:cs="Arial"/>
          <w:sz w:val="20"/>
          <w:szCs w:val="20"/>
        </w:rPr>
        <w:t>,</w:t>
      </w:r>
      <w:r w:rsidR="004353C3">
        <w:rPr>
          <w:rFonts w:ascii="Arial" w:hAnsi="Arial" w:cs="Arial"/>
          <w:sz w:val="20"/>
          <w:szCs w:val="20"/>
        </w:rPr>
        <w:t xml:space="preserve"> </w:t>
      </w:r>
      <w:r w:rsidR="005F6B7C" w:rsidRPr="000B208A">
        <w:rPr>
          <w:rFonts w:ascii="Arial" w:hAnsi="Arial" w:cs="Arial"/>
          <w:sz w:val="20"/>
          <w:szCs w:val="20"/>
        </w:rPr>
        <w:t>philosophy, political theory, history)</w:t>
      </w:r>
      <w:r w:rsidR="000B208A">
        <w:rPr>
          <w:rFonts w:ascii="Arial" w:hAnsi="Arial" w:cs="Arial"/>
          <w:sz w:val="20"/>
          <w:szCs w:val="20"/>
        </w:rPr>
        <w:t>.</w:t>
      </w:r>
    </w:p>
    <w:p w14:paraId="69F50F40" w14:textId="15CCBC00" w:rsidR="005F6B7C" w:rsidRPr="000B208A" w:rsidRDefault="006372FA" w:rsidP="001B31F1">
      <w:pPr>
        <w:pStyle w:val="ListParagraph"/>
        <w:numPr>
          <w:ilvl w:val="0"/>
          <w:numId w:val="10"/>
        </w:numPr>
        <w:spacing w:after="120" w:line="240" w:lineRule="auto"/>
        <w:ind w:left="1134" w:right="260" w:hanging="437"/>
        <w:jc w:val="both"/>
        <w:rPr>
          <w:rFonts w:ascii="Arial" w:hAnsi="Arial" w:cs="Arial"/>
          <w:sz w:val="20"/>
          <w:szCs w:val="20"/>
        </w:rPr>
      </w:pPr>
      <w:r w:rsidRPr="00054332">
        <w:rPr>
          <w:rFonts w:ascii="Arial" w:hAnsi="Arial" w:cs="Arial"/>
          <w:sz w:val="20"/>
          <w:szCs w:val="20"/>
        </w:rPr>
        <w:lastRenderedPageBreak/>
        <w:t>D</w:t>
      </w:r>
      <w:r w:rsidR="005F6B7C" w:rsidRPr="000B208A">
        <w:rPr>
          <w:rFonts w:ascii="Arial" w:hAnsi="Arial" w:cs="Arial"/>
          <w:sz w:val="20"/>
          <w:szCs w:val="20"/>
        </w:rPr>
        <w:t>emonstrate a</w:t>
      </w:r>
      <w:r w:rsidRPr="00054332">
        <w:rPr>
          <w:rFonts w:ascii="Arial" w:hAnsi="Arial" w:cs="Arial"/>
          <w:sz w:val="20"/>
          <w:szCs w:val="20"/>
        </w:rPr>
        <w:t xml:space="preserve"> sophisticated </w:t>
      </w:r>
      <w:r w:rsidR="005F6B7C" w:rsidRPr="000B208A">
        <w:rPr>
          <w:rFonts w:ascii="Arial" w:hAnsi="Arial" w:cs="Arial"/>
          <w:sz w:val="20"/>
          <w:szCs w:val="20"/>
        </w:rPr>
        <w:t>understanding of the specificity of textual analysis in humanities methodologies</w:t>
      </w:r>
      <w:r w:rsidR="000B208A">
        <w:rPr>
          <w:rFonts w:ascii="Arial" w:hAnsi="Arial" w:cs="Arial"/>
          <w:sz w:val="20"/>
          <w:szCs w:val="20"/>
        </w:rPr>
        <w:t>.</w:t>
      </w:r>
    </w:p>
    <w:p w14:paraId="7956FEC3" w14:textId="5A58374D" w:rsidR="005F6B7C" w:rsidRPr="000B208A" w:rsidRDefault="000B208A" w:rsidP="001B31F1">
      <w:pPr>
        <w:pStyle w:val="ListParagraph"/>
        <w:numPr>
          <w:ilvl w:val="0"/>
          <w:numId w:val="10"/>
        </w:numPr>
        <w:spacing w:after="120" w:line="240" w:lineRule="auto"/>
        <w:ind w:left="1134" w:right="260" w:hanging="437"/>
        <w:jc w:val="both"/>
        <w:rPr>
          <w:rFonts w:ascii="Arial" w:hAnsi="Arial" w:cs="Arial"/>
          <w:sz w:val="20"/>
          <w:szCs w:val="20"/>
        </w:rPr>
      </w:pPr>
      <w:r>
        <w:rPr>
          <w:rFonts w:ascii="Arial" w:hAnsi="Arial" w:cs="Arial"/>
          <w:sz w:val="20"/>
          <w:szCs w:val="20"/>
        </w:rPr>
        <w:t>M</w:t>
      </w:r>
      <w:r w:rsidR="005F6B7C" w:rsidRPr="000B208A">
        <w:rPr>
          <w:rFonts w:ascii="Arial" w:hAnsi="Arial" w:cs="Arial"/>
          <w:sz w:val="20"/>
          <w:szCs w:val="20"/>
        </w:rPr>
        <w:t>ak</w:t>
      </w:r>
      <w:r>
        <w:rPr>
          <w:rFonts w:ascii="Arial" w:hAnsi="Arial" w:cs="Arial"/>
          <w:sz w:val="20"/>
          <w:szCs w:val="20"/>
        </w:rPr>
        <w:t>e</w:t>
      </w:r>
      <w:r w:rsidR="005F6B7C" w:rsidRPr="000B208A">
        <w:rPr>
          <w:rFonts w:ascii="Arial" w:hAnsi="Arial" w:cs="Arial"/>
          <w:sz w:val="20"/>
          <w:szCs w:val="20"/>
        </w:rPr>
        <w:t xml:space="preserve"> well-constructed and structured argument</w:t>
      </w:r>
      <w:r w:rsidR="006372FA" w:rsidRPr="00054332">
        <w:rPr>
          <w:rFonts w:ascii="Arial" w:hAnsi="Arial" w:cs="Arial"/>
          <w:sz w:val="20"/>
          <w:szCs w:val="20"/>
        </w:rPr>
        <w:t>s</w:t>
      </w:r>
      <w:r>
        <w:rPr>
          <w:rFonts w:ascii="Arial" w:hAnsi="Arial" w:cs="Arial"/>
          <w:sz w:val="20"/>
          <w:szCs w:val="20"/>
        </w:rPr>
        <w:t>.</w:t>
      </w:r>
    </w:p>
    <w:p w14:paraId="197869FD" w14:textId="0D0F927A" w:rsidR="005F6B7C" w:rsidRPr="000B208A" w:rsidRDefault="006372FA" w:rsidP="001B31F1">
      <w:pPr>
        <w:pStyle w:val="ListParagraph"/>
        <w:numPr>
          <w:ilvl w:val="0"/>
          <w:numId w:val="10"/>
        </w:numPr>
        <w:spacing w:after="120" w:line="240" w:lineRule="auto"/>
        <w:ind w:left="1134" w:right="260" w:hanging="437"/>
        <w:jc w:val="both"/>
        <w:rPr>
          <w:rFonts w:ascii="Arial" w:hAnsi="Arial" w:cs="Arial"/>
          <w:sz w:val="20"/>
          <w:szCs w:val="20"/>
        </w:rPr>
      </w:pPr>
      <w:r w:rsidRPr="00054332">
        <w:rPr>
          <w:rFonts w:ascii="Arial" w:hAnsi="Arial" w:cs="Arial"/>
          <w:sz w:val="20"/>
          <w:szCs w:val="20"/>
        </w:rPr>
        <w:t>F</w:t>
      </w:r>
      <w:r w:rsidR="005F6B7C" w:rsidRPr="000B208A">
        <w:rPr>
          <w:rFonts w:ascii="Arial" w:hAnsi="Arial" w:cs="Arial"/>
          <w:sz w:val="20"/>
          <w:szCs w:val="20"/>
        </w:rPr>
        <w:t>ormulate a viable research question</w:t>
      </w:r>
      <w:r w:rsidR="000B208A">
        <w:rPr>
          <w:rFonts w:ascii="Arial" w:hAnsi="Arial" w:cs="Arial"/>
          <w:sz w:val="20"/>
          <w:szCs w:val="20"/>
        </w:rPr>
        <w:t>.</w:t>
      </w:r>
    </w:p>
    <w:p w14:paraId="402BEFFA" w14:textId="08311FC7" w:rsidR="005F6B7C" w:rsidRPr="000B208A" w:rsidRDefault="006372FA" w:rsidP="001B31F1">
      <w:pPr>
        <w:pStyle w:val="ListParagraph"/>
        <w:numPr>
          <w:ilvl w:val="0"/>
          <w:numId w:val="10"/>
        </w:numPr>
        <w:spacing w:after="120" w:line="240" w:lineRule="auto"/>
        <w:ind w:left="1134" w:right="260" w:hanging="437"/>
        <w:jc w:val="both"/>
        <w:rPr>
          <w:rFonts w:ascii="Arial" w:hAnsi="Arial" w:cs="Arial"/>
          <w:sz w:val="20"/>
          <w:szCs w:val="20"/>
        </w:rPr>
      </w:pPr>
      <w:r w:rsidRPr="00054332">
        <w:rPr>
          <w:rFonts w:ascii="Arial" w:hAnsi="Arial" w:cs="Arial"/>
          <w:sz w:val="20"/>
          <w:szCs w:val="20"/>
        </w:rPr>
        <w:t>D</w:t>
      </w:r>
      <w:r w:rsidR="005F6B7C" w:rsidRPr="000B208A">
        <w:rPr>
          <w:rFonts w:ascii="Arial" w:hAnsi="Arial" w:cs="Arial"/>
          <w:sz w:val="20"/>
          <w:szCs w:val="20"/>
        </w:rPr>
        <w:t>eploy critical and self-reflexiv</w:t>
      </w:r>
      <w:r w:rsidR="000B208A">
        <w:rPr>
          <w:rFonts w:ascii="Arial" w:hAnsi="Arial" w:cs="Arial"/>
          <w:sz w:val="20"/>
          <w:szCs w:val="20"/>
        </w:rPr>
        <w:t>e modes of thought and analysis.</w:t>
      </w:r>
    </w:p>
    <w:p w14:paraId="70A2199E" w14:textId="0624D9E8" w:rsidR="005F6B7C" w:rsidRPr="008F766B" w:rsidRDefault="00054332" w:rsidP="001B31F1">
      <w:pPr>
        <w:pStyle w:val="ListParagraph"/>
        <w:numPr>
          <w:ilvl w:val="0"/>
          <w:numId w:val="10"/>
        </w:numPr>
        <w:spacing w:after="120" w:line="240" w:lineRule="auto"/>
        <w:ind w:left="1134" w:right="260" w:hanging="437"/>
        <w:jc w:val="both"/>
        <w:rPr>
          <w:rFonts w:ascii="Arial" w:hAnsi="Arial" w:cs="Arial"/>
          <w:sz w:val="20"/>
          <w:szCs w:val="20"/>
        </w:rPr>
      </w:pPr>
      <w:r w:rsidRPr="00054332">
        <w:rPr>
          <w:rFonts w:ascii="Arial" w:hAnsi="Arial" w:cs="Arial"/>
          <w:sz w:val="20"/>
          <w:szCs w:val="20"/>
        </w:rPr>
        <w:t>D</w:t>
      </w:r>
      <w:r w:rsidR="005F6B7C" w:rsidRPr="008F766B">
        <w:rPr>
          <w:rFonts w:ascii="Arial" w:hAnsi="Arial" w:cs="Arial"/>
          <w:sz w:val="20"/>
          <w:szCs w:val="20"/>
        </w:rPr>
        <w:t xml:space="preserve">emonstrate </w:t>
      </w:r>
      <w:r w:rsidRPr="00054332">
        <w:rPr>
          <w:rFonts w:ascii="Arial" w:hAnsi="Arial" w:cs="Arial"/>
          <w:sz w:val="20"/>
          <w:szCs w:val="20"/>
        </w:rPr>
        <w:t xml:space="preserve">sophisticated </w:t>
      </w:r>
      <w:r w:rsidR="005F6B7C" w:rsidRPr="008F766B">
        <w:rPr>
          <w:rFonts w:ascii="Arial" w:hAnsi="Arial" w:cs="Arial"/>
          <w:sz w:val="20"/>
          <w:szCs w:val="20"/>
        </w:rPr>
        <w:t>independent learning</w:t>
      </w:r>
      <w:r w:rsidR="000B208A">
        <w:rPr>
          <w:rFonts w:ascii="Arial" w:hAnsi="Arial" w:cs="Arial"/>
          <w:sz w:val="20"/>
          <w:szCs w:val="20"/>
        </w:rPr>
        <w:t>.</w:t>
      </w:r>
    </w:p>
    <w:p w14:paraId="15BDAD66" w14:textId="10AB23DD" w:rsidR="00273CF0" w:rsidRPr="008F766B" w:rsidRDefault="00BB686C" w:rsidP="001B31F1">
      <w:pPr>
        <w:pStyle w:val="ListParagraph"/>
        <w:numPr>
          <w:ilvl w:val="0"/>
          <w:numId w:val="10"/>
        </w:numPr>
        <w:spacing w:after="120" w:line="240" w:lineRule="auto"/>
        <w:ind w:left="1134" w:right="260" w:hanging="437"/>
        <w:jc w:val="both"/>
        <w:rPr>
          <w:rFonts w:ascii="Arial" w:hAnsi="Arial" w:cs="Arial"/>
          <w:sz w:val="20"/>
          <w:szCs w:val="20"/>
        </w:rPr>
      </w:pPr>
      <w:r>
        <w:rPr>
          <w:rFonts w:ascii="Arial" w:hAnsi="Arial" w:cs="Arial"/>
          <w:sz w:val="20"/>
          <w:szCs w:val="20"/>
        </w:rPr>
        <w:t>U</w:t>
      </w:r>
      <w:r w:rsidR="005F6B7C" w:rsidRPr="008F766B">
        <w:rPr>
          <w:rFonts w:ascii="Arial" w:hAnsi="Arial" w:cs="Arial"/>
          <w:sz w:val="20"/>
          <w:szCs w:val="20"/>
        </w:rPr>
        <w:t>ndertake independent research on a focused topic</w:t>
      </w:r>
      <w:r w:rsidR="000B208A">
        <w:rPr>
          <w:rFonts w:ascii="Arial" w:hAnsi="Arial" w:cs="Arial"/>
          <w:sz w:val="20"/>
          <w:szCs w:val="20"/>
        </w:rPr>
        <w:t>.</w:t>
      </w:r>
    </w:p>
    <w:p w14:paraId="28B1E438" w14:textId="77777777" w:rsidR="003719A2" w:rsidRPr="00054332" w:rsidRDefault="003719A2" w:rsidP="005F6B7C">
      <w:pPr>
        <w:spacing w:after="120" w:line="240" w:lineRule="auto"/>
        <w:ind w:left="426" w:right="260"/>
        <w:rPr>
          <w:rFonts w:ascii="Arial" w:hAnsi="Arial" w:cs="Arial"/>
          <w:sz w:val="20"/>
          <w:szCs w:val="20"/>
        </w:rPr>
      </w:pPr>
    </w:p>
    <w:p w14:paraId="4B8CFABB" w14:textId="77777777" w:rsidR="009A2D37" w:rsidRPr="00054332" w:rsidRDefault="009A2D37" w:rsidP="00D50113">
      <w:pPr>
        <w:numPr>
          <w:ilvl w:val="0"/>
          <w:numId w:val="1"/>
        </w:numPr>
        <w:spacing w:after="120" w:line="240" w:lineRule="auto"/>
        <w:ind w:left="426" w:right="260" w:hanging="426"/>
        <w:jc w:val="both"/>
        <w:rPr>
          <w:rFonts w:ascii="Arial" w:hAnsi="Arial" w:cs="Arial"/>
          <w:b/>
          <w:sz w:val="20"/>
          <w:szCs w:val="20"/>
        </w:rPr>
      </w:pPr>
      <w:r w:rsidRPr="00054332">
        <w:rPr>
          <w:rFonts w:ascii="Arial" w:hAnsi="Arial" w:cs="Arial"/>
          <w:b/>
          <w:sz w:val="20"/>
          <w:szCs w:val="20"/>
        </w:rPr>
        <w:t>A synopsis of the curriculum</w:t>
      </w:r>
    </w:p>
    <w:p w14:paraId="27BA5FCE" w14:textId="38DE6D3A" w:rsidR="009A2D37" w:rsidRPr="00054332" w:rsidRDefault="005F6B7C" w:rsidP="00466960">
      <w:pPr>
        <w:spacing w:after="120" w:line="240" w:lineRule="auto"/>
        <w:ind w:left="426" w:right="260"/>
        <w:jc w:val="both"/>
        <w:rPr>
          <w:rFonts w:ascii="Arial" w:hAnsi="Arial" w:cs="Arial"/>
          <w:iCs/>
          <w:sz w:val="20"/>
          <w:szCs w:val="20"/>
        </w:rPr>
      </w:pPr>
      <w:r w:rsidRPr="00054332">
        <w:rPr>
          <w:rFonts w:ascii="Arial" w:hAnsi="Arial" w:cs="Arial"/>
          <w:iCs/>
          <w:sz w:val="20"/>
          <w:szCs w:val="20"/>
        </w:rPr>
        <w:t xml:space="preserve">This module provides students with a solid grounding in law and the humanities, a distinct approach to law that draws upon disciplines like political theory, literature, film studies, history and social theory. The module familiarises students with key questions in the field, provides training in humanities methods in relation to law, and equips students with a clear and rigorous approach to all their present and future academic work. No special knowledge or experience of any particular discipline is required to undertake the module. </w:t>
      </w:r>
    </w:p>
    <w:p w14:paraId="33FA2A38" w14:textId="77777777" w:rsidR="005F6B7C" w:rsidRPr="00054332" w:rsidRDefault="005F6B7C" w:rsidP="005F6B7C">
      <w:pPr>
        <w:spacing w:after="120" w:line="240" w:lineRule="auto"/>
        <w:ind w:left="426" w:right="260"/>
        <w:rPr>
          <w:rFonts w:ascii="Arial" w:hAnsi="Arial" w:cs="Arial"/>
          <w:iCs/>
          <w:sz w:val="20"/>
          <w:szCs w:val="20"/>
        </w:rPr>
      </w:pPr>
    </w:p>
    <w:p w14:paraId="1F326BA8" w14:textId="77777777" w:rsidR="009A2D37" w:rsidRPr="008F766B" w:rsidRDefault="002A7F48" w:rsidP="00D50113">
      <w:pPr>
        <w:numPr>
          <w:ilvl w:val="0"/>
          <w:numId w:val="1"/>
        </w:numPr>
        <w:spacing w:after="120" w:line="240" w:lineRule="auto"/>
        <w:ind w:left="426" w:right="260" w:hanging="426"/>
        <w:jc w:val="both"/>
        <w:rPr>
          <w:rFonts w:ascii="Arial" w:hAnsi="Arial" w:cs="Arial"/>
          <w:b/>
          <w:sz w:val="20"/>
          <w:szCs w:val="20"/>
        </w:rPr>
      </w:pPr>
      <w:r w:rsidRPr="008F766B">
        <w:rPr>
          <w:rFonts w:ascii="Arial" w:hAnsi="Arial" w:cs="Arial"/>
          <w:b/>
          <w:sz w:val="20"/>
          <w:szCs w:val="20"/>
        </w:rPr>
        <w:t>Reading l</w:t>
      </w:r>
      <w:r w:rsidR="009A2D37" w:rsidRPr="008F766B">
        <w:rPr>
          <w:rFonts w:ascii="Arial" w:hAnsi="Arial" w:cs="Arial"/>
          <w:b/>
          <w:sz w:val="20"/>
          <w:szCs w:val="20"/>
        </w:rPr>
        <w:t xml:space="preserve">ist </w:t>
      </w:r>
      <w:r w:rsidR="00274ED7" w:rsidRPr="008F766B">
        <w:rPr>
          <w:rFonts w:ascii="Arial" w:hAnsi="Arial" w:cs="Arial"/>
          <w:b/>
          <w:sz w:val="20"/>
          <w:szCs w:val="20"/>
        </w:rPr>
        <w:t>(Indicative list, current at time of publication. Reading lists will be published annually)</w:t>
      </w:r>
    </w:p>
    <w:p w14:paraId="5193AC2F" w14:textId="48111C1E" w:rsidR="00C54EFD" w:rsidRPr="00054332" w:rsidRDefault="00C54EFD" w:rsidP="00466960">
      <w:pPr>
        <w:spacing w:after="120" w:line="240" w:lineRule="auto"/>
        <w:ind w:right="260" w:firstLine="426"/>
        <w:jc w:val="both"/>
        <w:rPr>
          <w:rFonts w:ascii="Arial" w:hAnsi="Arial" w:cs="Arial"/>
          <w:sz w:val="20"/>
          <w:szCs w:val="20"/>
        </w:rPr>
      </w:pPr>
      <w:r w:rsidRPr="00054332">
        <w:rPr>
          <w:rFonts w:ascii="Arial" w:hAnsi="Arial" w:cs="Arial"/>
          <w:sz w:val="20"/>
          <w:szCs w:val="20"/>
        </w:rPr>
        <w:t xml:space="preserve">Davies, M., 2008. Asking the law question: the dissolution of legal theory.  Sydney: Lawbook co. </w:t>
      </w:r>
    </w:p>
    <w:p w14:paraId="6DB71A3F" w14:textId="73419ED4" w:rsidR="00C54EFD" w:rsidRPr="008F766B" w:rsidRDefault="00C54EFD" w:rsidP="00466960">
      <w:pPr>
        <w:spacing w:after="120" w:line="240" w:lineRule="auto"/>
        <w:ind w:right="260" w:firstLine="426"/>
        <w:jc w:val="both"/>
        <w:rPr>
          <w:rFonts w:ascii="Arial" w:hAnsi="Arial" w:cs="Arial"/>
          <w:sz w:val="20"/>
          <w:szCs w:val="20"/>
        </w:rPr>
      </w:pPr>
      <w:proofErr w:type="spellStart"/>
      <w:r w:rsidRPr="00054332">
        <w:rPr>
          <w:rFonts w:ascii="Arial" w:hAnsi="Arial" w:cs="Arial"/>
          <w:sz w:val="20"/>
          <w:szCs w:val="20"/>
        </w:rPr>
        <w:t>Douzinas</w:t>
      </w:r>
      <w:proofErr w:type="spellEnd"/>
      <w:r w:rsidRPr="00054332">
        <w:rPr>
          <w:rFonts w:ascii="Arial" w:hAnsi="Arial" w:cs="Arial"/>
          <w:sz w:val="20"/>
          <w:szCs w:val="20"/>
        </w:rPr>
        <w:t>, C</w:t>
      </w:r>
      <w:r w:rsidRPr="008F766B">
        <w:rPr>
          <w:rFonts w:ascii="Arial" w:hAnsi="Arial" w:cs="Arial"/>
          <w:sz w:val="20"/>
          <w:szCs w:val="20"/>
        </w:rPr>
        <w:t>.</w:t>
      </w:r>
      <w:r w:rsidRPr="00054332">
        <w:rPr>
          <w:rFonts w:ascii="Arial" w:hAnsi="Arial" w:cs="Arial"/>
          <w:sz w:val="20"/>
          <w:szCs w:val="20"/>
        </w:rPr>
        <w:t xml:space="preserve"> and </w:t>
      </w:r>
      <w:proofErr w:type="spellStart"/>
      <w:r w:rsidRPr="00054332">
        <w:rPr>
          <w:rFonts w:ascii="Arial" w:hAnsi="Arial" w:cs="Arial"/>
          <w:sz w:val="20"/>
          <w:szCs w:val="20"/>
        </w:rPr>
        <w:t>Gearey</w:t>
      </w:r>
      <w:proofErr w:type="spellEnd"/>
      <w:r w:rsidRPr="00054332">
        <w:rPr>
          <w:rFonts w:ascii="Arial" w:hAnsi="Arial" w:cs="Arial"/>
          <w:sz w:val="20"/>
          <w:szCs w:val="20"/>
        </w:rPr>
        <w:t>, A., 2005. Critical Jurisprudence: the political theory of justice. Oxford:</w:t>
      </w:r>
      <w:r w:rsidR="00054332" w:rsidRPr="00054332">
        <w:rPr>
          <w:rFonts w:ascii="Arial" w:hAnsi="Arial" w:cs="Arial"/>
          <w:sz w:val="20"/>
          <w:szCs w:val="20"/>
        </w:rPr>
        <w:t xml:space="preserve"> </w:t>
      </w:r>
      <w:r w:rsidRPr="00054332">
        <w:rPr>
          <w:rFonts w:ascii="Arial" w:hAnsi="Arial" w:cs="Arial"/>
          <w:sz w:val="20"/>
          <w:szCs w:val="20"/>
        </w:rPr>
        <w:t>Hart</w:t>
      </w:r>
    </w:p>
    <w:p w14:paraId="1F445849" w14:textId="5BE58426" w:rsidR="005F6B7C" w:rsidRPr="00054332" w:rsidRDefault="005F6B7C" w:rsidP="00466960">
      <w:pPr>
        <w:spacing w:after="120" w:line="240" w:lineRule="auto"/>
        <w:ind w:left="426" w:right="260"/>
        <w:jc w:val="both"/>
        <w:rPr>
          <w:rFonts w:ascii="Arial" w:hAnsi="Arial" w:cs="Arial"/>
          <w:sz w:val="20"/>
          <w:szCs w:val="20"/>
        </w:rPr>
      </w:pPr>
      <w:proofErr w:type="spellStart"/>
      <w:r w:rsidRPr="008F766B">
        <w:rPr>
          <w:rFonts w:ascii="Arial" w:hAnsi="Arial" w:cs="Arial"/>
          <w:sz w:val="20"/>
          <w:szCs w:val="20"/>
        </w:rPr>
        <w:t>Sarat</w:t>
      </w:r>
      <w:proofErr w:type="spellEnd"/>
      <w:r w:rsidRPr="008F766B">
        <w:rPr>
          <w:rFonts w:ascii="Arial" w:hAnsi="Arial" w:cs="Arial"/>
          <w:sz w:val="20"/>
          <w:szCs w:val="20"/>
        </w:rPr>
        <w:t>, A et al., 20</w:t>
      </w:r>
      <w:r w:rsidR="00BA3506" w:rsidRPr="008F766B">
        <w:rPr>
          <w:rFonts w:ascii="Arial" w:hAnsi="Arial" w:cs="Arial"/>
          <w:sz w:val="20"/>
          <w:szCs w:val="20"/>
        </w:rPr>
        <w:t>10</w:t>
      </w:r>
      <w:r w:rsidRPr="008F766B">
        <w:rPr>
          <w:rFonts w:ascii="Arial" w:hAnsi="Arial" w:cs="Arial"/>
          <w:sz w:val="20"/>
          <w:szCs w:val="20"/>
        </w:rPr>
        <w:t>. Law and the Humanities: An Introduction. Cambridge: Cambridge UP</w:t>
      </w:r>
    </w:p>
    <w:p w14:paraId="3E9AD6D6" w14:textId="2663F82F" w:rsidR="00BA3506" w:rsidRPr="00054332" w:rsidRDefault="00C54EFD" w:rsidP="00466960">
      <w:pPr>
        <w:spacing w:after="120" w:line="240" w:lineRule="auto"/>
        <w:ind w:left="426" w:right="260"/>
        <w:jc w:val="both"/>
        <w:rPr>
          <w:rFonts w:ascii="Arial" w:hAnsi="Arial" w:cs="Arial"/>
          <w:sz w:val="20"/>
          <w:szCs w:val="20"/>
        </w:rPr>
      </w:pPr>
      <w:r w:rsidRPr="008F766B">
        <w:rPr>
          <w:rFonts w:ascii="Arial" w:hAnsi="Arial" w:cs="Arial"/>
          <w:sz w:val="20"/>
          <w:szCs w:val="20"/>
        </w:rPr>
        <w:t xml:space="preserve">Thomas, M. and </w:t>
      </w:r>
      <w:proofErr w:type="spellStart"/>
      <w:r w:rsidRPr="008F766B">
        <w:rPr>
          <w:rFonts w:ascii="Arial" w:hAnsi="Arial" w:cs="Arial"/>
          <w:sz w:val="20"/>
          <w:szCs w:val="20"/>
        </w:rPr>
        <w:t>Leiboff</w:t>
      </w:r>
      <w:proofErr w:type="spellEnd"/>
      <w:r w:rsidRPr="008F766B">
        <w:rPr>
          <w:rFonts w:ascii="Arial" w:hAnsi="Arial" w:cs="Arial"/>
          <w:sz w:val="20"/>
          <w:szCs w:val="20"/>
        </w:rPr>
        <w:t xml:space="preserve">, M., </w:t>
      </w:r>
      <w:r w:rsidR="00BA3506" w:rsidRPr="00054332">
        <w:rPr>
          <w:rFonts w:ascii="Arial" w:hAnsi="Arial" w:cs="Arial"/>
          <w:sz w:val="20"/>
          <w:szCs w:val="20"/>
        </w:rPr>
        <w:t xml:space="preserve">2004. Legal theories; in principle. Lawbook Co. </w:t>
      </w:r>
    </w:p>
    <w:p w14:paraId="6B7C7CE4" w14:textId="1330FAB6" w:rsidR="00C54EFD" w:rsidRPr="008F766B" w:rsidRDefault="00C54EFD" w:rsidP="00466960">
      <w:pPr>
        <w:spacing w:after="120" w:line="240" w:lineRule="auto"/>
        <w:ind w:left="426" w:right="260"/>
        <w:jc w:val="both"/>
        <w:rPr>
          <w:rFonts w:ascii="Arial" w:hAnsi="Arial" w:cs="Arial"/>
          <w:sz w:val="20"/>
          <w:szCs w:val="20"/>
        </w:rPr>
      </w:pPr>
      <w:r w:rsidRPr="008F766B">
        <w:rPr>
          <w:rFonts w:ascii="Arial" w:hAnsi="Arial" w:cs="Arial"/>
          <w:sz w:val="20"/>
          <w:szCs w:val="20"/>
        </w:rPr>
        <w:t xml:space="preserve">Thomas, M. and </w:t>
      </w:r>
      <w:proofErr w:type="spellStart"/>
      <w:r w:rsidRPr="008F766B">
        <w:rPr>
          <w:rFonts w:ascii="Arial" w:hAnsi="Arial" w:cs="Arial"/>
          <w:sz w:val="20"/>
          <w:szCs w:val="20"/>
        </w:rPr>
        <w:t>Leiboff</w:t>
      </w:r>
      <w:proofErr w:type="spellEnd"/>
      <w:r w:rsidRPr="008F766B">
        <w:rPr>
          <w:rFonts w:ascii="Arial" w:hAnsi="Arial" w:cs="Arial"/>
          <w:sz w:val="20"/>
          <w:szCs w:val="20"/>
        </w:rPr>
        <w:t>, M., Legal theories</w:t>
      </w:r>
      <w:r w:rsidRPr="00054332">
        <w:rPr>
          <w:rFonts w:ascii="Arial" w:hAnsi="Arial" w:cs="Arial"/>
          <w:sz w:val="20"/>
          <w:szCs w:val="20"/>
        </w:rPr>
        <w:t xml:space="preserve">: Contexts and Practices. Australia: Thomson Reuters. </w:t>
      </w:r>
    </w:p>
    <w:p w14:paraId="2308E45B" w14:textId="77777777" w:rsidR="003719A2" w:rsidRPr="00054332" w:rsidRDefault="003719A2" w:rsidP="005F6B7C">
      <w:pPr>
        <w:spacing w:after="120" w:line="240" w:lineRule="auto"/>
        <w:ind w:left="426" w:right="260"/>
        <w:jc w:val="both"/>
        <w:rPr>
          <w:rFonts w:ascii="Arial" w:hAnsi="Arial" w:cs="Arial"/>
          <w:sz w:val="20"/>
          <w:szCs w:val="20"/>
        </w:rPr>
      </w:pPr>
    </w:p>
    <w:p w14:paraId="62C1F4C0" w14:textId="74DE54F0" w:rsidR="00931082" w:rsidRDefault="009A2D37" w:rsidP="00931082">
      <w:pPr>
        <w:numPr>
          <w:ilvl w:val="0"/>
          <w:numId w:val="1"/>
        </w:numPr>
        <w:spacing w:after="120" w:line="240" w:lineRule="auto"/>
        <w:ind w:left="426" w:right="260" w:hanging="426"/>
        <w:rPr>
          <w:rFonts w:ascii="Arial" w:hAnsi="Arial" w:cs="Arial"/>
          <w:i/>
          <w:iCs/>
          <w:sz w:val="20"/>
          <w:szCs w:val="20"/>
        </w:rPr>
      </w:pPr>
      <w:r w:rsidRPr="00931082">
        <w:rPr>
          <w:rFonts w:ascii="Arial" w:hAnsi="Arial" w:cs="Arial"/>
          <w:b/>
          <w:sz w:val="20"/>
          <w:szCs w:val="20"/>
        </w:rPr>
        <w:t>Learning</w:t>
      </w:r>
      <w:r w:rsidR="002A7F48" w:rsidRPr="00931082">
        <w:rPr>
          <w:rFonts w:ascii="Arial" w:hAnsi="Arial" w:cs="Arial"/>
          <w:b/>
          <w:sz w:val="20"/>
          <w:szCs w:val="20"/>
        </w:rPr>
        <w:t xml:space="preserve"> and t</w:t>
      </w:r>
      <w:r w:rsidR="006F3F8B" w:rsidRPr="00931082">
        <w:rPr>
          <w:rFonts w:ascii="Arial" w:hAnsi="Arial" w:cs="Arial"/>
          <w:b/>
          <w:sz w:val="20"/>
          <w:szCs w:val="20"/>
        </w:rPr>
        <w:t>eaching m</w:t>
      </w:r>
      <w:r w:rsidRPr="00931082">
        <w:rPr>
          <w:rFonts w:ascii="Arial" w:hAnsi="Arial" w:cs="Arial"/>
          <w:b/>
          <w:sz w:val="20"/>
          <w:szCs w:val="20"/>
        </w:rPr>
        <w:t>ethods</w:t>
      </w:r>
    </w:p>
    <w:p w14:paraId="106D7879" w14:textId="60FEEB7E" w:rsidR="00931082" w:rsidRDefault="00931082" w:rsidP="00931082">
      <w:pPr>
        <w:spacing w:after="120" w:line="240" w:lineRule="auto"/>
        <w:ind w:right="260"/>
        <w:rPr>
          <w:rFonts w:ascii="Arial" w:hAnsi="Arial" w:cs="Arial"/>
          <w:i/>
          <w:iCs/>
          <w:sz w:val="20"/>
          <w:szCs w:val="20"/>
        </w:rPr>
      </w:pPr>
    </w:p>
    <w:p w14:paraId="1780B604" w14:textId="77777777" w:rsidR="00931082" w:rsidRPr="00BA2908" w:rsidRDefault="00931082" w:rsidP="00931082">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3FD38501" w14:textId="14441228" w:rsidR="00931082" w:rsidRPr="00BA2908" w:rsidRDefault="00931082" w:rsidP="0093108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30A25121" w14:textId="07930AA4" w:rsidR="00931082" w:rsidRDefault="00931082" w:rsidP="00931082">
      <w:pPr>
        <w:spacing w:after="120" w:line="240" w:lineRule="auto"/>
        <w:ind w:left="426" w:right="260"/>
        <w:rPr>
          <w:rFonts w:ascii="Arial" w:hAnsi="Arial" w:cs="Arial"/>
          <w:iCs/>
          <w:sz w:val="20"/>
          <w:szCs w:val="20"/>
        </w:rPr>
      </w:pPr>
      <w:r>
        <w:rPr>
          <w:rFonts w:ascii="Arial" w:hAnsi="Arial" w:cs="Arial"/>
          <w:iCs/>
          <w:sz w:val="20"/>
          <w:szCs w:val="20"/>
        </w:rPr>
        <w:t>Private study hours: 180</w:t>
      </w:r>
    </w:p>
    <w:p w14:paraId="2E9D37D6" w14:textId="77777777" w:rsidR="00931082" w:rsidRPr="00931082" w:rsidRDefault="00931082" w:rsidP="00931082">
      <w:pPr>
        <w:spacing w:after="120" w:line="240" w:lineRule="auto"/>
        <w:ind w:right="260"/>
        <w:rPr>
          <w:rFonts w:ascii="Arial" w:hAnsi="Arial" w:cs="Arial"/>
          <w:i/>
          <w:iCs/>
          <w:sz w:val="20"/>
          <w:szCs w:val="20"/>
        </w:rPr>
      </w:pPr>
    </w:p>
    <w:p w14:paraId="789399FE" w14:textId="472DC5A3" w:rsidR="00B9109B" w:rsidRPr="008F766B" w:rsidRDefault="00EF4933" w:rsidP="00D50113">
      <w:pPr>
        <w:numPr>
          <w:ilvl w:val="0"/>
          <w:numId w:val="1"/>
        </w:numPr>
        <w:spacing w:after="120" w:line="240" w:lineRule="auto"/>
        <w:ind w:left="426" w:right="260" w:hanging="426"/>
        <w:rPr>
          <w:rFonts w:ascii="Arial" w:hAnsi="Arial" w:cs="Arial"/>
          <w:b/>
          <w:i/>
          <w:iCs/>
          <w:sz w:val="20"/>
          <w:szCs w:val="20"/>
        </w:rPr>
      </w:pPr>
      <w:r w:rsidRPr="00931082">
        <w:rPr>
          <w:rFonts w:ascii="Arial" w:hAnsi="Arial" w:cs="Arial"/>
          <w:b/>
          <w:sz w:val="20"/>
          <w:szCs w:val="20"/>
        </w:rPr>
        <w:t>Assessment methods</w:t>
      </w:r>
    </w:p>
    <w:p w14:paraId="4203D009" w14:textId="1D27B55D" w:rsidR="00931082" w:rsidRDefault="00931082" w:rsidP="008F766B">
      <w:pPr>
        <w:spacing w:after="120" w:line="240" w:lineRule="auto"/>
        <w:ind w:left="426" w:right="260"/>
        <w:rPr>
          <w:rFonts w:ascii="Arial" w:hAnsi="Arial" w:cs="Arial"/>
          <w:b/>
          <w:sz w:val="20"/>
          <w:szCs w:val="20"/>
        </w:rPr>
      </w:pPr>
    </w:p>
    <w:p w14:paraId="687802E0" w14:textId="480F7BDC" w:rsidR="00931082" w:rsidRPr="00944583" w:rsidRDefault="00931082" w:rsidP="00931082">
      <w:pPr>
        <w:spacing w:after="120" w:line="240" w:lineRule="auto"/>
        <w:ind w:right="260" w:firstLine="426"/>
        <w:rPr>
          <w:rFonts w:ascii="Arial" w:hAnsi="Arial" w:cs="Arial"/>
          <w:iCs/>
          <w:sz w:val="20"/>
          <w:szCs w:val="20"/>
          <w:u w:val="single"/>
        </w:rPr>
      </w:pPr>
      <w:r w:rsidRPr="00944583">
        <w:rPr>
          <w:rFonts w:ascii="Arial" w:hAnsi="Arial" w:cs="Arial"/>
          <w:iCs/>
          <w:sz w:val="20"/>
          <w:szCs w:val="20"/>
          <w:u w:val="single"/>
        </w:rPr>
        <w:t>13.1 Main assessment methods</w:t>
      </w:r>
    </w:p>
    <w:p w14:paraId="42179EAA" w14:textId="77777777" w:rsidR="00C54EFD" w:rsidRPr="00931082" w:rsidRDefault="00C54EFD" w:rsidP="00975ABF">
      <w:pPr>
        <w:spacing w:after="120" w:line="240" w:lineRule="auto"/>
        <w:ind w:right="260"/>
        <w:rPr>
          <w:rFonts w:ascii="Arial" w:hAnsi="Arial" w:cs="Arial"/>
          <w:b/>
          <w:i/>
          <w:iCs/>
          <w:sz w:val="20"/>
          <w:szCs w:val="20"/>
        </w:rPr>
      </w:pPr>
    </w:p>
    <w:p w14:paraId="5187A387" w14:textId="5BB1B466" w:rsidR="006444E0" w:rsidRPr="00931082" w:rsidRDefault="006444E0" w:rsidP="006444E0">
      <w:pPr>
        <w:spacing w:after="120" w:line="240" w:lineRule="auto"/>
        <w:ind w:left="426" w:right="260"/>
        <w:rPr>
          <w:rFonts w:ascii="Arial" w:hAnsi="Arial" w:cs="Arial"/>
          <w:iCs/>
          <w:sz w:val="20"/>
          <w:szCs w:val="20"/>
        </w:rPr>
      </w:pPr>
      <w:r w:rsidRPr="00931082">
        <w:rPr>
          <w:rFonts w:ascii="Arial" w:hAnsi="Arial" w:cs="Arial"/>
          <w:iCs/>
          <w:sz w:val="20"/>
          <w:szCs w:val="20"/>
        </w:rPr>
        <w:t>Four posts on the module blog (</w:t>
      </w:r>
      <w:r w:rsidR="00C54EFD">
        <w:rPr>
          <w:rFonts w:ascii="Arial" w:hAnsi="Arial" w:cs="Arial"/>
          <w:iCs/>
          <w:sz w:val="20"/>
          <w:szCs w:val="20"/>
        </w:rPr>
        <w:t>10%</w:t>
      </w:r>
      <w:r w:rsidRPr="00931082">
        <w:rPr>
          <w:rFonts w:ascii="Arial" w:hAnsi="Arial" w:cs="Arial"/>
          <w:iCs/>
          <w:sz w:val="20"/>
          <w:szCs w:val="20"/>
        </w:rPr>
        <w:t xml:space="preserve">) </w:t>
      </w:r>
    </w:p>
    <w:p w14:paraId="5B994E6E" w14:textId="527F6FB8" w:rsidR="006444E0" w:rsidRPr="00931082" w:rsidRDefault="00C54EFD" w:rsidP="006444E0">
      <w:pPr>
        <w:spacing w:after="120" w:line="240" w:lineRule="auto"/>
        <w:ind w:left="426" w:right="260"/>
        <w:rPr>
          <w:rFonts w:ascii="Arial" w:hAnsi="Arial" w:cs="Arial"/>
          <w:iCs/>
          <w:sz w:val="20"/>
          <w:szCs w:val="20"/>
        </w:rPr>
      </w:pPr>
      <w:r>
        <w:rPr>
          <w:rFonts w:ascii="Arial" w:hAnsi="Arial" w:cs="Arial"/>
          <w:iCs/>
          <w:sz w:val="20"/>
          <w:szCs w:val="20"/>
        </w:rPr>
        <w:t>R</w:t>
      </w:r>
      <w:r w:rsidR="006444E0" w:rsidRPr="00931082">
        <w:rPr>
          <w:rFonts w:ascii="Arial" w:hAnsi="Arial" w:cs="Arial"/>
          <w:iCs/>
          <w:sz w:val="20"/>
          <w:szCs w:val="20"/>
        </w:rPr>
        <w:t>esearch essay</w:t>
      </w:r>
      <w:r>
        <w:rPr>
          <w:rFonts w:ascii="Arial" w:hAnsi="Arial" w:cs="Arial"/>
          <w:iCs/>
          <w:sz w:val="20"/>
          <w:szCs w:val="20"/>
        </w:rPr>
        <w:t xml:space="preserve">, </w:t>
      </w:r>
      <w:r w:rsidR="0030208C">
        <w:rPr>
          <w:rFonts w:ascii="Arial" w:hAnsi="Arial" w:cs="Arial"/>
          <w:iCs/>
          <w:sz w:val="20"/>
          <w:szCs w:val="20"/>
        </w:rPr>
        <w:t>4000-</w:t>
      </w:r>
      <w:r>
        <w:rPr>
          <w:rFonts w:ascii="Arial" w:hAnsi="Arial" w:cs="Arial"/>
          <w:iCs/>
          <w:sz w:val="20"/>
          <w:szCs w:val="20"/>
        </w:rPr>
        <w:t>5000 words</w:t>
      </w:r>
      <w:r w:rsidR="006444E0" w:rsidRPr="00931082">
        <w:rPr>
          <w:rFonts w:ascii="Arial" w:hAnsi="Arial" w:cs="Arial"/>
          <w:iCs/>
          <w:sz w:val="20"/>
          <w:szCs w:val="20"/>
        </w:rPr>
        <w:t xml:space="preserve"> (90</w:t>
      </w:r>
      <w:r w:rsidRPr="00931082">
        <w:rPr>
          <w:rFonts w:ascii="Arial" w:hAnsi="Arial" w:cs="Arial"/>
          <w:iCs/>
          <w:sz w:val="20"/>
          <w:szCs w:val="20"/>
        </w:rPr>
        <w:t>%</w:t>
      </w:r>
      <w:r>
        <w:rPr>
          <w:rFonts w:ascii="Arial" w:hAnsi="Arial" w:cs="Arial"/>
          <w:iCs/>
          <w:sz w:val="20"/>
          <w:szCs w:val="20"/>
        </w:rPr>
        <w:t>)</w:t>
      </w:r>
      <w:r w:rsidR="006444E0" w:rsidRPr="00931082">
        <w:rPr>
          <w:rFonts w:ascii="Arial" w:hAnsi="Arial" w:cs="Arial"/>
          <w:iCs/>
          <w:sz w:val="20"/>
          <w:szCs w:val="20"/>
        </w:rPr>
        <w:t xml:space="preserve">. </w:t>
      </w:r>
    </w:p>
    <w:p w14:paraId="758CE29D" w14:textId="77777777" w:rsidR="00C54EFD" w:rsidRDefault="00C54EFD" w:rsidP="00931082">
      <w:pPr>
        <w:spacing w:after="120" w:line="240" w:lineRule="auto"/>
        <w:ind w:left="426" w:right="260"/>
        <w:rPr>
          <w:rFonts w:ascii="Arial" w:hAnsi="Arial" w:cs="Arial"/>
          <w:i/>
          <w:iCs/>
          <w:sz w:val="20"/>
          <w:szCs w:val="20"/>
          <w:u w:val="single"/>
        </w:rPr>
      </w:pPr>
    </w:p>
    <w:p w14:paraId="69F31B85" w14:textId="1E4EC240" w:rsidR="00931082" w:rsidRPr="00944583" w:rsidRDefault="00931082" w:rsidP="00931082">
      <w:pPr>
        <w:spacing w:after="120" w:line="240" w:lineRule="auto"/>
        <w:ind w:left="426" w:right="260"/>
        <w:rPr>
          <w:rFonts w:ascii="Arial" w:hAnsi="Arial" w:cs="Arial"/>
          <w:iCs/>
          <w:sz w:val="20"/>
          <w:szCs w:val="20"/>
          <w:u w:val="single"/>
        </w:rPr>
      </w:pPr>
      <w:r w:rsidRPr="00944583">
        <w:rPr>
          <w:rFonts w:ascii="Arial" w:hAnsi="Arial" w:cs="Arial"/>
          <w:iCs/>
          <w:sz w:val="20"/>
          <w:szCs w:val="20"/>
          <w:u w:val="single"/>
        </w:rPr>
        <w:t>13.2 Reassessment methods</w:t>
      </w:r>
    </w:p>
    <w:p w14:paraId="4E7EC600" w14:textId="77777777" w:rsidR="0030208C" w:rsidRPr="00935834" w:rsidRDefault="0030208C" w:rsidP="00931082">
      <w:pPr>
        <w:spacing w:after="120" w:line="240" w:lineRule="auto"/>
        <w:ind w:left="426" w:right="260"/>
        <w:rPr>
          <w:rFonts w:ascii="Arial" w:hAnsi="Arial" w:cs="Arial"/>
          <w:i/>
          <w:iCs/>
          <w:sz w:val="20"/>
          <w:szCs w:val="20"/>
          <w:u w:val="single"/>
        </w:rPr>
      </w:pPr>
    </w:p>
    <w:p w14:paraId="2362AA61" w14:textId="146F5599" w:rsidR="0036174D" w:rsidRDefault="00C54EFD" w:rsidP="008F766B">
      <w:pPr>
        <w:spacing w:after="120"/>
        <w:ind w:firstLine="426"/>
        <w:rPr>
          <w:rFonts w:ascii="Arial" w:hAnsi="Arial" w:cs="Arial"/>
          <w:iCs/>
          <w:sz w:val="20"/>
          <w:szCs w:val="20"/>
        </w:rPr>
      </w:pPr>
      <w:r>
        <w:rPr>
          <w:rFonts w:ascii="Arial" w:hAnsi="Arial" w:cs="Arial"/>
          <w:iCs/>
          <w:sz w:val="20"/>
          <w:szCs w:val="20"/>
        </w:rPr>
        <w:t>Reassessment instrument: 100% coursework</w:t>
      </w:r>
    </w:p>
    <w:p w14:paraId="66D10C91" w14:textId="77777777" w:rsidR="00C54EFD" w:rsidRPr="008F766B" w:rsidRDefault="00C54EFD" w:rsidP="008F766B">
      <w:pPr>
        <w:spacing w:after="120"/>
        <w:rPr>
          <w:rFonts w:ascii="Arial" w:hAnsi="Arial" w:cs="Arial"/>
          <w:iCs/>
          <w:sz w:val="20"/>
          <w:szCs w:val="20"/>
        </w:rPr>
      </w:pPr>
    </w:p>
    <w:p w14:paraId="1B2F0B9B" w14:textId="3F7C8FB5" w:rsidR="00274ED7" w:rsidRDefault="006F3F8B" w:rsidP="002A7F48">
      <w:pPr>
        <w:numPr>
          <w:ilvl w:val="0"/>
          <w:numId w:val="1"/>
        </w:numPr>
        <w:spacing w:after="120" w:line="240" w:lineRule="auto"/>
        <w:ind w:left="426" w:right="260" w:hanging="426"/>
        <w:jc w:val="both"/>
        <w:rPr>
          <w:rFonts w:ascii="Arial" w:hAnsi="Arial" w:cs="Arial"/>
          <w:b/>
          <w:iCs/>
          <w:sz w:val="20"/>
          <w:szCs w:val="20"/>
        </w:rPr>
      </w:pPr>
      <w:r w:rsidRPr="00931082">
        <w:rPr>
          <w:rFonts w:ascii="Arial" w:hAnsi="Arial" w:cs="Arial"/>
          <w:b/>
          <w:iCs/>
          <w:sz w:val="20"/>
          <w:szCs w:val="20"/>
        </w:rPr>
        <w:t xml:space="preserve">Map of </w:t>
      </w:r>
      <w:r w:rsidR="002A7F48" w:rsidRPr="00931082">
        <w:rPr>
          <w:rFonts w:ascii="Arial" w:hAnsi="Arial" w:cs="Arial"/>
          <w:b/>
          <w:iCs/>
          <w:sz w:val="20"/>
          <w:szCs w:val="20"/>
        </w:rPr>
        <w:t xml:space="preserve">module learning outcomes </w:t>
      </w:r>
      <w:r w:rsidR="00B30E07" w:rsidRPr="00931082">
        <w:rPr>
          <w:rFonts w:ascii="Arial" w:hAnsi="Arial" w:cs="Arial"/>
          <w:b/>
          <w:iCs/>
          <w:sz w:val="20"/>
          <w:szCs w:val="20"/>
        </w:rPr>
        <w:t>(sections 8 &amp; 9)</w:t>
      </w:r>
      <w:r w:rsidR="002A7F48" w:rsidRPr="00931082">
        <w:rPr>
          <w:rFonts w:ascii="Arial" w:hAnsi="Arial" w:cs="Arial"/>
          <w:b/>
          <w:iCs/>
          <w:sz w:val="20"/>
          <w:szCs w:val="20"/>
        </w:rPr>
        <w:t xml:space="preserve"> to l</w:t>
      </w:r>
      <w:r w:rsidRPr="00931082">
        <w:rPr>
          <w:rFonts w:ascii="Arial" w:hAnsi="Arial" w:cs="Arial"/>
          <w:b/>
          <w:iCs/>
          <w:sz w:val="20"/>
          <w:szCs w:val="20"/>
        </w:rPr>
        <w:t>earning</w:t>
      </w:r>
      <w:r w:rsidR="00B30E07" w:rsidRPr="00931082">
        <w:rPr>
          <w:rFonts w:ascii="Arial" w:hAnsi="Arial" w:cs="Arial"/>
          <w:b/>
          <w:iCs/>
          <w:sz w:val="20"/>
          <w:szCs w:val="20"/>
        </w:rPr>
        <w:t xml:space="preserve"> and </w:t>
      </w:r>
      <w:r w:rsidR="002A7F48" w:rsidRPr="00931082">
        <w:rPr>
          <w:rFonts w:ascii="Arial" w:hAnsi="Arial" w:cs="Arial"/>
          <w:b/>
          <w:iCs/>
          <w:sz w:val="20"/>
          <w:szCs w:val="20"/>
        </w:rPr>
        <w:t>teaching m</w:t>
      </w:r>
      <w:r w:rsidR="00B30E07" w:rsidRPr="00931082">
        <w:rPr>
          <w:rFonts w:ascii="Arial" w:hAnsi="Arial" w:cs="Arial"/>
          <w:b/>
          <w:iCs/>
          <w:sz w:val="20"/>
          <w:szCs w:val="20"/>
        </w:rPr>
        <w:t>ethods (section</w:t>
      </w:r>
      <w:r w:rsidR="00944583">
        <w:rPr>
          <w:rFonts w:ascii="Arial" w:hAnsi="Arial" w:cs="Arial"/>
          <w:b/>
          <w:iCs/>
          <w:sz w:val="20"/>
          <w:szCs w:val="20"/>
        </w:rPr>
        <w:t xml:space="preserve"> </w:t>
      </w:r>
      <w:r w:rsidR="00B30E07" w:rsidRPr="00931082">
        <w:rPr>
          <w:rFonts w:ascii="Arial" w:hAnsi="Arial" w:cs="Arial"/>
          <w:b/>
          <w:iCs/>
          <w:sz w:val="20"/>
          <w:szCs w:val="20"/>
        </w:rPr>
        <w:t>12</w:t>
      </w:r>
      <w:r w:rsidRPr="00931082">
        <w:rPr>
          <w:rFonts w:ascii="Arial" w:hAnsi="Arial" w:cs="Arial"/>
          <w:b/>
          <w:iCs/>
          <w:sz w:val="20"/>
          <w:szCs w:val="20"/>
        </w:rPr>
        <w:t>) and m</w:t>
      </w:r>
      <w:r w:rsidR="002A7F48" w:rsidRPr="00931082">
        <w:rPr>
          <w:rFonts w:ascii="Arial" w:hAnsi="Arial" w:cs="Arial"/>
          <w:b/>
          <w:iCs/>
          <w:sz w:val="20"/>
          <w:szCs w:val="20"/>
        </w:rPr>
        <w:t>ethods of a</w:t>
      </w:r>
      <w:r w:rsidR="00B30E07" w:rsidRPr="00931082">
        <w:rPr>
          <w:rFonts w:ascii="Arial" w:hAnsi="Arial" w:cs="Arial"/>
          <w:b/>
          <w:iCs/>
          <w:sz w:val="20"/>
          <w:szCs w:val="20"/>
        </w:rPr>
        <w:t>ssessment (section 13</w:t>
      </w:r>
      <w:r w:rsidR="00EF4933" w:rsidRPr="00931082">
        <w:rPr>
          <w:rFonts w:ascii="Arial" w:hAnsi="Arial" w:cs="Arial"/>
          <w:b/>
          <w:iCs/>
          <w:sz w:val="20"/>
          <w:szCs w:val="20"/>
        </w:rPr>
        <w:t>)</w:t>
      </w:r>
    </w:p>
    <w:p w14:paraId="376D43DF" w14:textId="77777777" w:rsidR="00BB686C" w:rsidRPr="00931082" w:rsidRDefault="00BB686C" w:rsidP="00BB686C">
      <w:pPr>
        <w:spacing w:after="120" w:line="240" w:lineRule="auto"/>
        <w:ind w:left="426" w:right="260"/>
        <w:jc w:val="both"/>
        <w:rPr>
          <w:rFonts w:ascii="Arial" w:hAnsi="Arial" w:cs="Arial"/>
          <w:b/>
          <w:iCs/>
          <w:sz w:val="20"/>
          <w:szCs w:val="20"/>
        </w:rPr>
      </w:pPr>
    </w:p>
    <w:tbl>
      <w:tblPr>
        <w:tblStyle w:val="TableGrid"/>
        <w:tblW w:w="4718" w:type="pct"/>
        <w:jc w:val="center"/>
        <w:tblLayout w:type="fixed"/>
        <w:tblLook w:val="04A0" w:firstRow="1" w:lastRow="0" w:firstColumn="1" w:lastColumn="0" w:noHBand="0" w:noVBand="1"/>
      </w:tblPr>
      <w:tblGrid>
        <w:gridCol w:w="2107"/>
        <w:gridCol w:w="517"/>
        <w:gridCol w:w="517"/>
        <w:gridCol w:w="517"/>
        <w:gridCol w:w="517"/>
        <w:gridCol w:w="519"/>
        <w:gridCol w:w="517"/>
        <w:gridCol w:w="517"/>
        <w:gridCol w:w="517"/>
        <w:gridCol w:w="517"/>
        <w:gridCol w:w="519"/>
        <w:gridCol w:w="517"/>
        <w:gridCol w:w="517"/>
        <w:gridCol w:w="517"/>
        <w:gridCol w:w="517"/>
        <w:gridCol w:w="517"/>
      </w:tblGrid>
      <w:tr w:rsidR="008F766B" w:rsidRPr="00931082" w14:paraId="2E3A0507" w14:textId="77777777" w:rsidTr="008F766B">
        <w:trPr>
          <w:trHeight w:val="538"/>
          <w:jc w:val="center"/>
        </w:trPr>
        <w:tc>
          <w:tcPr>
            <w:tcW w:w="1068" w:type="pct"/>
            <w:shd w:val="clear" w:color="auto" w:fill="D9D9D9" w:themeFill="background1" w:themeFillShade="D9"/>
            <w:vAlign w:val="center"/>
          </w:tcPr>
          <w:p w14:paraId="76DCEDE8" w14:textId="77777777" w:rsidR="008F766B" w:rsidRPr="00931082" w:rsidRDefault="008F766B" w:rsidP="008F766B">
            <w:pPr>
              <w:spacing w:after="120"/>
              <w:ind w:left="-14"/>
              <w:rPr>
                <w:rFonts w:ascii="Arial" w:hAnsi="Arial" w:cs="Arial"/>
                <w:b/>
                <w:sz w:val="20"/>
                <w:szCs w:val="20"/>
              </w:rPr>
            </w:pPr>
            <w:r w:rsidRPr="00931082">
              <w:rPr>
                <w:rFonts w:ascii="Arial" w:hAnsi="Arial" w:cs="Arial"/>
                <w:b/>
                <w:sz w:val="20"/>
                <w:szCs w:val="20"/>
              </w:rPr>
              <w:lastRenderedPageBreak/>
              <w:t>Module learning outcome</w:t>
            </w:r>
          </w:p>
        </w:tc>
        <w:tc>
          <w:tcPr>
            <w:tcW w:w="262" w:type="pct"/>
            <w:vAlign w:val="center"/>
          </w:tcPr>
          <w:p w14:paraId="51321020"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8.1</w:t>
            </w:r>
          </w:p>
        </w:tc>
        <w:tc>
          <w:tcPr>
            <w:tcW w:w="262" w:type="pct"/>
            <w:vAlign w:val="center"/>
          </w:tcPr>
          <w:p w14:paraId="08A17671"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8.2</w:t>
            </w:r>
          </w:p>
        </w:tc>
        <w:tc>
          <w:tcPr>
            <w:tcW w:w="262" w:type="pct"/>
            <w:vAlign w:val="center"/>
          </w:tcPr>
          <w:p w14:paraId="35498639"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8.3</w:t>
            </w:r>
          </w:p>
        </w:tc>
        <w:tc>
          <w:tcPr>
            <w:tcW w:w="262" w:type="pct"/>
            <w:vAlign w:val="center"/>
          </w:tcPr>
          <w:p w14:paraId="60AF02E2"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8.4</w:t>
            </w:r>
          </w:p>
        </w:tc>
        <w:tc>
          <w:tcPr>
            <w:tcW w:w="263" w:type="pct"/>
            <w:vAlign w:val="center"/>
          </w:tcPr>
          <w:p w14:paraId="350E9190"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8.5</w:t>
            </w:r>
          </w:p>
        </w:tc>
        <w:tc>
          <w:tcPr>
            <w:tcW w:w="262" w:type="pct"/>
            <w:vAlign w:val="center"/>
          </w:tcPr>
          <w:p w14:paraId="0AF305A7"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8.6</w:t>
            </w:r>
          </w:p>
        </w:tc>
        <w:tc>
          <w:tcPr>
            <w:tcW w:w="262" w:type="pct"/>
            <w:vAlign w:val="center"/>
          </w:tcPr>
          <w:p w14:paraId="282C7DF5"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8.7</w:t>
            </w:r>
          </w:p>
        </w:tc>
        <w:tc>
          <w:tcPr>
            <w:tcW w:w="262" w:type="pct"/>
            <w:vAlign w:val="center"/>
          </w:tcPr>
          <w:p w14:paraId="4DE8F2E0"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8.8</w:t>
            </w:r>
          </w:p>
        </w:tc>
        <w:tc>
          <w:tcPr>
            <w:tcW w:w="262" w:type="pct"/>
            <w:vAlign w:val="center"/>
          </w:tcPr>
          <w:p w14:paraId="7CBA512A"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9.1</w:t>
            </w:r>
          </w:p>
        </w:tc>
        <w:tc>
          <w:tcPr>
            <w:tcW w:w="263" w:type="pct"/>
            <w:vAlign w:val="center"/>
          </w:tcPr>
          <w:p w14:paraId="12C8B7A4"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9.2</w:t>
            </w:r>
          </w:p>
        </w:tc>
        <w:tc>
          <w:tcPr>
            <w:tcW w:w="262" w:type="pct"/>
            <w:vAlign w:val="center"/>
          </w:tcPr>
          <w:p w14:paraId="3939B9F6"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9.3</w:t>
            </w:r>
          </w:p>
        </w:tc>
        <w:tc>
          <w:tcPr>
            <w:tcW w:w="262" w:type="pct"/>
            <w:vAlign w:val="center"/>
          </w:tcPr>
          <w:p w14:paraId="769FF2B9" w14:textId="77777777"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9.4</w:t>
            </w:r>
          </w:p>
        </w:tc>
        <w:tc>
          <w:tcPr>
            <w:tcW w:w="262" w:type="pct"/>
            <w:vAlign w:val="center"/>
          </w:tcPr>
          <w:p w14:paraId="4941200D" w14:textId="48C4DC40"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w:t>
            </w:r>
            <w:r>
              <w:rPr>
                <w:rFonts w:ascii="Arial" w:hAnsi="Arial" w:cs="Arial"/>
                <w:sz w:val="20"/>
                <w:szCs w:val="20"/>
              </w:rPr>
              <w:t>5</w:t>
            </w:r>
          </w:p>
        </w:tc>
        <w:tc>
          <w:tcPr>
            <w:tcW w:w="262" w:type="pct"/>
            <w:vAlign w:val="center"/>
          </w:tcPr>
          <w:p w14:paraId="62776238" w14:textId="434252E6" w:rsidR="008F766B" w:rsidRPr="00931082" w:rsidRDefault="008F766B" w:rsidP="008F766B">
            <w:pPr>
              <w:spacing w:after="120"/>
              <w:jc w:val="center"/>
              <w:rPr>
                <w:rFonts w:ascii="Arial" w:hAnsi="Arial" w:cs="Arial"/>
                <w:sz w:val="20"/>
                <w:szCs w:val="20"/>
              </w:rPr>
            </w:pPr>
            <w:r w:rsidRPr="00931082">
              <w:rPr>
                <w:rFonts w:ascii="Arial" w:hAnsi="Arial" w:cs="Arial"/>
                <w:sz w:val="20"/>
                <w:szCs w:val="20"/>
              </w:rPr>
              <w:t>9.</w:t>
            </w:r>
            <w:r>
              <w:rPr>
                <w:rFonts w:ascii="Arial" w:hAnsi="Arial" w:cs="Arial"/>
                <w:sz w:val="20"/>
                <w:szCs w:val="20"/>
              </w:rPr>
              <w:t>6</w:t>
            </w:r>
          </w:p>
        </w:tc>
        <w:tc>
          <w:tcPr>
            <w:tcW w:w="263" w:type="pct"/>
            <w:vAlign w:val="center"/>
          </w:tcPr>
          <w:p w14:paraId="18FFF3D6" w14:textId="62731E9D"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9.7</w:t>
            </w:r>
          </w:p>
        </w:tc>
      </w:tr>
      <w:tr w:rsidR="008F766B" w:rsidRPr="00931082" w14:paraId="0461DA5E" w14:textId="77777777" w:rsidTr="008F766B">
        <w:trPr>
          <w:trHeight w:val="220"/>
          <w:jc w:val="center"/>
        </w:trPr>
        <w:tc>
          <w:tcPr>
            <w:tcW w:w="1068" w:type="pct"/>
            <w:shd w:val="clear" w:color="auto" w:fill="D9D9D9" w:themeFill="background1" w:themeFillShade="D9"/>
            <w:vAlign w:val="center"/>
          </w:tcPr>
          <w:p w14:paraId="02DF9E6F" w14:textId="77777777" w:rsidR="008F766B" w:rsidRPr="00931082" w:rsidRDefault="008F766B" w:rsidP="008F766B">
            <w:pPr>
              <w:spacing w:after="120"/>
              <w:rPr>
                <w:rFonts w:ascii="Arial" w:hAnsi="Arial" w:cs="Arial"/>
                <w:b/>
                <w:sz w:val="20"/>
                <w:szCs w:val="20"/>
              </w:rPr>
            </w:pPr>
            <w:r w:rsidRPr="00931082">
              <w:rPr>
                <w:rFonts w:ascii="Arial" w:hAnsi="Arial" w:cs="Arial"/>
                <w:b/>
                <w:sz w:val="20"/>
                <w:szCs w:val="20"/>
              </w:rPr>
              <w:t>Learning/ teaching method</w:t>
            </w:r>
          </w:p>
        </w:tc>
        <w:tc>
          <w:tcPr>
            <w:tcW w:w="262" w:type="pct"/>
            <w:vAlign w:val="center"/>
          </w:tcPr>
          <w:p w14:paraId="0C65253C"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1F522400"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2D3BC621"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692CA751" w14:textId="77777777" w:rsidR="008F766B" w:rsidRPr="00931082" w:rsidRDefault="008F766B" w:rsidP="008F766B">
            <w:pPr>
              <w:spacing w:after="120"/>
              <w:jc w:val="center"/>
              <w:rPr>
                <w:rFonts w:ascii="Arial" w:hAnsi="Arial" w:cs="Arial"/>
                <w:b/>
                <w:sz w:val="20"/>
                <w:szCs w:val="20"/>
              </w:rPr>
            </w:pPr>
          </w:p>
        </w:tc>
        <w:tc>
          <w:tcPr>
            <w:tcW w:w="263" w:type="pct"/>
            <w:vAlign w:val="center"/>
          </w:tcPr>
          <w:p w14:paraId="711BCBA1"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525FCD55"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40551ACF"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1BF24461"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3835F429" w14:textId="77777777" w:rsidR="008F766B" w:rsidRPr="00931082" w:rsidRDefault="008F766B" w:rsidP="008F766B">
            <w:pPr>
              <w:spacing w:after="120"/>
              <w:jc w:val="center"/>
              <w:rPr>
                <w:rFonts w:ascii="Arial" w:hAnsi="Arial" w:cs="Arial"/>
                <w:b/>
                <w:sz w:val="20"/>
                <w:szCs w:val="20"/>
              </w:rPr>
            </w:pPr>
          </w:p>
        </w:tc>
        <w:tc>
          <w:tcPr>
            <w:tcW w:w="263" w:type="pct"/>
            <w:vAlign w:val="center"/>
          </w:tcPr>
          <w:p w14:paraId="08E4A835"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4715AE87"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25D55081"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19D4381F" w14:textId="77777777" w:rsidR="008F766B" w:rsidRPr="00931082" w:rsidRDefault="008F766B" w:rsidP="008F766B">
            <w:pPr>
              <w:spacing w:after="120"/>
              <w:jc w:val="center"/>
              <w:rPr>
                <w:rFonts w:ascii="Arial" w:hAnsi="Arial" w:cs="Arial"/>
                <w:b/>
                <w:sz w:val="20"/>
                <w:szCs w:val="20"/>
              </w:rPr>
            </w:pPr>
          </w:p>
        </w:tc>
        <w:tc>
          <w:tcPr>
            <w:tcW w:w="262" w:type="pct"/>
            <w:vAlign w:val="center"/>
          </w:tcPr>
          <w:p w14:paraId="7D79C138" w14:textId="77777777" w:rsidR="008F766B" w:rsidRPr="00931082" w:rsidRDefault="008F766B" w:rsidP="008F766B">
            <w:pPr>
              <w:spacing w:after="120"/>
              <w:jc w:val="center"/>
              <w:rPr>
                <w:rFonts w:ascii="Arial" w:hAnsi="Arial" w:cs="Arial"/>
                <w:b/>
                <w:sz w:val="20"/>
                <w:szCs w:val="20"/>
              </w:rPr>
            </w:pPr>
          </w:p>
        </w:tc>
        <w:tc>
          <w:tcPr>
            <w:tcW w:w="263" w:type="pct"/>
            <w:vAlign w:val="center"/>
          </w:tcPr>
          <w:p w14:paraId="42F677E1" w14:textId="77777777" w:rsidR="008F766B" w:rsidRPr="00931082" w:rsidRDefault="008F766B" w:rsidP="008F766B">
            <w:pPr>
              <w:spacing w:after="120"/>
              <w:jc w:val="center"/>
              <w:rPr>
                <w:rFonts w:ascii="Arial" w:hAnsi="Arial" w:cs="Arial"/>
                <w:b/>
                <w:sz w:val="20"/>
                <w:szCs w:val="20"/>
              </w:rPr>
            </w:pPr>
          </w:p>
        </w:tc>
      </w:tr>
      <w:tr w:rsidR="008F766B" w:rsidRPr="00931082" w14:paraId="5FAEAB56" w14:textId="77777777" w:rsidTr="008F766B">
        <w:trPr>
          <w:trHeight w:val="484"/>
          <w:jc w:val="center"/>
        </w:trPr>
        <w:tc>
          <w:tcPr>
            <w:tcW w:w="1068" w:type="pct"/>
            <w:vAlign w:val="center"/>
          </w:tcPr>
          <w:p w14:paraId="390303A4" w14:textId="77777777" w:rsidR="008F766B" w:rsidRPr="008F766B" w:rsidRDefault="008F766B" w:rsidP="008F766B">
            <w:pPr>
              <w:spacing w:after="120"/>
              <w:rPr>
                <w:rFonts w:ascii="Arial" w:hAnsi="Arial" w:cs="Arial"/>
                <w:sz w:val="20"/>
                <w:szCs w:val="20"/>
              </w:rPr>
            </w:pPr>
            <w:r w:rsidRPr="008F766B">
              <w:rPr>
                <w:rFonts w:ascii="Arial" w:hAnsi="Arial" w:cs="Arial"/>
                <w:sz w:val="20"/>
                <w:szCs w:val="20"/>
              </w:rPr>
              <w:t>Private Study</w:t>
            </w:r>
          </w:p>
        </w:tc>
        <w:tc>
          <w:tcPr>
            <w:tcW w:w="262" w:type="pct"/>
            <w:vAlign w:val="center"/>
          </w:tcPr>
          <w:p w14:paraId="40BF7FC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D96AB6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83B20CE"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F665F1F"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555BEB66"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262784E"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56AE106A"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EB8A8AB"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D2B931F"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4BB7CE6C"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576EDFB"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E94B3D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0C1C753"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25087CA4"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51A26FFA"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r>
      <w:tr w:rsidR="008F766B" w:rsidRPr="00931082" w14:paraId="6251ADB7" w14:textId="77777777" w:rsidTr="008F766B">
        <w:trPr>
          <w:trHeight w:val="420"/>
          <w:jc w:val="center"/>
        </w:trPr>
        <w:tc>
          <w:tcPr>
            <w:tcW w:w="1068" w:type="pct"/>
            <w:vAlign w:val="center"/>
          </w:tcPr>
          <w:p w14:paraId="4AEFFEC6" w14:textId="77777777" w:rsidR="008F766B" w:rsidRPr="00BA3506" w:rsidRDefault="008F766B" w:rsidP="008F766B">
            <w:pPr>
              <w:spacing w:after="120"/>
              <w:rPr>
                <w:rFonts w:ascii="Arial" w:hAnsi="Arial" w:cs="Arial"/>
                <w:i/>
                <w:sz w:val="20"/>
                <w:szCs w:val="20"/>
              </w:rPr>
            </w:pPr>
            <w:r w:rsidRPr="008F766B">
              <w:rPr>
                <w:rFonts w:ascii="Arial" w:hAnsi="Arial" w:cs="Arial"/>
                <w:sz w:val="20"/>
                <w:szCs w:val="20"/>
              </w:rPr>
              <w:t>Seminars</w:t>
            </w:r>
          </w:p>
        </w:tc>
        <w:tc>
          <w:tcPr>
            <w:tcW w:w="262" w:type="pct"/>
            <w:vAlign w:val="center"/>
          </w:tcPr>
          <w:p w14:paraId="4FA85DB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920FDE5"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51B8F2B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F432221"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0D811DD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2D61758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EE68208"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C17130C"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5C42784B"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7D0DB34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1A3A96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EA76D2C"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76E0A1C"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2386778A"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78A4B8C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r>
      <w:tr w:rsidR="008F766B" w:rsidRPr="00931082" w14:paraId="2360BCA8" w14:textId="77777777" w:rsidTr="008F766B">
        <w:trPr>
          <w:trHeight w:val="696"/>
          <w:jc w:val="center"/>
        </w:trPr>
        <w:tc>
          <w:tcPr>
            <w:tcW w:w="1068" w:type="pct"/>
            <w:shd w:val="clear" w:color="auto" w:fill="D9D9D9" w:themeFill="background1" w:themeFillShade="D9"/>
            <w:vAlign w:val="center"/>
          </w:tcPr>
          <w:p w14:paraId="72823665" w14:textId="77777777" w:rsidR="008F766B" w:rsidRPr="00931082" w:rsidRDefault="008F766B" w:rsidP="008F766B">
            <w:pPr>
              <w:spacing w:after="120"/>
              <w:rPr>
                <w:rFonts w:ascii="Arial" w:hAnsi="Arial" w:cs="Arial"/>
                <w:b/>
                <w:sz w:val="20"/>
                <w:szCs w:val="20"/>
              </w:rPr>
            </w:pPr>
            <w:r w:rsidRPr="00931082">
              <w:rPr>
                <w:rFonts w:ascii="Arial" w:hAnsi="Arial" w:cs="Arial"/>
                <w:b/>
                <w:sz w:val="20"/>
                <w:szCs w:val="20"/>
              </w:rPr>
              <w:t>Assessment method</w:t>
            </w:r>
          </w:p>
        </w:tc>
        <w:tc>
          <w:tcPr>
            <w:tcW w:w="262" w:type="pct"/>
            <w:vAlign w:val="center"/>
          </w:tcPr>
          <w:p w14:paraId="740414BA"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5B9C2665"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1079D03A"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2C360B40" w14:textId="77777777" w:rsidR="008F766B" w:rsidRPr="008F766B" w:rsidRDefault="008F766B" w:rsidP="008F766B">
            <w:pPr>
              <w:spacing w:after="120"/>
              <w:jc w:val="center"/>
              <w:rPr>
                <w:rFonts w:ascii="Arial" w:hAnsi="Arial" w:cs="Arial"/>
                <w:sz w:val="20"/>
                <w:szCs w:val="20"/>
              </w:rPr>
            </w:pPr>
          </w:p>
        </w:tc>
        <w:tc>
          <w:tcPr>
            <w:tcW w:w="263" w:type="pct"/>
            <w:vAlign w:val="center"/>
          </w:tcPr>
          <w:p w14:paraId="305A6959"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17883FAB"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60FF4FC5"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3DA431CD"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5F175B44" w14:textId="77777777" w:rsidR="008F766B" w:rsidRPr="008F766B" w:rsidRDefault="008F766B" w:rsidP="008F766B">
            <w:pPr>
              <w:spacing w:after="120"/>
              <w:jc w:val="center"/>
              <w:rPr>
                <w:rFonts w:ascii="Arial" w:hAnsi="Arial" w:cs="Arial"/>
                <w:sz w:val="20"/>
                <w:szCs w:val="20"/>
              </w:rPr>
            </w:pPr>
          </w:p>
        </w:tc>
        <w:tc>
          <w:tcPr>
            <w:tcW w:w="263" w:type="pct"/>
            <w:vAlign w:val="center"/>
          </w:tcPr>
          <w:p w14:paraId="1E1518B8"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2A621C98"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10EFAD37"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62CBD51E" w14:textId="77777777" w:rsidR="008F766B" w:rsidRPr="008F766B" w:rsidRDefault="008F766B" w:rsidP="008F766B">
            <w:pPr>
              <w:spacing w:after="120"/>
              <w:jc w:val="center"/>
              <w:rPr>
                <w:rFonts w:ascii="Arial" w:hAnsi="Arial" w:cs="Arial"/>
                <w:sz w:val="20"/>
                <w:szCs w:val="20"/>
              </w:rPr>
            </w:pPr>
          </w:p>
        </w:tc>
        <w:tc>
          <w:tcPr>
            <w:tcW w:w="262" w:type="pct"/>
            <w:vAlign w:val="center"/>
          </w:tcPr>
          <w:p w14:paraId="40BBCEB8" w14:textId="77777777" w:rsidR="008F766B" w:rsidRPr="008F766B" w:rsidRDefault="008F766B" w:rsidP="008F766B">
            <w:pPr>
              <w:spacing w:after="120"/>
              <w:jc w:val="center"/>
              <w:rPr>
                <w:rFonts w:ascii="Arial" w:hAnsi="Arial" w:cs="Arial"/>
                <w:sz w:val="20"/>
                <w:szCs w:val="20"/>
              </w:rPr>
            </w:pPr>
          </w:p>
        </w:tc>
        <w:tc>
          <w:tcPr>
            <w:tcW w:w="263" w:type="pct"/>
            <w:vAlign w:val="center"/>
          </w:tcPr>
          <w:p w14:paraId="7FF6351E" w14:textId="77777777" w:rsidR="008F766B" w:rsidRPr="008F766B" w:rsidRDefault="008F766B" w:rsidP="008F766B">
            <w:pPr>
              <w:spacing w:after="120"/>
              <w:jc w:val="center"/>
              <w:rPr>
                <w:rFonts w:ascii="Arial" w:hAnsi="Arial" w:cs="Arial"/>
                <w:sz w:val="20"/>
                <w:szCs w:val="20"/>
              </w:rPr>
            </w:pPr>
          </w:p>
        </w:tc>
      </w:tr>
      <w:tr w:rsidR="008F766B" w:rsidRPr="00931082" w14:paraId="52F7ED9A" w14:textId="77777777" w:rsidTr="008F766B">
        <w:trPr>
          <w:trHeight w:val="879"/>
          <w:jc w:val="center"/>
        </w:trPr>
        <w:tc>
          <w:tcPr>
            <w:tcW w:w="1068" w:type="pct"/>
            <w:vAlign w:val="center"/>
          </w:tcPr>
          <w:p w14:paraId="51323D24" w14:textId="3DA31693" w:rsidR="008F766B" w:rsidRPr="008F766B" w:rsidRDefault="008F766B" w:rsidP="006B6E82">
            <w:pPr>
              <w:spacing w:after="120"/>
              <w:rPr>
                <w:rFonts w:ascii="Arial" w:hAnsi="Arial" w:cs="Arial"/>
                <w:sz w:val="20"/>
                <w:szCs w:val="20"/>
              </w:rPr>
            </w:pPr>
            <w:r w:rsidRPr="008F766B">
              <w:rPr>
                <w:rFonts w:ascii="Arial" w:hAnsi="Arial" w:cs="Arial"/>
                <w:sz w:val="20"/>
                <w:szCs w:val="20"/>
              </w:rPr>
              <w:t>Module Blogs</w:t>
            </w:r>
            <w:r w:rsidR="006B6E82">
              <w:rPr>
                <w:rFonts w:ascii="Arial" w:hAnsi="Arial" w:cs="Arial"/>
                <w:sz w:val="20"/>
                <w:szCs w:val="20"/>
              </w:rPr>
              <w:t xml:space="preserve"> </w:t>
            </w:r>
          </w:p>
        </w:tc>
        <w:tc>
          <w:tcPr>
            <w:tcW w:w="262" w:type="pct"/>
            <w:vAlign w:val="center"/>
          </w:tcPr>
          <w:p w14:paraId="01234CA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241372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5AEDB6BF"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C88B20C"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53236F71"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1773046"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2483A853"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9DD4926"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94C1E34"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282FA435"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6BB4DA2"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A9E2B87"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A73D7D4"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92B945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47E5B906"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r>
      <w:tr w:rsidR="008F766B" w:rsidRPr="00931082" w14:paraId="0C118B48" w14:textId="77777777" w:rsidTr="008F766B">
        <w:trPr>
          <w:trHeight w:val="879"/>
          <w:jc w:val="center"/>
        </w:trPr>
        <w:tc>
          <w:tcPr>
            <w:tcW w:w="1068" w:type="pct"/>
            <w:vAlign w:val="center"/>
          </w:tcPr>
          <w:p w14:paraId="0C62FF4C" w14:textId="35356E3C" w:rsidR="008F766B" w:rsidRPr="008F766B" w:rsidRDefault="006B6E82" w:rsidP="008F766B">
            <w:pPr>
              <w:spacing w:after="120"/>
              <w:rPr>
                <w:rFonts w:ascii="Arial" w:hAnsi="Arial" w:cs="Arial"/>
                <w:sz w:val="20"/>
                <w:szCs w:val="20"/>
              </w:rPr>
            </w:pPr>
            <w:r>
              <w:rPr>
                <w:rFonts w:ascii="Arial" w:hAnsi="Arial" w:cs="Arial"/>
                <w:sz w:val="20"/>
                <w:szCs w:val="20"/>
              </w:rPr>
              <w:t>Research E</w:t>
            </w:r>
            <w:r w:rsidR="008F766B" w:rsidRPr="008F766B">
              <w:rPr>
                <w:rFonts w:ascii="Arial" w:hAnsi="Arial" w:cs="Arial"/>
                <w:sz w:val="20"/>
                <w:szCs w:val="20"/>
              </w:rPr>
              <w:t>ssay</w:t>
            </w:r>
            <w:r>
              <w:rPr>
                <w:rFonts w:ascii="Arial" w:hAnsi="Arial" w:cs="Arial"/>
                <w:sz w:val="20"/>
                <w:szCs w:val="20"/>
              </w:rPr>
              <w:t xml:space="preserve"> </w:t>
            </w:r>
          </w:p>
        </w:tc>
        <w:tc>
          <w:tcPr>
            <w:tcW w:w="262" w:type="pct"/>
            <w:vAlign w:val="center"/>
          </w:tcPr>
          <w:p w14:paraId="150CE8A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2B45114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3B396E6"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6BB0B671"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7553F26D"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08836A9"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74A5BCFF"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550670B"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88DD3C2"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04018D40"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4A948693"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3EFB8354"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199F05F1"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2" w:type="pct"/>
            <w:vAlign w:val="center"/>
          </w:tcPr>
          <w:p w14:paraId="04B3A793"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c>
          <w:tcPr>
            <w:tcW w:w="263" w:type="pct"/>
            <w:vAlign w:val="center"/>
          </w:tcPr>
          <w:p w14:paraId="7B306EA4" w14:textId="77777777" w:rsidR="008F766B" w:rsidRPr="008F766B" w:rsidRDefault="008F766B" w:rsidP="008F766B">
            <w:pPr>
              <w:spacing w:after="120"/>
              <w:jc w:val="center"/>
              <w:rPr>
                <w:rFonts w:ascii="Arial" w:hAnsi="Arial" w:cs="Arial"/>
                <w:sz w:val="20"/>
                <w:szCs w:val="20"/>
              </w:rPr>
            </w:pPr>
            <w:r w:rsidRPr="008F766B">
              <w:rPr>
                <w:rFonts w:ascii="Arial" w:hAnsi="Arial" w:cs="Arial"/>
                <w:sz w:val="20"/>
                <w:szCs w:val="20"/>
              </w:rPr>
              <w:t>x</w:t>
            </w:r>
          </w:p>
        </w:tc>
      </w:tr>
    </w:tbl>
    <w:p w14:paraId="18190CD2" w14:textId="77777777" w:rsidR="003719A2" w:rsidRPr="00931082" w:rsidRDefault="003719A2" w:rsidP="003719A2">
      <w:pPr>
        <w:spacing w:after="120" w:line="240" w:lineRule="auto"/>
        <w:ind w:left="426" w:right="260"/>
        <w:jc w:val="both"/>
        <w:rPr>
          <w:rFonts w:ascii="Arial" w:hAnsi="Arial" w:cs="Arial"/>
          <w:iCs/>
          <w:sz w:val="20"/>
          <w:szCs w:val="20"/>
        </w:rPr>
      </w:pPr>
    </w:p>
    <w:p w14:paraId="140D8898" w14:textId="77777777" w:rsidR="00D50113" w:rsidRPr="00931082" w:rsidRDefault="002A7F48" w:rsidP="00466960">
      <w:pPr>
        <w:numPr>
          <w:ilvl w:val="0"/>
          <w:numId w:val="1"/>
        </w:numPr>
        <w:spacing w:after="120" w:line="240" w:lineRule="auto"/>
        <w:ind w:left="426" w:right="260" w:hanging="426"/>
        <w:jc w:val="both"/>
        <w:rPr>
          <w:rFonts w:ascii="Arial" w:hAnsi="Arial" w:cs="Arial"/>
          <w:iCs/>
          <w:sz w:val="20"/>
          <w:szCs w:val="20"/>
        </w:rPr>
      </w:pPr>
      <w:r w:rsidRPr="00931082">
        <w:rPr>
          <w:rFonts w:ascii="Arial" w:hAnsi="Arial" w:cs="Arial"/>
          <w:b/>
          <w:bCs/>
          <w:sz w:val="20"/>
          <w:szCs w:val="20"/>
        </w:rPr>
        <w:t>Inclusive m</w:t>
      </w:r>
      <w:r w:rsidR="00D50113" w:rsidRPr="00931082">
        <w:rPr>
          <w:rFonts w:ascii="Arial" w:hAnsi="Arial" w:cs="Arial"/>
          <w:b/>
          <w:bCs/>
          <w:sz w:val="20"/>
          <w:szCs w:val="20"/>
        </w:rPr>
        <w:t xml:space="preserve">odule </w:t>
      </w:r>
      <w:r w:rsidRPr="00931082">
        <w:rPr>
          <w:rFonts w:ascii="Arial" w:hAnsi="Arial" w:cs="Arial"/>
          <w:b/>
          <w:bCs/>
          <w:sz w:val="20"/>
          <w:szCs w:val="20"/>
        </w:rPr>
        <w:t>d</w:t>
      </w:r>
      <w:r w:rsidR="00D50113" w:rsidRPr="00931082">
        <w:rPr>
          <w:rFonts w:ascii="Arial" w:hAnsi="Arial" w:cs="Arial"/>
          <w:b/>
          <w:bCs/>
          <w:sz w:val="20"/>
          <w:szCs w:val="20"/>
        </w:rPr>
        <w:t xml:space="preserve">esign </w:t>
      </w:r>
    </w:p>
    <w:p w14:paraId="663DDA73" w14:textId="77777777" w:rsidR="00866FE8" w:rsidRPr="00931082" w:rsidRDefault="00866FE8" w:rsidP="00466960">
      <w:pPr>
        <w:spacing w:after="120" w:line="240" w:lineRule="auto"/>
        <w:ind w:left="426" w:right="260"/>
        <w:jc w:val="both"/>
        <w:rPr>
          <w:rFonts w:ascii="Arial" w:hAnsi="Arial" w:cs="Arial"/>
          <w:sz w:val="20"/>
          <w:szCs w:val="20"/>
        </w:rPr>
      </w:pPr>
      <w:r w:rsidRPr="0093108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 / declared disabilities will be made on an individual basis, in consultation with the relevant policies and support services.</w:t>
      </w:r>
    </w:p>
    <w:p w14:paraId="6DF2668F" w14:textId="77777777" w:rsidR="00866FE8" w:rsidRPr="00931082" w:rsidRDefault="00866FE8" w:rsidP="00466960">
      <w:pPr>
        <w:spacing w:after="120" w:line="240" w:lineRule="auto"/>
        <w:ind w:left="426" w:right="260"/>
        <w:jc w:val="both"/>
        <w:rPr>
          <w:rFonts w:ascii="Arial" w:hAnsi="Arial" w:cs="Arial"/>
          <w:sz w:val="20"/>
          <w:szCs w:val="20"/>
        </w:rPr>
      </w:pPr>
    </w:p>
    <w:p w14:paraId="075574AA" w14:textId="77777777" w:rsidR="00866FE8" w:rsidRPr="00931082" w:rsidRDefault="00866FE8" w:rsidP="00466960">
      <w:pPr>
        <w:spacing w:after="120" w:line="240" w:lineRule="auto"/>
        <w:ind w:left="426" w:right="260"/>
        <w:jc w:val="both"/>
        <w:rPr>
          <w:rFonts w:ascii="Arial" w:hAnsi="Arial" w:cs="Arial"/>
          <w:sz w:val="20"/>
          <w:szCs w:val="20"/>
        </w:rPr>
      </w:pPr>
      <w:r w:rsidRPr="00931082">
        <w:rPr>
          <w:rFonts w:ascii="Arial" w:hAnsi="Arial" w:cs="Arial"/>
          <w:sz w:val="20"/>
          <w:szCs w:val="20"/>
        </w:rPr>
        <w:t>The inclusive practices in the guidance (see Annex B Appendix A) have been considered in order to support all students in the following areas:</w:t>
      </w:r>
    </w:p>
    <w:p w14:paraId="746942D8" w14:textId="77777777" w:rsidR="00866FE8" w:rsidRPr="00931082" w:rsidRDefault="00866FE8" w:rsidP="00466960">
      <w:pPr>
        <w:spacing w:after="120" w:line="240" w:lineRule="auto"/>
        <w:ind w:left="426" w:right="260"/>
        <w:jc w:val="both"/>
        <w:rPr>
          <w:rFonts w:ascii="Arial" w:hAnsi="Arial" w:cs="Arial"/>
          <w:sz w:val="20"/>
          <w:szCs w:val="20"/>
        </w:rPr>
      </w:pPr>
    </w:p>
    <w:p w14:paraId="0536554E" w14:textId="77777777" w:rsidR="00866FE8" w:rsidRPr="008F766B" w:rsidRDefault="00866FE8" w:rsidP="00466960">
      <w:pPr>
        <w:spacing w:after="120" w:line="240" w:lineRule="auto"/>
        <w:ind w:left="426" w:right="260"/>
        <w:jc w:val="both"/>
        <w:rPr>
          <w:rFonts w:ascii="Arial" w:hAnsi="Arial" w:cs="Arial"/>
          <w:b/>
          <w:sz w:val="20"/>
          <w:szCs w:val="20"/>
        </w:rPr>
      </w:pPr>
      <w:r w:rsidRPr="008F766B">
        <w:rPr>
          <w:rFonts w:ascii="Arial" w:hAnsi="Arial" w:cs="Arial"/>
          <w:b/>
          <w:sz w:val="20"/>
          <w:szCs w:val="20"/>
        </w:rPr>
        <w:t>a) Accessible resources and curriculum</w:t>
      </w:r>
    </w:p>
    <w:p w14:paraId="10733621" w14:textId="1FCA1821" w:rsidR="00866FE8" w:rsidRPr="008F766B" w:rsidRDefault="00866FE8" w:rsidP="00466960">
      <w:pPr>
        <w:pStyle w:val="ListParagraph"/>
        <w:numPr>
          <w:ilvl w:val="0"/>
          <w:numId w:val="12"/>
        </w:numPr>
        <w:spacing w:after="120" w:line="240" w:lineRule="auto"/>
        <w:ind w:left="993" w:right="260"/>
        <w:jc w:val="both"/>
        <w:rPr>
          <w:rFonts w:ascii="Arial" w:hAnsi="Arial" w:cs="Arial"/>
          <w:sz w:val="20"/>
          <w:szCs w:val="20"/>
        </w:rPr>
      </w:pPr>
      <w:r w:rsidRPr="008F766B">
        <w:rPr>
          <w:rFonts w:ascii="Arial" w:hAnsi="Arial" w:cs="Arial"/>
          <w:sz w:val="20"/>
          <w:szCs w:val="20"/>
        </w:rPr>
        <w:t>Preference will be given to electronic resources that meet minimum accessibility standards and support the use of assistive technologies.</w:t>
      </w:r>
    </w:p>
    <w:p w14:paraId="2EF04A95" w14:textId="679E25B7" w:rsidR="00866FE8" w:rsidRPr="008F766B" w:rsidRDefault="00866FE8" w:rsidP="00466960">
      <w:pPr>
        <w:pStyle w:val="ListParagraph"/>
        <w:numPr>
          <w:ilvl w:val="0"/>
          <w:numId w:val="12"/>
        </w:numPr>
        <w:spacing w:after="120" w:line="240" w:lineRule="auto"/>
        <w:ind w:left="993" w:right="260"/>
        <w:jc w:val="both"/>
        <w:rPr>
          <w:rFonts w:ascii="Arial" w:hAnsi="Arial" w:cs="Arial"/>
          <w:sz w:val="20"/>
          <w:szCs w:val="20"/>
        </w:rPr>
      </w:pPr>
      <w:r w:rsidRPr="008F766B">
        <w:rPr>
          <w:rFonts w:ascii="Arial" w:hAnsi="Arial" w:cs="Arial"/>
          <w:sz w:val="20"/>
          <w:szCs w:val="20"/>
        </w:rPr>
        <w:t xml:space="preserve">Module outlines will be made accessible before the module starts. </w:t>
      </w:r>
    </w:p>
    <w:p w14:paraId="536A119E" w14:textId="1AD0EEA6" w:rsidR="00866FE8" w:rsidRPr="008F766B" w:rsidRDefault="00866FE8" w:rsidP="00466960">
      <w:pPr>
        <w:pStyle w:val="ListParagraph"/>
        <w:numPr>
          <w:ilvl w:val="0"/>
          <w:numId w:val="12"/>
        </w:numPr>
        <w:spacing w:after="120" w:line="240" w:lineRule="auto"/>
        <w:ind w:left="993" w:right="260"/>
        <w:jc w:val="both"/>
        <w:rPr>
          <w:rFonts w:ascii="Arial" w:hAnsi="Arial" w:cs="Arial"/>
          <w:sz w:val="20"/>
          <w:szCs w:val="20"/>
        </w:rPr>
      </w:pPr>
      <w:r w:rsidRPr="008F766B">
        <w:rPr>
          <w:rFonts w:ascii="Arial" w:hAnsi="Arial" w:cs="Arial"/>
          <w:sz w:val="20"/>
          <w:szCs w:val="20"/>
        </w:rPr>
        <w:t xml:space="preserve">Prioritised reading will be specified sufficiently in advance to accommodate the provision of alternative formats and support those with a slow reading speed. </w:t>
      </w:r>
    </w:p>
    <w:p w14:paraId="31C45C9C" w14:textId="71ABB022" w:rsidR="00931082" w:rsidRPr="008F766B" w:rsidRDefault="00866FE8" w:rsidP="00466960">
      <w:pPr>
        <w:pStyle w:val="ListParagraph"/>
        <w:numPr>
          <w:ilvl w:val="0"/>
          <w:numId w:val="12"/>
        </w:numPr>
        <w:spacing w:after="120" w:line="240" w:lineRule="auto"/>
        <w:ind w:left="993" w:right="260"/>
        <w:jc w:val="both"/>
        <w:rPr>
          <w:rFonts w:ascii="Arial" w:hAnsi="Arial" w:cs="Arial"/>
          <w:sz w:val="20"/>
          <w:szCs w:val="20"/>
        </w:rPr>
      </w:pPr>
      <w:r w:rsidRPr="008F766B">
        <w:rPr>
          <w:rFonts w:ascii="Arial" w:hAnsi="Arial" w:cs="Arial"/>
          <w:sz w:val="20"/>
          <w:szCs w:val="20"/>
        </w:rPr>
        <w:t>Lecture/seminar slides/outlines will be made available in electronic format in advance to allow all students to prepare (particularly students with notetaking difficulties)</w:t>
      </w:r>
    </w:p>
    <w:p w14:paraId="4C365A5E" w14:textId="0C9D697A" w:rsidR="00931082" w:rsidRPr="008F766B" w:rsidRDefault="00931082" w:rsidP="00466960">
      <w:pPr>
        <w:pStyle w:val="ListParagraph"/>
        <w:numPr>
          <w:ilvl w:val="0"/>
          <w:numId w:val="12"/>
        </w:numPr>
        <w:spacing w:after="120" w:line="240" w:lineRule="auto"/>
        <w:ind w:left="993" w:right="260"/>
        <w:jc w:val="both"/>
        <w:rPr>
          <w:rFonts w:ascii="Arial" w:hAnsi="Arial" w:cs="Arial"/>
          <w:sz w:val="20"/>
          <w:szCs w:val="20"/>
        </w:rPr>
      </w:pPr>
      <w:r w:rsidRPr="008F766B">
        <w:rPr>
          <w:rFonts w:ascii="Arial" w:hAnsi="Arial" w:cs="Arial"/>
          <w:sz w:val="20"/>
          <w:szCs w:val="20"/>
        </w:rPr>
        <w:t>In accordance with the KLS school-level statement on Lecture Capture, the lecture/seminars will not be recorded as they are heavily discussion-based.</w:t>
      </w:r>
    </w:p>
    <w:p w14:paraId="5DFA4830" w14:textId="77777777" w:rsidR="00866FE8" w:rsidRPr="00931082" w:rsidRDefault="00866FE8" w:rsidP="00466960">
      <w:pPr>
        <w:spacing w:after="120" w:line="240" w:lineRule="auto"/>
        <w:ind w:left="426" w:right="260"/>
        <w:jc w:val="both"/>
        <w:rPr>
          <w:rFonts w:ascii="Arial" w:hAnsi="Arial" w:cs="Arial"/>
          <w:sz w:val="20"/>
          <w:szCs w:val="20"/>
        </w:rPr>
      </w:pPr>
    </w:p>
    <w:p w14:paraId="65B02FE7" w14:textId="77777777" w:rsidR="00866FE8" w:rsidRPr="008F766B" w:rsidRDefault="00866FE8" w:rsidP="00466960">
      <w:pPr>
        <w:spacing w:after="120" w:line="240" w:lineRule="auto"/>
        <w:ind w:left="426" w:right="260"/>
        <w:jc w:val="both"/>
        <w:rPr>
          <w:rFonts w:ascii="Arial" w:hAnsi="Arial" w:cs="Arial"/>
          <w:b/>
          <w:sz w:val="20"/>
          <w:szCs w:val="20"/>
        </w:rPr>
      </w:pPr>
      <w:r w:rsidRPr="008F766B">
        <w:rPr>
          <w:rFonts w:ascii="Arial" w:hAnsi="Arial" w:cs="Arial"/>
          <w:b/>
          <w:sz w:val="20"/>
          <w:szCs w:val="20"/>
        </w:rPr>
        <w:t>b) Learning, teaching and assessment methods</w:t>
      </w:r>
    </w:p>
    <w:p w14:paraId="332AA249" w14:textId="77777777" w:rsidR="00866FE8" w:rsidRPr="00931082" w:rsidRDefault="00866FE8" w:rsidP="00466960">
      <w:pPr>
        <w:spacing w:after="120" w:line="240" w:lineRule="auto"/>
        <w:ind w:left="426" w:right="260"/>
        <w:jc w:val="both"/>
        <w:rPr>
          <w:rFonts w:ascii="Arial" w:hAnsi="Arial" w:cs="Arial"/>
          <w:sz w:val="20"/>
          <w:szCs w:val="20"/>
        </w:rPr>
      </w:pPr>
      <w:r w:rsidRPr="00931082">
        <w:rPr>
          <w:rFonts w:ascii="Arial" w:hAnsi="Arial" w:cs="Arial"/>
          <w:sz w:val="20"/>
          <w:szCs w:val="20"/>
        </w:rPr>
        <w:t>The inclusive practices in the guidance (Annex B Appendix A, section b (1) and (2)) have all been considered in order to support all students in their assessments on this module.</w:t>
      </w:r>
    </w:p>
    <w:p w14:paraId="05A09D8B" w14:textId="77777777" w:rsidR="00D50113" w:rsidRPr="00931082" w:rsidRDefault="00D50113" w:rsidP="00D50113">
      <w:pPr>
        <w:spacing w:after="120" w:line="240" w:lineRule="auto"/>
        <w:ind w:left="426" w:right="260"/>
        <w:rPr>
          <w:rFonts w:ascii="Arial" w:hAnsi="Arial" w:cs="Arial"/>
          <w:iCs/>
          <w:sz w:val="20"/>
          <w:szCs w:val="20"/>
        </w:rPr>
      </w:pPr>
    </w:p>
    <w:p w14:paraId="7DC89ADC" w14:textId="77777777" w:rsidR="009A2D37" w:rsidRPr="00931082" w:rsidRDefault="002A7F48" w:rsidP="00D50113">
      <w:pPr>
        <w:numPr>
          <w:ilvl w:val="0"/>
          <w:numId w:val="1"/>
        </w:numPr>
        <w:spacing w:after="120" w:line="240" w:lineRule="auto"/>
        <w:ind w:left="426" w:right="260" w:hanging="426"/>
        <w:jc w:val="both"/>
        <w:rPr>
          <w:rFonts w:ascii="Arial" w:hAnsi="Arial" w:cs="Arial"/>
          <w:b/>
          <w:sz w:val="20"/>
          <w:szCs w:val="20"/>
        </w:rPr>
      </w:pPr>
      <w:r w:rsidRPr="00931082">
        <w:rPr>
          <w:rFonts w:ascii="Arial" w:hAnsi="Arial" w:cs="Arial"/>
          <w:b/>
          <w:sz w:val="20"/>
          <w:szCs w:val="20"/>
        </w:rPr>
        <w:t>Campus(es) or c</w:t>
      </w:r>
      <w:r w:rsidR="009A2D37" w:rsidRPr="00931082">
        <w:rPr>
          <w:rFonts w:ascii="Arial" w:hAnsi="Arial" w:cs="Arial"/>
          <w:b/>
          <w:sz w:val="20"/>
          <w:szCs w:val="20"/>
        </w:rPr>
        <w:t>entre(s) w</w:t>
      </w:r>
      <w:r w:rsidRPr="00931082">
        <w:rPr>
          <w:rFonts w:ascii="Arial" w:hAnsi="Arial" w:cs="Arial"/>
          <w:b/>
          <w:sz w:val="20"/>
          <w:szCs w:val="20"/>
        </w:rPr>
        <w:t>here module will be delivered</w:t>
      </w:r>
    </w:p>
    <w:p w14:paraId="13E9E110" w14:textId="459AF8B5" w:rsidR="00391E7B" w:rsidRPr="00931082" w:rsidRDefault="008A6451" w:rsidP="004D1D77">
      <w:pPr>
        <w:spacing w:after="120" w:line="240" w:lineRule="auto"/>
        <w:ind w:right="260" w:firstLine="425"/>
        <w:jc w:val="both"/>
        <w:rPr>
          <w:rFonts w:ascii="Arial" w:hAnsi="Arial" w:cs="Arial"/>
          <w:sz w:val="20"/>
          <w:szCs w:val="20"/>
        </w:rPr>
      </w:pPr>
      <w:r w:rsidRPr="00931082">
        <w:rPr>
          <w:rFonts w:ascii="Arial" w:hAnsi="Arial" w:cs="Arial"/>
          <w:sz w:val="20"/>
          <w:szCs w:val="20"/>
        </w:rPr>
        <w:t xml:space="preserve">Canterbury or </w:t>
      </w:r>
      <w:r w:rsidR="00466960">
        <w:rPr>
          <w:rFonts w:ascii="Arial" w:hAnsi="Arial" w:cs="Arial"/>
          <w:sz w:val="20"/>
          <w:szCs w:val="20"/>
        </w:rPr>
        <w:t>Paris</w:t>
      </w:r>
    </w:p>
    <w:p w14:paraId="0E6BCF19" w14:textId="77777777" w:rsidR="003719A2" w:rsidRPr="00931082" w:rsidRDefault="003719A2" w:rsidP="002A7F48">
      <w:pPr>
        <w:spacing w:after="120" w:line="240" w:lineRule="auto"/>
        <w:ind w:left="426" w:right="260"/>
        <w:jc w:val="both"/>
        <w:rPr>
          <w:rFonts w:ascii="Arial" w:hAnsi="Arial" w:cs="Arial"/>
          <w:sz w:val="20"/>
          <w:szCs w:val="20"/>
        </w:rPr>
      </w:pPr>
    </w:p>
    <w:p w14:paraId="58F4B2F8" w14:textId="77777777" w:rsidR="002A7F48" w:rsidRPr="00931082" w:rsidRDefault="002A7F48" w:rsidP="002A7F48">
      <w:pPr>
        <w:numPr>
          <w:ilvl w:val="0"/>
          <w:numId w:val="1"/>
        </w:numPr>
        <w:spacing w:after="120" w:line="240" w:lineRule="auto"/>
        <w:ind w:left="425" w:right="261" w:hanging="426"/>
        <w:jc w:val="both"/>
        <w:rPr>
          <w:rFonts w:ascii="Arial" w:hAnsi="Arial" w:cs="Arial"/>
          <w:b/>
          <w:sz w:val="20"/>
          <w:szCs w:val="20"/>
        </w:rPr>
      </w:pPr>
      <w:r w:rsidRPr="00931082">
        <w:rPr>
          <w:rFonts w:ascii="Arial" w:hAnsi="Arial" w:cs="Arial"/>
          <w:b/>
          <w:sz w:val="20"/>
          <w:szCs w:val="20"/>
        </w:rPr>
        <w:t xml:space="preserve">Internationalisation </w:t>
      </w:r>
    </w:p>
    <w:p w14:paraId="3E82B979" w14:textId="6A5E97D3" w:rsidR="009A2D37" w:rsidRDefault="00866FE8" w:rsidP="00866FE8">
      <w:pPr>
        <w:spacing w:after="120" w:line="240" w:lineRule="auto"/>
        <w:ind w:left="426" w:right="260"/>
        <w:rPr>
          <w:rFonts w:ascii="Arial" w:hAnsi="Arial" w:cs="Arial"/>
          <w:sz w:val="20"/>
          <w:szCs w:val="20"/>
        </w:rPr>
      </w:pPr>
      <w:r w:rsidRPr="00931082">
        <w:rPr>
          <w:rFonts w:ascii="Arial" w:hAnsi="Arial" w:cs="Arial"/>
          <w:sz w:val="20"/>
          <w:szCs w:val="20"/>
        </w:rPr>
        <w:lastRenderedPageBreak/>
        <w:t>The content, materials and discussions conducted in this course are intended to offer a global reading of both Law and Humanities scholarship.</w:t>
      </w:r>
    </w:p>
    <w:p w14:paraId="49F369E5" w14:textId="7C0D8CF8" w:rsidR="00931082" w:rsidRDefault="00931082">
      <w:pPr>
        <w:rPr>
          <w:rFonts w:ascii="Arial" w:hAnsi="Arial" w:cs="Arial"/>
          <w:sz w:val="20"/>
          <w:szCs w:val="20"/>
        </w:rPr>
      </w:pPr>
    </w:p>
    <w:p w14:paraId="7075C623" w14:textId="77777777" w:rsidR="00944583" w:rsidRDefault="00944583">
      <w:pPr>
        <w:rPr>
          <w:rFonts w:ascii="Arial" w:hAnsi="Arial" w:cs="Arial"/>
          <w:b/>
          <w:sz w:val="20"/>
          <w:szCs w:val="20"/>
        </w:rPr>
      </w:pPr>
      <w:r>
        <w:rPr>
          <w:rFonts w:ascii="Arial" w:hAnsi="Arial" w:cs="Arial"/>
          <w:b/>
          <w:sz w:val="20"/>
          <w:szCs w:val="20"/>
        </w:rPr>
        <w:br w:type="page"/>
      </w:r>
    </w:p>
    <w:p w14:paraId="2B8543B1" w14:textId="30957351" w:rsidR="00441E76" w:rsidRPr="00931082" w:rsidRDefault="00422B69" w:rsidP="00302082">
      <w:pPr>
        <w:spacing w:after="120" w:line="240" w:lineRule="auto"/>
        <w:ind w:right="260"/>
        <w:rPr>
          <w:rFonts w:ascii="Arial" w:hAnsi="Arial" w:cs="Arial"/>
          <w:b/>
          <w:sz w:val="20"/>
          <w:szCs w:val="20"/>
        </w:rPr>
      </w:pPr>
      <w:r w:rsidRPr="00931082">
        <w:rPr>
          <w:rFonts w:ascii="Arial" w:hAnsi="Arial" w:cs="Arial"/>
          <w:b/>
          <w:sz w:val="20"/>
          <w:szCs w:val="20"/>
        </w:rPr>
        <w:lastRenderedPageBreak/>
        <w:t>FACULTIES SUPPORT OFFICE</w:t>
      </w:r>
      <w:r w:rsidR="00441E76" w:rsidRPr="00931082">
        <w:rPr>
          <w:rFonts w:ascii="Arial" w:hAnsi="Arial" w:cs="Arial"/>
          <w:b/>
          <w:sz w:val="20"/>
          <w:szCs w:val="20"/>
        </w:rPr>
        <w:t xml:space="preserve"> USE ONLY</w:t>
      </w:r>
      <w:r w:rsidR="00C612A8" w:rsidRPr="00931082">
        <w:rPr>
          <w:rFonts w:ascii="Arial" w:hAnsi="Arial" w:cs="Arial"/>
          <w:b/>
          <w:sz w:val="20"/>
          <w:szCs w:val="20"/>
        </w:rPr>
        <w:t xml:space="preserve"> </w:t>
      </w:r>
    </w:p>
    <w:p w14:paraId="3282987F" w14:textId="77777777" w:rsidR="00D83563" w:rsidRPr="00931082" w:rsidRDefault="00D83563" w:rsidP="00302082">
      <w:pPr>
        <w:spacing w:after="120" w:line="240" w:lineRule="auto"/>
        <w:ind w:right="260"/>
        <w:rPr>
          <w:rFonts w:ascii="Arial" w:hAnsi="Arial" w:cs="Arial"/>
          <w:b/>
          <w:sz w:val="20"/>
          <w:szCs w:val="20"/>
        </w:rPr>
      </w:pPr>
      <w:r w:rsidRPr="00931082">
        <w:rPr>
          <w:rFonts w:ascii="Arial" w:hAnsi="Arial" w:cs="Arial"/>
          <w:b/>
          <w:sz w:val="20"/>
          <w:szCs w:val="20"/>
        </w:rPr>
        <w:t>Revision record – all revisions must be recorded in the grid and full details of the change retained in the appropriate committee records.</w:t>
      </w:r>
    </w:p>
    <w:p w14:paraId="572106A5" w14:textId="77777777" w:rsidR="00422B69" w:rsidRPr="00931082"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931082" w14:paraId="3F2209CF" w14:textId="77777777" w:rsidTr="00944583">
        <w:trPr>
          <w:trHeight w:val="317"/>
        </w:trPr>
        <w:tc>
          <w:tcPr>
            <w:tcW w:w="1526" w:type="dxa"/>
          </w:tcPr>
          <w:p w14:paraId="2908BEDC" w14:textId="77777777" w:rsidR="00422B69" w:rsidRPr="00931082" w:rsidRDefault="00422B69" w:rsidP="00302082">
            <w:pPr>
              <w:spacing w:after="120"/>
              <w:ind w:right="-330"/>
              <w:rPr>
                <w:rFonts w:ascii="Arial" w:hAnsi="Arial" w:cs="Arial"/>
                <w:sz w:val="20"/>
                <w:szCs w:val="20"/>
              </w:rPr>
            </w:pPr>
            <w:r w:rsidRPr="00931082">
              <w:rPr>
                <w:rFonts w:ascii="Arial" w:hAnsi="Arial" w:cs="Arial"/>
                <w:sz w:val="20"/>
                <w:szCs w:val="20"/>
              </w:rPr>
              <w:t>Date approved</w:t>
            </w:r>
          </w:p>
        </w:tc>
        <w:tc>
          <w:tcPr>
            <w:tcW w:w="1701" w:type="dxa"/>
          </w:tcPr>
          <w:p w14:paraId="4F8ECC5F" w14:textId="77777777" w:rsidR="00422B69" w:rsidRPr="00931082" w:rsidRDefault="00422B69" w:rsidP="00302082">
            <w:pPr>
              <w:spacing w:after="120"/>
              <w:rPr>
                <w:rFonts w:ascii="Arial" w:hAnsi="Arial" w:cs="Arial"/>
                <w:sz w:val="20"/>
                <w:szCs w:val="20"/>
              </w:rPr>
            </w:pPr>
            <w:r w:rsidRPr="00931082">
              <w:rPr>
                <w:rFonts w:ascii="Arial" w:hAnsi="Arial" w:cs="Arial"/>
                <w:sz w:val="20"/>
                <w:szCs w:val="20"/>
              </w:rPr>
              <w:t>Major/minor revision</w:t>
            </w:r>
          </w:p>
        </w:tc>
        <w:tc>
          <w:tcPr>
            <w:tcW w:w="2410" w:type="dxa"/>
          </w:tcPr>
          <w:p w14:paraId="3443392C" w14:textId="77777777" w:rsidR="00422B69" w:rsidRPr="00931082" w:rsidRDefault="00422B69" w:rsidP="00302082">
            <w:pPr>
              <w:spacing w:after="120"/>
              <w:ind w:right="-34"/>
              <w:rPr>
                <w:rFonts w:ascii="Arial" w:hAnsi="Arial" w:cs="Arial"/>
                <w:sz w:val="20"/>
                <w:szCs w:val="20"/>
              </w:rPr>
            </w:pPr>
            <w:r w:rsidRPr="00931082">
              <w:rPr>
                <w:rFonts w:ascii="Arial" w:hAnsi="Arial" w:cs="Arial"/>
                <w:sz w:val="20"/>
                <w:szCs w:val="20"/>
              </w:rPr>
              <w:t>Start date of the delivery of  revised version</w:t>
            </w:r>
          </w:p>
        </w:tc>
        <w:tc>
          <w:tcPr>
            <w:tcW w:w="2448" w:type="dxa"/>
          </w:tcPr>
          <w:p w14:paraId="11F50C9A" w14:textId="77777777" w:rsidR="00422B69" w:rsidRPr="00931082" w:rsidRDefault="00422B69" w:rsidP="00302082">
            <w:pPr>
              <w:spacing w:after="120"/>
              <w:ind w:right="-330"/>
              <w:rPr>
                <w:rFonts w:ascii="Arial" w:hAnsi="Arial" w:cs="Arial"/>
                <w:sz w:val="20"/>
                <w:szCs w:val="20"/>
              </w:rPr>
            </w:pPr>
            <w:r w:rsidRPr="00931082">
              <w:rPr>
                <w:rFonts w:ascii="Arial" w:hAnsi="Arial" w:cs="Arial"/>
                <w:sz w:val="20"/>
                <w:szCs w:val="20"/>
              </w:rPr>
              <w:t>Section revised</w:t>
            </w:r>
          </w:p>
        </w:tc>
        <w:tc>
          <w:tcPr>
            <w:tcW w:w="2400" w:type="dxa"/>
          </w:tcPr>
          <w:p w14:paraId="00F12B98" w14:textId="77777777" w:rsidR="00422B69" w:rsidRPr="00931082" w:rsidRDefault="00422B69" w:rsidP="00466960">
            <w:pPr>
              <w:spacing w:after="120"/>
              <w:rPr>
                <w:rFonts w:ascii="Arial" w:hAnsi="Arial" w:cs="Arial"/>
                <w:sz w:val="20"/>
                <w:szCs w:val="20"/>
              </w:rPr>
            </w:pPr>
            <w:r w:rsidRPr="00931082">
              <w:rPr>
                <w:rFonts w:ascii="Arial" w:hAnsi="Arial" w:cs="Arial"/>
                <w:sz w:val="20"/>
                <w:szCs w:val="20"/>
              </w:rPr>
              <w:t>Impacts PLOs</w:t>
            </w:r>
            <w:r w:rsidR="00694309" w:rsidRPr="00931082">
              <w:rPr>
                <w:rFonts w:ascii="Arial" w:hAnsi="Arial" w:cs="Arial"/>
                <w:sz w:val="20"/>
                <w:szCs w:val="20"/>
              </w:rPr>
              <w:t xml:space="preserve"> (</w:t>
            </w:r>
            <w:r w:rsidR="001A425B" w:rsidRPr="00931082">
              <w:rPr>
                <w:rFonts w:ascii="Arial" w:hAnsi="Arial" w:cs="Arial"/>
                <w:sz w:val="20"/>
                <w:szCs w:val="20"/>
              </w:rPr>
              <w:t>Q6&amp;7 cover sheet)</w:t>
            </w:r>
          </w:p>
        </w:tc>
      </w:tr>
      <w:tr w:rsidR="00302082" w:rsidRPr="00931082" w14:paraId="4573D858" w14:textId="77777777" w:rsidTr="00944583">
        <w:trPr>
          <w:trHeight w:val="305"/>
        </w:trPr>
        <w:tc>
          <w:tcPr>
            <w:tcW w:w="1526" w:type="dxa"/>
          </w:tcPr>
          <w:p w14:paraId="17DF2EC2" w14:textId="433EB6CD" w:rsidR="00422B69" w:rsidRPr="00931082" w:rsidRDefault="00553699" w:rsidP="00302082">
            <w:pPr>
              <w:spacing w:after="120"/>
              <w:ind w:right="-330"/>
              <w:rPr>
                <w:rFonts w:ascii="Arial" w:hAnsi="Arial" w:cs="Arial"/>
                <w:sz w:val="20"/>
                <w:szCs w:val="20"/>
              </w:rPr>
            </w:pPr>
            <w:r w:rsidRPr="00931082">
              <w:rPr>
                <w:rFonts w:ascii="Arial" w:hAnsi="Arial" w:cs="Arial"/>
                <w:sz w:val="20"/>
                <w:szCs w:val="20"/>
              </w:rPr>
              <w:t>28/07/2017</w:t>
            </w:r>
          </w:p>
        </w:tc>
        <w:tc>
          <w:tcPr>
            <w:tcW w:w="1701" w:type="dxa"/>
          </w:tcPr>
          <w:p w14:paraId="68117E46" w14:textId="70262D3E" w:rsidR="00422B69" w:rsidRPr="00931082" w:rsidRDefault="00553699" w:rsidP="00302082">
            <w:pPr>
              <w:spacing w:after="120"/>
              <w:ind w:right="-330"/>
              <w:rPr>
                <w:rFonts w:ascii="Arial" w:hAnsi="Arial" w:cs="Arial"/>
                <w:sz w:val="20"/>
                <w:szCs w:val="20"/>
              </w:rPr>
            </w:pPr>
            <w:r w:rsidRPr="00931082">
              <w:rPr>
                <w:rFonts w:ascii="Arial" w:hAnsi="Arial" w:cs="Arial"/>
                <w:sz w:val="20"/>
                <w:szCs w:val="20"/>
              </w:rPr>
              <w:t>Minor</w:t>
            </w:r>
          </w:p>
        </w:tc>
        <w:tc>
          <w:tcPr>
            <w:tcW w:w="2410" w:type="dxa"/>
          </w:tcPr>
          <w:p w14:paraId="02262D4F" w14:textId="534E173F" w:rsidR="00422B69" w:rsidRPr="00931082" w:rsidRDefault="00553699" w:rsidP="00302082">
            <w:pPr>
              <w:spacing w:after="120"/>
              <w:ind w:right="-330"/>
              <w:rPr>
                <w:rFonts w:ascii="Arial" w:hAnsi="Arial" w:cs="Arial"/>
                <w:sz w:val="20"/>
                <w:szCs w:val="20"/>
              </w:rPr>
            </w:pPr>
            <w:r w:rsidRPr="00931082">
              <w:rPr>
                <w:rFonts w:ascii="Arial" w:hAnsi="Arial" w:cs="Arial"/>
                <w:sz w:val="20"/>
                <w:szCs w:val="20"/>
              </w:rPr>
              <w:t>September 2017</w:t>
            </w:r>
          </w:p>
        </w:tc>
        <w:tc>
          <w:tcPr>
            <w:tcW w:w="2448" w:type="dxa"/>
          </w:tcPr>
          <w:p w14:paraId="0DA4D611" w14:textId="599F0894" w:rsidR="00422B69" w:rsidRPr="00931082" w:rsidRDefault="00553699" w:rsidP="00302082">
            <w:pPr>
              <w:spacing w:after="120"/>
              <w:ind w:right="-330"/>
              <w:rPr>
                <w:rFonts w:ascii="Arial" w:hAnsi="Arial" w:cs="Arial"/>
                <w:sz w:val="20"/>
                <w:szCs w:val="20"/>
              </w:rPr>
            </w:pPr>
            <w:r w:rsidRPr="00931082">
              <w:rPr>
                <w:rFonts w:ascii="Arial" w:hAnsi="Arial" w:cs="Arial"/>
                <w:sz w:val="20"/>
                <w:szCs w:val="20"/>
              </w:rPr>
              <w:t>5, 12, 13, 16, 17</w:t>
            </w:r>
          </w:p>
        </w:tc>
        <w:tc>
          <w:tcPr>
            <w:tcW w:w="2400" w:type="dxa"/>
          </w:tcPr>
          <w:p w14:paraId="07B4FDA8" w14:textId="77777777" w:rsidR="00422B69" w:rsidRPr="00931082" w:rsidRDefault="00422B69" w:rsidP="00302082">
            <w:pPr>
              <w:spacing w:after="120"/>
              <w:ind w:right="-330"/>
              <w:rPr>
                <w:rFonts w:ascii="Arial" w:hAnsi="Arial" w:cs="Arial"/>
                <w:sz w:val="20"/>
                <w:szCs w:val="20"/>
              </w:rPr>
            </w:pPr>
          </w:p>
        </w:tc>
      </w:tr>
      <w:tr w:rsidR="00302082" w:rsidRPr="00931082" w14:paraId="0271F487" w14:textId="77777777" w:rsidTr="00944583">
        <w:trPr>
          <w:trHeight w:val="305"/>
        </w:trPr>
        <w:tc>
          <w:tcPr>
            <w:tcW w:w="1526" w:type="dxa"/>
          </w:tcPr>
          <w:p w14:paraId="083F784C" w14:textId="77777777" w:rsidR="00422B69" w:rsidRPr="00931082" w:rsidRDefault="00422B69" w:rsidP="00302082">
            <w:pPr>
              <w:spacing w:after="120"/>
              <w:ind w:right="-330"/>
              <w:rPr>
                <w:rFonts w:ascii="Arial" w:hAnsi="Arial" w:cs="Arial"/>
                <w:sz w:val="20"/>
                <w:szCs w:val="20"/>
              </w:rPr>
            </w:pPr>
          </w:p>
        </w:tc>
        <w:tc>
          <w:tcPr>
            <w:tcW w:w="1701" w:type="dxa"/>
          </w:tcPr>
          <w:p w14:paraId="05F6A44D" w14:textId="77777777" w:rsidR="00422B69" w:rsidRPr="00931082" w:rsidRDefault="00422B69" w:rsidP="00302082">
            <w:pPr>
              <w:spacing w:after="120"/>
              <w:ind w:right="-330"/>
              <w:rPr>
                <w:rFonts w:ascii="Arial" w:hAnsi="Arial" w:cs="Arial"/>
                <w:sz w:val="20"/>
                <w:szCs w:val="20"/>
              </w:rPr>
            </w:pPr>
          </w:p>
        </w:tc>
        <w:tc>
          <w:tcPr>
            <w:tcW w:w="2410" w:type="dxa"/>
          </w:tcPr>
          <w:p w14:paraId="6209C349" w14:textId="77777777" w:rsidR="00422B69" w:rsidRPr="00931082" w:rsidRDefault="00422B69" w:rsidP="00302082">
            <w:pPr>
              <w:spacing w:after="120"/>
              <w:ind w:right="-330"/>
              <w:rPr>
                <w:rFonts w:ascii="Arial" w:hAnsi="Arial" w:cs="Arial"/>
                <w:sz w:val="20"/>
                <w:szCs w:val="20"/>
              </w:rPr>
            </w:pPr>
          </w:p>
        </w:tc>
        <w:tc>
          <w:tcPr>
            <w:tcW w:w="2448" w:type="dxa"/>
          </w:tcPr>
          <w:p w14:paraId="2B95B2E5" w14:textId="77777777" w:rsidR="00422B69" w:rsidRPr="00931082" w:rsidRDefault="00422B69" w:rsidP="00302082">
            <w:pPr>
              <w:spacing w:after="120"/>
              <w:ind w:right="-330"/>
              <w:rPr>
                <w:rFonts w:ascii="Arial" w:hAnsi="Arial" w:cs="Arial"/>
                <w:sz w:val="20"/>
                <w:szCs w:val="20"/>
              </w:rPr>
            </w:pPr>
          </w:p>
        </w:tc>
        <w:tc>
          <w:tcPr>
            <w:tcW w:w="2400" w:type="dxa"/>
          </w:tcPr>
          <w:p w14:paraId="28FCB9D5" w14:textId="77777777" w:rsidR="00422B69" w:rsidRPr="00931082" w:rsidRDefault="00422B69" w:rsidP="00302082">
            <w:pPr>
              <w:spacing w:after="120"/>
              <w:ind w:right="-330"/>
              <w:rPr>
                <w:rFonts w:ascii="Arial" w:hAnsi="Arial" w:cs="Arial"/>
                <w:sz w:val="20"/>
                <w:szCs w:val="20"/>
              </w:rPr>
            </w:pPr>
          </w:p>
        </w:tc>
      </w:tr>
    </w:tbl>
    <w:p w14:paraId="68BE91D8" w14:textId="77777777" w:rsidR="00D83563" w:rsidRPr="00931082" w:rsidRDefault="00D83563" w:rsidP="00302082">
      <w:pPr>
        <w:spacing w:after="120" w:line="240" w:lineRule="auto"/>
        <w:ind w:right="-330"/>
        <w:rPr>
          <w:rFonts w:ascii="Arial" w:hAnsi="Arial" w:cs="Arial"/>
          <w:sz w:val="20"/>
          <w:szCs w:val="20"/>
        </w:rPr>
      </w:pPr>
    </w:p>
    <w:sectPr w:rsidR="00D83563" w:rsidRPr="00931082" w:rsidSect="00975ABF">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7389" w14:textId="77777777" w:rsidR="00D74A42" w:rsidRDefault="00D74A42" w:rsidP="009A2D37">
      <w:pPr>
        <w:spacing w:after="0" w:line="240" w:lineRule="auto"/>
      </w:pPr>
      <w:r>
        <w:separator/>
      </w:r>
    </w:p>
  </w:endnote>
  <w:endnote w:type="continuationSeparator" w:id="0">
    <w:p w14:paraId="5031A6E0" w14:textId="77777777" w:rsidR="00D74A42" w:rsidRDefault="00D74A42" w:rsidP="009A2D37">
      <w:pPr>
        <w:spacing w:after="0" w:line="240" w:lineRule="auto"/>
      </w:pPr>
      <w:r>
        <w:continuationSeparator/>
      </w:r>
    </w:p>
  </w:endnote>
  <w:endnote w:type="continuationNotice" w:id="1">
    <w:p w14:paraId="56159365" w14:textId="77777777" w:rsidR="00D74A42" w:rsidRDefault="00D74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774" w14:textId="77777777" w:rsidR="001B31F1" w:rsidRDefault="001B31F1" w:rsidP="009A2D37">
    <w:pPr>
      <w:pStyle w:val="Footer"/>
      <w:jc w:val="center"/>
    </w:pPr>
  </w:p>
  <w:p w14:paraId="3F57B7E0" w14:textId="63D6C79E" w:rsidR="00A1211F" w:rsidRDefault="00975ABF" w:rsidP="009A2D37">
    <w:pPr>
      <w:pStyle w:val="Footer"/>
      <w:jc w:val="center"/>
    </w:pPr>
    <w:sdt>
      <w:sdtPr>
        <w:id w:val="-97259864"/>
        <w:docPartObj>
          <w:docPartGallery w:val="Page Numbers (Bottom of Page)"/>
          <w:docPartUnique/>
        </w:docPartObj>
      </w:sdtPr>
      <w:sdtEndPr/>
      <w:sdtContent>
        <w:r w:rsidR="008A6451">
          <w:fldChar w:fldCharType="begin"/>
        </w:r>
        <w:r w:rsidR="008A6451">
          <w:instrText xml:space="preserve"> PAGE   \* MERGEFORMAT </w:instrText>
        </w:r>
        <w:r w:rsidR="008A6451">
          <w:fldChar w:fldCharType="separate"/>
        </w:r>
        <w:r w:rsidR="00103979">
          <w:rPr>
            <w:noProof/>
          </w:rPr>
          <w:t>5</w:t>
        </w:r>
        <w:r w:rsidR="008A6451">
          <w:rPr>
            <w:noProof/>
          </w:rPr>
          <w:fldChar w:fldCharType="end"/>
        </w:r>
      </w:sdtContent>
    </w:sdt>
  </w:p>
  <w:p w14:paraId="2335D608" w14:textId="795EA0FE" w:rsidR="00A1211F" w:rsidRPr="007B7724" w:rsidRDefault="00931082" w:rsidP="00466960">
    <w:pPr>
      <w:pStyle w:val="Footer"/>
      <w:spacing w:after="120"/>
      <w:ind w:right="-330"/>
      <w:jc w:val="center"/>
      <w:rPr>
        <w:rFonts w:ascii="Arial" w:hAnsi="Arial"/>
        <w:sz w:val="18"/>
      </w:rPr>
    </w:pPr>
    <w:r w:rsidRPr="00931082">
      <w:rPr>
        <w:rFonts w:ascii="Arial" w:hAnsi="Arial"/>
        <w:sz w:val="18"/>
      </w:rPr>
      <w:t xml:space="preserve">Law and the Humanities 1: Ethos and Scholarship [intensive delivery] </w:t>
    </w:r>
    <w:r w:rsidR="00975ABF">
      <w:rPr>
        <w:rFonts w:ascii="Arial" w:hAnsi="Arial"/>
        <w:sz w:val="18"/>
      </w:rPr>
      <w:t xml:space="preserve">– </w:t>
    </w:r>
    <w:r>
      <w:rPr>
        <w:rFonts w:ascii="Arial" w:hAnsi="Arial"/>
        <w:sz w:val="18"/>
      </w:rPr>
      <w:t>LAWS9270</w:t>
    </w:r>
    <w:r w:rsidR="00975ABF">
      <w:rPr>
        <w:rFonts w:ascii="Arial" w:hAnsi="Arial"/>
        <w:sz w:val="18"/>
      </w:rPr>
      <w:t>/1 – (</w:t>
    </w:r>
    <w:r>
      <w:rPr>
        <w:rFonts w:ascii="Arial" w:hAnsi="Arial"/>
        <w:sz w:val="18"/>
      </w:rPr>
      <w:t>LW927)</w:t>
    </w:r>
    <w:r w:rsidRPr="00C37C40">
      <w:rPr>
        <w:rFonts w:ascii="Arial" w:hAnsi="Arial"/>
        <w:sz w:val="18"/>
      </w:rPr>
      <w:t xml:space="preserve"> </w:t>
    </w:r>
    <w:r>
      <w:rPr>
        <w:rFonts w:ascii="Arial" w:hAnsi="Arial"/>
        <w:sz w:val="18"/>
      </w:rPr>
      <w:t>- (Sept. 2018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1D82" w14:textId="6FE9EC02" w:rsidR="00944583" w:rsidRDefault="00944583">
    <w:pPr>
      <w:pStyle w:val="Footer"/>
    </w:pPr>
  </w:p>
  <w:p w14:paraId="7C100A80" w14:textId="77777777" w:rsidR="00944583" w:rsidRDefault="0094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C11" w14:textId="77777777" w:rsidR="00D74A42" w:rsidRDefault="00D74A42" w:rsidP="009A2D37">
      <w:pPr>
        <w:spacing w:after="0" w:line="240" w:lineRule="auto"/>
      </w:pPr>
      <w:r>
        <w:separator/>
      </w:r>
    </w:p>
  </w:footnote>
  <w:footnote w:type="continuationSeparator" w:id="0">
    <w:p w14:paraId="01DE82B0" w14:textId="77777777" w:rsidR="00D74A42" w:rsidRDefault="00D74A42" w:rsidP="009A2D37">
      <w:pPr>
        <w:spacing w:after="0" w:line="240" w:lineRule="auto"/>
      </w:pPr>
      <w:r>
        <w:continuationSeparator/>
      </w:r>
    </w:p>
  </w:footnote>
  <w:footnote w:type="continuationNotice" w:id="1">
    <w:p w14:paraId="0180E52B" w14:textId="77777777" w:rsidR="00D74A42" w:rsidRDefault="00D74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AB32" w14:textId="77777777" w:rsidR="00A1211F" w:rsidRPr="0075408A" w:rsidRDefault="00A1211F"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C341240" wp14:editId="74AD2C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DE5834B" w14:textId="77777777" w:rsidR="00A1211F" w:rsidRPr="008C00F8" w:rsidRDefault="00A1211F" w:rsidP="005E6D38">
    <w:pPr>
      <w:pStyle w:val="Heading1"/>
      <w:spacing w:before="60" w:after="60"/>
      <w:rPr>
        <w:rFonts w:ascii="Arial" w:hAnsi="Arial" w:cs="Arial"/>
      </w:rPr>
    </w:pPr>
  </w:p>
  <w:p w14:paraId="58EA9DD3" w14:textId="77777777" w:rsidR="00A1211F" w:rsidRDefault="00A1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90AD" w14:textId="11E2BEFD" w:rsidR="00A1211F" w:rsidRPr="0075408A" w:rsidRDefault="00A1211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2A3DCF9" wp14:editId="536108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2D0706E1" w14:textId="77777777" w:rsidR="00A1211F" w:rsidRPr="000F7FBF" w:rsidRDefault="00A1211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B14FE6"/>
    <w:multiLevelType w:val="hybridMultilevel"/>
    <w:tmpl w:val="F8FA424A"/>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multilevel"/>
    <w:tmpl w:val="DBECA08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C2119"/>
    <w:multiLevelType w:val="hybridMultilevel"/>
    <w:tmpl w:val="5A061EA6"/>
    <w:lvl w:ilvl="0" w:tplc="43742D6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0A2E16"/>
    <w:multiLevelType w:val="hybridMultilevel"/>
    <w:tmpl w:val="93D855C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7F6591D"/>
    <w:multiLevelType w:val="hybridMultilevel"/>
    <w:tmpl w:val="E3FE0F9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7"/>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332"/>
    <w:rsid w:val="00063A2F"/>
    <w:rsid w:val="000678D3"/>
    <w:rsid w:val="00094810"/>
    <w:rsid w:val="000B208A"/>
    <w:rsid w:val="000C0294"/>
    <w:rsid w:val="000C7A1C"/>
    <w:rsid w:val="000D2A8A"/>
    <w:rsid w:val="000D32AC"/>
    <w:rsid w:val="000E20C1"/>
    <w:rsid w:val="000E3B73"/>
    <w:rsid w:val="000F6C56"/>
    <w:rsid w:val="000F7FBF"/>
    <w:rsid w:val="00101D3A"/>
    <w:rsid w:val="0010397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ACD"/>
    <w:rsid w:val="00196C6A"/>
    <w:rsid w:val="0019787E"/>
    <w:rsid w:val="001A425B"/>
    <w:rsid w:val="001B1B28"/>
    <w:rsid w:val="001B27FB"/>
    <w:rsid w:val="001B31F1"/>
    <w:rsid w:val="001C4A85"/>
    <w:rsid w:val="001C5443"/>
    <w:rsid w:val="001C6157"/>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1D7"/>
    <w:rsid w:val="002A0C18"/>
    <w:rsid w:val="002A219B"/>
    <w:rsid w:val="002A22DB"/>
    <w:rsid w:val="002A7F48"/>
    <w:rsid w:val="002B20F5"/>
    <w:rsid w:val="002B2A1A"/>
    <w:rsid w:val="002B71F2"/>
    <w:rsid w:val="002E71C0"/>
    <w:rsid w:val="002F05F4"/>
    <w:rsid w:val="002F0CE4"/>
    <w:rsid w:val="002F23EF"/>
    <w:rsid w:val="002F2626"/>
    <w:rsid w:val="00302082"/>
    <w:rsid w:val="0030208C"/>
    <w:rsid w:val="00306620"/>
    <w:rsid w:val="00312030"/>
    <w:rsid w:val="003262B9"/>
    <w:rsid w:val="00334A02"/>
    <w:rsid w:val="00335875"/>
    <w:rsid w:val="00335FBE"/>
    <w:rsid w:val="00352D8E"/>
    <w:rsid w:val="00356B68"/>
    <w:rsid w:val="0035702D"/>
    <w:rsid w:val="003604D4"/>
    <w:rsid w:val="0036174D"/>
    <w:rsid w:val="003627B0"/>
    <w:rsid w:val="003719A2"/>
    <w:rsid w:val="00373C6E"/>
    <w:rsid w:val="00374DF6"/>
    <w:rsid w:val="003759B0"/>
    <w:rsid w:val="00375F84"/>
    <w:rsid w:val="00376E34"/>
    <w:rsid w:val="003804E7"/>
    <w:rsid w:val="00391E7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3C3"/>
    <w:rsid w:val="00436BE9"/>
    <w:rsid w:val="00441E76"/>
    <w:rsid w:val="004443DA"/>
    <w:rsid w:val="00446192"/>
    <w:rsid w:val="00446A75"/>
    <w:rsid w:val="004474A2"/>
    <w:rsid w:val="00460925"/>
    <w:rsid w:val="00465175"/>
    <w:rsid w:val="00466960"/>
    <w:rsid w:val="00471C6C"/>
    <w:rsid w:val="00472023"/>
    <w:rsid w:val="00472895"/>
    <w:rsid w:val="00486993"/>
    <w:rsid w:val="00492DA4"/>
    <w:rsid w:val="00496AA3"/>
    <w:rsid w:val="00497C98"/>
    <w:rsid w:val="004A39D7"/>
    <w:rsid w:val="004A55FA"/>
    <w:rsid w:val="004B5D03"/>
    <w:rsid w:val="004C1EC4"/>
    <w:rsid w:val="004D035C"/>
    <w:rsid w:val="004D1D77"/>
    <w:rsid w:val="004E7D00"/>
    <w:rsid w:val="004F3C18"/>
    <w:rsid w:val="004F4328"/>
    <w:rsid w:val="005005E4"/>
    <w:rsid w:val="00513689"/>
    <w:rsid w:val="0051375A"/>
    <w:rsid w:val="00521097"/>
    <w:rsid w:val="0053059E"/>
    <w:rsid w:val="00532F6F"/>
    <w:rsid w:val="00533663"/>
    <w:rsid w:val="005460C2"/>
    <w:rsid w:val="005526FB"/>
    <w:rsid w:val="0055280A"/>
    <w:rsid w:val="0055369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865"/>
    <w:rsid w:val="005A14B5"/>
    <w:rsid w:val="005B5A98"/>
    <w:rsid w:val="005C1A4F"/>
    <w:rsid w:val="005C27D7"/>
    <w:rsid w:val="005D7CD0"/>
    <w:rsid w:val="005E1A3A"/>
    <w:rsid w:val="005E6ADC"/>
    <w:rsid w:val="005E6D10"/>
    <w:rsid w:val="005E6D38"/>
    <w:rsid w:val="005E7B3F"/>
    <w:rsid w:val="005F040F"/>
    <w:rsid w:val="005F2C42"/>
    <w:rsid w:val="005F6B7C"/>
    <w:rsid w:val="006043FC"/>
    <w:rsid w:val="006050CF"/>
    <w:rsid w:val="006253AA"/>
    <w:rsid w:val="00626023"/>
    <w:rsid w:val="00633150"/>
    <w:rsid w:val="006372FA"/>
    <w:rsid w:val="00637A50"/>
    <w:rsid w:val="00641D6D"/>
    <w:rsid w:val="0064364E"/>
    <w:rsid w:val="006438F3"/>
    <w:rsid w:val="006444E0"/>
    <w:rsid w:val="00647907"/>
    <w:rsid w:val="00651A82"/>
    <w:rsid w:val="006525E9"/>
    <w:rsid w:val="0066747B"/>
    <w:rsid w:val="006725EC"/>
    <w:rsid w:val="00674ED0"/>
    <w:rsid w:val="00682650"/>
    <w:rsid w:val="00683609"/>
    <w:rsid w:val="00684851"/>
    <w:rsid w:val="00694309"/>
    <w:rsid w:val="00695285"/>
    <w:rsid w:val="006A6BB4"/>
    <w:rsid w:val="006A7FB0"/>
    <w:rsid w:val="006B6E82"/>
    <w:rsid w:val="006C2A9A"/>
    <w:rsid w:val="006C423D"/>
    <w:rsid w:val="006C46EF"/>
    <w:rsid w:val="006C4C67"/>
    <w:rsid w:val="006D13C0"/>
    <w:rsid w:val="006D19D8"/>
    <w:rsid w:val="006D41AB"/>
    <w:rsid w:val="006D444F"/>
    <w:rsid w:val="006F1A15"/>
    <w:rsid w:val="006F3F8B"/>
    <w:rsid w:val="00700488"/>
    <w:rsid w:val="00703404"/>
    <w:rsid w:val="00703F92"/>
    <w:rsid w:val="00704637"/>
    <w:rsid w:val="007105E4"/>
    <w:rsid w:val="00712F9A"/>
    <w:rsid w:val="00714EE5"/>
    <w:rsid w:val="00720270"/>
    <w:rsid w:val="00724362"/>
    <w:rsid w:val="00727780"/>
    <w:rsid w:val="0073792C"/>
    <w:rsid w:val="00754069"/>
    <w:rsid w:val="0075484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FE8"/>
    <w:rsid w:val="00873E9F"/>
    <w:rsid w:val="00874047"/>
    <w:rsid w:val="008778CB"/>
    <w:rsid w:val="00881545"/>
    <w:rsid w:val="00883A3E"/>
    <w:rsid w:val="0089148D"/>
    <w:rsid w:val="00891E0D"/>
    <w:rsid w:val="008A0F36"/>
    <w:rsid w:val="008A6451"/>
    <w:rsid w:val="008B2543"/>
    <w:rsid w:val="008B4B6E"/>
    <w:rsid w:val="008D7401"/>
    <w:rsid w:val="008E322B"/>
    <w:rsid w:val="008F766B"/>
    <w:rsid w:val="00903DF6"/>
    <w:rsid w:val="00921CF6"/>
    <w:rsid w:val="00924EF0"/>
    <w:rsid w:val="00931082"/>
    <w:rsid w:val="00934D7B"/>
    <w:rsid w:val="00944583"/>
    <w:rsid w:val="00946E19"/>
    <w:rsid w:val="00947180"/>
    <w:rsid w:val="009567BE"/>
    <w:rsid w:val="009676FA"/>
    <w:rsid w:val="009679E0"/>
    <w:rsid w:val="00975ABF"/>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5C3C"/>
    <w:rsid w:val="009F731F"/>
    <w:rsid w:val="00A021FE"/>
    <w:rsid w:val="00A1211F"/>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17FD5"/>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506"/>
    <w:rsid w:val="00BA453C"/>
    <w:rsid w:val="00BA4E02"/>
    <w:rsid w:val="00BB2A6D"/>
    <w:rsid w:val="00BB4189"/>
    <w:rsid w:val="00BB686C"/>
    <w:rsid w:val="00BC19F7"/>
    <w:rsid w:val="00BC1FD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F98"/>
    <w:rsid w:val="00C46912"/>
    <w:rsid w:val="00C54EFD"/>
    <w:rsid w:val="00C612A8"/>
    <w:rsid w:val="00C67631"/>
    <w:rsid w:val="00C729D7"/>
    <w:rsid w:val="00C83354"/>
    <w:rsid w:val="00C84004"/>
    <w:rsid w:val="00C843F6"/>
    <w:rsid w:val="00C84507"/>
    <w:rsid w:val="00C862C7"/>
    <w:rsid w:val="00CA3254"/>
    <w:rsid w:val="00CB11CE"/>
    <w:rsid w:val="00CC031A"/>
    <w:rsid w:val="00CC25A2"/>
    <w:rsid w:val="00CD0AEE"/>
    <w:rsid w:val="00CD7F07"/>
    <w:rsid w:val="00CE04F3"/>
    <w:rsid w:val="00CE12D8"/>
    <w:rsid w:val="00CE4574"/>
    <w:rsid w:val="00CE70E6"/>
    <w:rsid w:val="00CF2E1E"/>
    <w:rsid w:val="00D02E99"/>
    <w:rsid w:val="00D13357"/>
    <w:rsid w:val="00D13A13"/>
    <w:rsid w:val="00D2689A"/>
    <w:rsid w:val="00D50113"/>
    <w:rsid w:val="00D54F04"/>
    <w:rsid w:val="00D65506"/>
    <w:rsid w:val="00D74A42"/>
    <w:rsid w:val="00D773CF"/>
    <w:rsid w:val="00D83563"/>
    <w:rsid w:val="00D8448F"/>
    <w:rsid w:val="00DA1BCA"/>
    <w:rsid w:val="00DA64B6"/>
    <w:rsid w:val="00DB5C9D"/>
    <w:rsid w:val="00DD02E6"/>
    <w:rsid w:val="00DD7AA8"/>
    <w:rsid w:val="00DF665B"/>
    <w:rsid w:val="00E0152A"/>
    <w:rsid w:val="00E03394"/>
    <w:rsid w:val="00E066E5"/>
    <w:rsid w:val="00E22F03"/>
    <w:rsid w:val="00E233C1"/>
    <w:rsid w:val="00E50E77"/>
    <w:rsid w:val="00E51404"/>
    <w:rsid w:val="00E55994"/>
    <w:rsid w:val="00E574C9"/>
    <w:rsid w:val="00E610DE"/>
    <w:rsid w:val="00E66167"/>
    <w:rsid w:val="00E71F2F"/>
    <w:rsid w:val="00E77786"/>
    <w:rsid w:val="00E806FB"/>
    <w:rsid w:val="00EB1C2D"/>
    <w:rsid w:val="00EB369B"/>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9352"/>
  <w15:docId w15:val="{E415F914-C3D4-4031-A339-ED1BF987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D77A-9454-41C9-9332-C2BB6367362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8B79533-F069-4052-8A07-2532934EC144}">
  <ds:schemaRefs>
    <ds:schemaRef ds:uri="http://schemas.microsoft.com/sharepoint/v3/contenttype/forms"/>
  </ds:schemaRefs>
</ds:datastoreItem>
</file>

<file path=customXml/itemProps3.xml><?xml version="1.0" encoding="utf-8"?>
<ds:datastoreItem xmlns:ds="http://schemas.openxmlformats.org/officeDocument/2006/customXml" ds:itemID="{0B8F77E7-7AF8-4DF2-80E1-71CFAB3C881B}"/>
</file>

<file path=customXml/itemProps4.xml><?xml version="1.0" encoding="utf-8"?>
<ds:datastoreItem xmlns:ds="http://schemas.openxmlformats.org/officeDocument/2006/customXml" ds:itemID="{5DD93B46-EAD9-4AD9-AADF-1B96C139B7C5}">
  <ds:schemaRefs>
    <ds:schemaRef ds:uri="http://schemas.microsoft.com/sharepoint/events"/>
  </ds:schemaRefs>
</ds:datastoreItem>
</file>

<file path=customXml/itemProps5.xml><?xml version="1.0" encoding="utf-8"?>
<ds:datastoreItem xmlns:ds="http://schemas.openxmlformats.org/officeDocument/2006/customXml" ds:itemID="{12CC886B-8D55-4FCA-BA90-356915D4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2018-03-21T13:15:00Z</dcterms:created>
  <dcterms:modified xsi:type="dcterms:W3CDTF">2022-03-22T17:17:00Z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ca14fb63-fea6-4388-8cf1-fe124c0c91f3</vt:lpwstr>
  </property>
  <property fmtid="{D5CDD505-2E9C-101B-9397-08002B2CF9AE}" pid="4" name="Order">
    <vt:r8>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