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9531" w14:textId="77777777" w:rsidR="009A2D37" w:rsidRPr="00373ACB" w:rsidRDefault="00C07A56"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AD6D628" w14:textId="212B6468" w:rsidR="00C07A56" w:rsidRDefault="003B4A41" w:rsidP="00240E18">
      <w:pPr>
        <w:spacing w:after="120" w:line="240" w:lineRule="auto"/>
        <w:ind w:left="426" w:right="260"/>
        <w:jc w:val="both"/>
        <w:rPr>
          <w:rFonts w:ascii="Arial" w:hAnsi="Arial" w:cs="Arial"/>
          <w:sz w:val="20"/>
          <w:szCs w:val="20"/>
        </w:rPr>
      </w:pPr>
      <w:r w:rsidRPr="003B4A41">
        <w:rPr>
          <w:rFonts w:ascii="Arial" w:hAnsi="Arial" w:cs="Arial"/>
          <w:sz w:val="20"/>
          <w:szCs w:val="20"/>
        </w:rPr>
        <w:t>Laws of the Maritime, Air and Outer Spaces (LAWS9040/LW904)</w:t>
      </w:r>
    </w:p>
    <w:p w14:paraId="3F57FF41" w14:textId="77777777" w:rsidR="003B4A41" w:rsidRPr="003B4A41" w:rsidRDefault="003B4A41" w:rsidP="00240E18">
      <w:pPr>
        <w:spacing w:after="120" w:line="240" w:lineRule="auto"/>
        <w:ind w:left="426" w:right="260"/>
        <w:jc w:val="both"/>
        <w:rPr>
          <w:rFonts w:ascii="Arial" w:hAnsi="Arial" w:cs="Arial"/>
          <w:sz w:val="20"/>
          <w:szCs w:val="20"/>
        </w:rPr>
      </w:pPr>
    </w:p>
    <w:p w14:paraId="1EE2C26E"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C49C036" w14:textId="77777777" w:rsidR="009A2D37" w:rsidRPr="00373ACB" w:rsidRDefault="00380EAE" w:rsidP="00240E1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45FD80C" w14:textId="77777777" w:rsidR="00C07A56" w:rsidRPr="00373ACB" w:rsidRDefault="00C07A56" w:rsidP="00240E18">
      <w:pPr>
        <w:spacing w:after="120" w:line="240" w:lineRule="auto"/>
        <w:ind w:left="426" w:right="260"/>
        <w:jc w:val="both"/>
        <w:rPr>
          <w:rFonts w:ascii="Arial" w:hAnsi="Arial" w:cs="Arial"/>
          <w:iCs/>
          <w:sz w:val="20"/>
          <w:szCs w:val="20"/>
        </w:rPr>
      </w:pPr>
    </w:p>
    <w:p w14:paraId="5BF004B9"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1F2082C" w14:textId="78FEA282" w:rsidR="009A2D37" w:rsidRPr="00373ACB" w:rsidRDefault="00BC1D37" w:rsidP="00240E18">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3B4A41">
        <w:rPr>
          <w:rFonts w:ascii="Arial" w:hAnsi="Arial" w:cs="Arial"/>
          <w:iCs/>
          <w:sz w:val="20"/>
          <w:szCs w:val="20"/>
        </w:rPr>
        <w:t>7</w:t>
      </w:r>
    </w:p>
    <w:p w14:paraId="5D304717" w14:textId="77777777" w:rsidR="00C07A56" w:rsidRPr="00373ACB" w:rsidRDefault="00C07A56" w:rsidP="00240E18">
      <w:pPr>
        <w:spacing w:after="120" w:line="240" w:lineRule="auto"/>
        <w:ind w:left="426" w:right="260"/>
        <w:jc w:val="both"/>
        <w:rPr>
          <w:rFonts w:ascii="Arial" w:hAnsi="Arial" w:cs="Arial"/>
          <w:iCs/>
          <w:sz w:val="20"/>
          <w:szCs w:val="20"/>
        </w:rPr>
      </w:pPr>
    </w:p>
    <w:p w14:paraId="202425A8"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5C571E1" w14:textId="74180EEA" w:rsidR="00BC1D37" w:rsidRPr="00373ACB" w:rsidRDefault="00DE388B" w:rsidP="00240E18">
      <w:pPr>
        <w:spacing w:after="120" w:line="240" w:lineRule="auto"/>
        <w:ind w:left="426" w:right="260"/>
        <w:jc w:val="both"/>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3B4A41">
        <w:rPr>
          <w:rFonts w:ascii="Arial" w:hAnsi="Arial" w:cs="Arial"/>
          <w:sz w:val="20"/>
          <w:szCs w:val="20"/>
        </w:rPr>
        <w:t xml:space="preserve"> </w:t>
      </w:r>
      <w:r w:rsidR="00BC1D37">
        <w:rPr>
          <w:rFonts w:ascii="Arial" w:hAnsi="Arial" w:cs="Arial"/>
          <w:sz w:val="20"/>
          <w:szCs w:val="20"/>
        </w:rPr>
        <w:t>ECTS Credits)</w:t>
      </w:r>
    </w:p>
    <w:p w14:paraId="22AE8208" w14:textId="77777777" w:rsidR="00C07A56" w:rsidRPr="00373ACB" w:rsidRDefault="00C07A56" w:rsidP="00240E18">
      <w:pPr>
        <w:spacing w:after="120" w:line="240" w:lineRule="auto"/>
        <w:ind w:left="426" w:right="260"/>
        <w:jc w:val="both"/>
        <w:rPr>
          <w:rFonts w:ascii="Arial" w:hAnsi="Arial" w:cs="Arial"/>
          <w:sz w:val="20"/>
          <w:szCs w:val="20"/>
        </w:rPr>
      </w:pPr>
    </w:p>
    <w:p w14:paraId="1BBF36B7"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1A2BABD" w14:textId="4D59DEFB" w:rsidR="00BC1D37" w:rsidRPr="00380EAE" w:rsidRDefault="00BC1D37" w:rsidP="00240E18">
      <w:pPr>
        <w:spacing w:line="240" w:lineRule="auto"/>
        <w:ind w:left="426" w:right="260"/>
        <w:jc w:val="both"/>
        <w:rPr>
          <w:rFonts w:ascii="Arial" w:hAnsi="Arial" w:cs="Arial"/>
          <w:sz w:val="20"/>
          <w:szCs w:val="20"/>
        </w:rPr>
      </w:pPr>
      <w:r>
        <w:rPr>
          <w:rFonts w:ascii="Arial" w:hAnsi="Arial" w:cs="Arial"/>
          <w:sz w:val="20"/>
          <w:szCs w:val="20"/>
        </w:rPr>
        <w:t>Autumn or Spring</w:t>
      </w:r>
    </w:p>
    <w:p w14:paraId="2AE2973D" w14:textId="77777777" w:rsidR="00C07A56" w:rsidRPr="00373ACB" w:rsidRDefault="00C07A56" w:rsidP="00240E18">
      <w:pPr>
        <w:spacing w:line="240" w:lineRule="auto"/>
        <w:ind w:left="426" w:right="260"/>
        <w:jc w:val="both"/>
        <w:rPr>
          <w:rFonts w:ascii="Arial" w:hAnsi="Arial" w:cs="Arial"/>
          <w:b/>
          <w:sz w:val="20"/>
          <w:szCs w:val="20"/>
        </w:rPr>
      </w:pPr>
    </w:p>
    <w:p w14:paraId="51D0C9F0" w14:textId="77777777" w:rsidR="00B2615F" w:rsidRPr="00373ACB" w:rsidRDefault="00B2615F"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1DFE0AA" w14:textId="35962AC3" w:rsidR="005E3FA7" w:rsidRDefault="003B4A41" w:rsidP="00240E1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14BAC9DA" w14:textId="77777777" w:rsidR="005E3FA7" w:rsidRPr="005E3FA7" w:rsidRDefault="005E3FA7" w:rsidP="00240E18">
      <w:pPr>
        <w:spacing w:after="120" w:line="240" w:lineRule="auto"/>
        <w:ind w:left="426" w:right="260"/>
        <w:jc w:val="both"/>
        <w:rPr>
          <w:rFonts w:ascii="Arial" w:hAnsi="Arial" w:cs="Arial"/>
          <w:b/>
          <w:sz w:val="20"/>
          <w:szCs w:val="20"/>
        </w:rPr>
      </w:pPr>
    </w:p>
    <w:p w14:paraId="5CDE7FD8"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DB5E87" w14:textId="36923212" w:rsidR="009A2D37" w:rsidRPr="00373ACB" w:rsidRDefault="003B4A41" w:rsidP="00240E18">
      <w:pPr>
        <w:spacing w:after="120" w:line="240" w:lineRule="auto"/>
        <w:ind w:left="426" w:right="260"/>
        <w:jc w:val="both"/>
        <w:rPr>
          <w:rFonts w:ascii="Arial" w:hAnsi="Arial" w:cs="Arial"/>
          <w:iCs/>
          <w:sz w:val="20"/>
          <w:szCs w:val="20"/>
        </w:rPr>
      </w:pPr>
      <w:r w:rsidRPr="003B4A41">
        <w:rPr>
          <w:rFonts w:ascii="Arial" w:hAnsi="Arial" w:cs="Arial"/>
          <w:iCs/>
          <w:sz w:val="20"/>
          <w:szCs w:val="20"/>
        </w:rPr>
        <w:t>LLM in (Specialisation);</w:t>
      </w:r>
      <w:r>
        <w:rPr>
          <w:rFonts w:ascii="Arial" w:hAnsi="Arial" w:cs="Arial"/>
          <w:iCs/>
          <w:sz w:val="20"/>
          <w:szCs w:val="20"/>
        </w:rPr>
        <w:t xml:space="preserve"> LLM in Law;</w:t>
      </w:r>
      <w:r w:rsidRPr="003B4A41">
        <w:rPr>
          <w:rFonts w:ascii="Arial" w:hAnsi="Arial" w:cs="Arial"/>
          <w:iCs/>
          <w:sz w:val="20"/>
          <w:szCs w:val="20"/>
        </w:rPr>
        <w:t xml:space="preserve"> PG Diploma in (Specialisation); PG Certificate in Law</w:t>
      </w:r>
    </w:p>
    <w:p w14:paraId="20C651D0" w14:textId="77777777" w:rsidR="00C07A56" w:rsidRPr="00373ACB" w:rsidRDefault="00C07A56" w:rsidP="00240E18">
      <w:pPr>
        <w:spacing w:after="120" w:line="240" w:lineRule="auto"/>
        <w:ind w:left="426" w:right="260"/>
        <w:jc w:val="both"/>
        <w:rPr>
          <w:rFonts w:ascii="Arial" w:hAnsi="Arial" w:cs="Arial"/>
          <w:iCs/>
          <w:sz w:val="20"/>
          <w:szCs w:val="20"/>
        </w:rPr>
      </w:pPr>
    </w:p>
    <w:p w14:paraId="733D5A32" w14:textId="77777777" w:rsidR="009A2D37" w:rsidRDefault="009A2D37" w:rsidP="00240E1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13BA34DD" w14:textId="77777777" w:rsidR="00380EAE" w:rsidRPr="00373ACB" w:rsidRDefault="00380EAE" w:rsidP="00240E18">
      <w:pPr>
        <w:spacing w:after="120" w:line="240" w:lineRule="auto"/>
        <w:ind w:left="426" w:right="260"/>
        <w:jc w:val="both"/>
        <w:rPr>
          <w:rFonts w:ascii="Arial" w:hAnsi="Arial" w:cs="Arial"/>
          <w:b/>
          <w:sz w:val="20"/>
          <w:szCs w:val="20"/>
        </w:rPr>
      </w:pPr>
    </w:p>
    <w:p w14:paraId="20305F8E" w14:textId="18B7A08E" w:rsidR="003B4A41" w:rsidRPr="003B4A41" w:rsidRDefault="00042059" w:rsidP="00240E18">
      <w:pPr>
        <w:pStyle w:val="ListParagraph"/>
        <w:numPr>
          <w:ilvl w:val="0"/>
          <w:numId w:val="14"/>
        </w:numPr>
        <w:ind w:right="260"/>
        <w:jc w:val="both"/>
        <w:rPr>
          <w:rFonts w:ascii="Arial" w:hAnsi="Arial" w:cs="Arial"/>
          <w:sz w:val="20"/>
          <w:szCs w:val="20"/>
        </w:rPr>
      </w:pPr>
      <w:r>
        <w:rPr>
          <w:rFonts w:ascii="Arial" w:hAnsi="Arial" w:cs="Arial"/>
          <w:sz w:val="20"/>
          <w:szCs w:val="20"/>
        </w:rPr>
        <w:t>Demonstrate a</w:t>
      </w:r>
      <w:r w:rsidR="003B4A41" w:rsidRPr="003B4A41">
        <w:rPr>
          <w:rFonts w:ascii="Arial" w:hAnsi="Arial" w:cs="Arial"/>
          <w:sz w:val="20"/>
          <w:szCs w:val="20"/>
        </w:rPr>
        <w:t>n advanced understanding of the relationships between the legal regimes governing international business transactions relating to the movement of vessels, goods and persons in maritime, sea, airspace and outer space territories.</w:t>
      </w:r>
    </w:p>
    <w:p w14:paraId="09D553E9" w14:textId="5F70F2E2" w:rsidR="003B4A41" w:rsidRPr="003B4A41" w:rsidRDefault="00E30178" w:rsidP="00240E18">
      <w:pPr>
        <w:pStyle w:val="ListParagraph"/>
        <w:numPr>
          <w:ilvl w:val="0"/>
          <w:numId w:val="14"/>
        </w:numPr>
        <w:ind w:right="260"/>
        <w:jc w:val="both"/>
        <w:rPr>
          <w:rFonts w:ascii="Arial" w:hAnsi="Arial" w:cs="Arial"/>
          <w:sz w:val="20"/>
          <w:szCs w:val="20"/>
        </w:rPr>
      </w:pPr>
      <w:r>
        <w:rPr>
          <w:rFonts w:ascii="Arial" w:hAnsi="Arial" w:cs="Arial"/>
          <w:sz w:val="20"/>
          <w:szCs w:val="20"/>
        </w:rPr>
        <w:t>Demonstrate a critical</w:t>
      </w:r>
      <w:r w:rsidR="003B4A41" w:rsidRPr="003B4A41">
        <w:rPr>
          <w:rFonts w:ascii="Arial" w:hAnsi="Arial" w:cs="Arial"/>
          <w:sz w:val="20"/>
          <w:szCs w:val="20"/>
        </w:rPr>
        <w:t xml:space="preserve"> understanding of the unification and harmonisation of private international regulation of maritime law, air law and space law through the adoption of international treaties and conventions.</w:t>
      </w:r>
    </w:p>
    <w:p w14:paraId="47B9EA14" w14:textId="0B22A6D1" w:rsidR="003B4A41" w:rsidRPr="003B4A41" w:rsidRDefault="00E30178" w:rsidP="00240E18">
      <w:pPr>
        <w:pStyle w:val="ListParagraph"/>
        <w:numPr>
          <w:ilvl w:val="0"/>
          <w:numId w:val="14"/>
        </w:numPr>
        <w:ind w:right="260"/>
        <w:jc w:val="both"/>
        <w:rPr>
          <w:rFonts w:ascii="Arial" w:hAnsi="Arial" w:cs="Arial"/>
          <w:sz w:val="20"/>
          <w:szCs w:val="20"/>
        </w:rPr>
      </w:pPr>
      <w:r>
        <w:rPr>
          <w:rFonts w:ascii="Arial" w:hAnsi="Arial" w:cs="Arial"/>
          <w:sz w:val="20"/>
          <w:szCs w:val="20"/>
        </w:rPr>
        <w:t>Demonstrate a systematic</w:t>
      </w:r>
      <w:r w:rsidR="003B4A41" w:rsidRPr="003B4A41">
        <w:rPr>
          <w:rFonts w:ascii="Arial" w:hAnsi="Arial" w:cs="Arial"/>
          <w:sz w:val="20"/>
          <w:szCs w:val="20"/>
        </w:rPr>
        <w:t xml:space="preserve"> understanding of the principles of liability for maritime, airspace and outer space activities.</w:t>
      </w:r>
    </w:p>
    <w:p w14:paraId="29E36F7C" w14:textId="4B6643D1" w:rsidR="003B4A41" w:rsidRPr="003B4A41" w:rsidRDefault="00E30178" w:rsidP="00240E18">
      <w:pPr>
        <w:pStyle w:val="ListParagraph"/>
        <w:numPr>
          <w:ilvl w:val="0"/>
          <w:numId w:val="14"/>
        </w:numPr>
        <w:ind w:right="260"/>
        <w:jc w:val="both"/>
        <w:rPr>
          <w:rFonts w:ascii="Arial" w:hAnsi="Arial" w:cs="Arial"/>
          <w:sz w:val="20"/>
          <w:szCs w:val="20"/>
        </w:rPr>
      </w:pPr>
      <w:r>
        <w:rPr>
          <w:rFonts w:ascii="Arial" w:hAnsi="Arial" w:cs="Arial"/>
          <w:sz w:val="20"/>
          <w:szCs w:val="20"/>
        </w:rPr>
        <w:t>Demonstrate originality in the application of k</w:t>
      </w:r>
      <w:r w:rsidR="003B4A41" w:rsidRPr="003B4A41">
        <w:rPr>
          <w:rFonts w:ascii="Arial" w:hAnsi="Arial" w:cs="Arial"/>
          <w:sz w:val="20"/>
          <w:szCs w:val="20"/>
        </w:rPr>
        <w:t>nowledge of key legal dimensions of the aviation business, such as aviation insurance and liability for damage.</w:t>
      </w:r>
    </w:p>
    <w:p w14:paraId="698AD022" w14:textId="2D4482FE" w:rsidR="008A4BCA" w:rsidRPr="003B4A41" w:rsidRDefault="00E30178" w:rsidP="00240E18">
      <w:pPr>
        <w:pStyle w:val="ListParagraph"/>
        <w:numPr>
          <w:ilvl w:val="0"/>
          <w:numId w:val="14"/>
        </w:numPr>
        <w:ind w:right="260"/>
        <w:jc w:val="both"/>
        <w:rPr>
          <w:rFonts w:ascii="Arial" w:hAnsi="Arial" w:cs="Arial"/>
          <w:sz w:val="20"/>
          <w:szCs w:val="20"/>
        </w:rPr>
      </w:pPr>
      <w:r>
        <w:rPr>
          <w:rFonts w:ascii="Arial" w:hAnsi="Arial" w:cs="Arial"/>
          <w:sz w:val="20"/>
          <w:szCs w:val="20"/>
        </w:rPr>
        <w:t xml:space="preserve">Critically appreciate </w:t>
      </w:r>
      <w:r w:rsidR="003B4A41" w:rsidRPr="003B4A41">
        <w:rPr>
          <w:rFonts w:ascii="Arial" w:hAnsi="Arial" w:cs="Arial"/>
          <w:sz w:val="20"/>
          <w:szCs w:val="20"/>
        </w:rPr>
        <w:t xml:space="preserve">the legal and economic implications of the development of space activities, particularly the commercialization of space transportation and communications systems, as well as the </w:t>
      </w:r>
      <w:proofErr w:type="gramStart"/>
      <w:r w:rsidR="003B4A41" w:rsidRPr="003B4A41">
        <w:rPr>
          <w:rFonts w:ascii="Arial" w:hAnsi="Arial" w:cs="Arial"/>
          <w:sz w:val="20"/>
          <w:szCs w:val="20"/>
        </w:rPr>
        <w:t>fast developing</w:t>
      </w:r>
      <w:proofErr w:type="gramEnd"/>
      <w:r w:rsidR="003B4A41" w:rsidRPr="003B4A41">
        <w:rPr>
          <w:rFonts w:ascii="Arial" w:hAnsi="Arial" w:cs="Arial"/>
          <w:sz w:val="20"/>
          <w:szCs w:val="20"/>
        </w:rPr>
        <w:t xml:space="preserve"> potentials of exploitation of space based resources.</w:t>
      </w:r>
    </w:p>
    <w:p w14:paraId="0D5F9DFE" w14:textId="77777777" w:rsidR="00373ACB" w:rsidRPr="00373ACB" w:rsidRDefault="00373ACB" w:rsidP="00240E18">
      <w:pPr>
        <w:pStyle w:val="ListParagraph"/>
        <w:spacing w:after="120" w:line="240" w:lineRule="auto"/>
        <w:ind w:left="851" w:right="260"/>
        <w:jc w:val="both"/>
        <w:rPr>
          <w:rFonts w:ascii="Arial" w:hAnsi="Arial" w:cs="Arial"/>
          <w:sz w:val="20"/>
          <w:szCs w:val="20"/>
        </w:rPr>
      </w:pPr>
    </w:p>
    <w:p w14:paraId="283CD37F" w14:textId="77777777" w:rsidR="00380EAE" w:rsidRDefault="009A2D37" w:rsidP="00240E1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8A67C8" w14:textId="77777777" w:rsidR="00380EAE" w:rsidRPr="00FB0284" w:rsidRDefault="00380EAE" w:rsidP="00240E18">
      <w:pPr>
        <w:spacing w:after="120" w:line="240" w:lineRule="auto"/>
        <w:ind w:right="260"/>
        <w:jc w:val="both"/>
        <w:rPr>
          <w:rFonts w:ascii="Arial" w:hAnsi="Arial" w:cs="Arial"/>
          <w:b/>
          <w:sz w:val="20"/>
          <w:szCs w:val="20"/>
        </w:rPr>
      </w:pPr>
    </w:p>
    <w:p w14:paraId="402F753A" w14:textId="401DDA09" w:rsidR="00EA7E4D" w:rsidRPr="00FB0284" w:rsidRDefault="00E30178" w:rsidP="00240E18">
      <w:pPr>
        <w:pStyle w:val="ListParagraph"/>
        <w:numPr>
          <w:ilvl w:val="0"/>
          <w:numId w:val="15"/>
        </w:numPr>
        <w:ind w:right="260"/>
        <w:jc w:val="both"/>
        <w:rPr>
          <w:rFonts w:ascii="Arial" w:hAnsi="Arial" w:cs="Arial"/>
          <w:sz w:val="20"/>
          <w:szCs w:val="20"/>
        </w:rPr>
      </w:pPr>
      <w:r w:rsidRPr="00FB0284">
        <w:rPr>
          <w:rFonts w:ascii="Arial" w:hAnsi="Arial" w:cs="Arial"/>
          <w:sz w:val="20"/>
          <w:szCs w:val="20"/>
        </w:rPr>
        <w:lastRenderedPageBreak/>
        <w:t xml:space="preserve">Critically </w:t>
      </w:r>
      <w:r w:rsidR="00EA7E4D" w:rsidRPr="00FB0284">
        <w:rPr>
          <w:rFonts w:ascii="Arial" w:hAnsi="Arial" w:cs="Arial"/>
          <w:sz w:val="20"/>
          <w:szCs w:val="20"/>
        </w:rPr>
        <w:t>reflect upon complex ideas and arguments, to digest, analyse and test scholarly views, to relate scholarly ideas and arguments to issues and circumstances in the contemporary global political economy and to summarise and analyse scholarly arguments</w:t>
      </w:r>
      <w:r w:rsidRPr="00FB0284">
        <w:rPr>
          <w:rFonts w:ascii="Arial" w:hAnsi="Arial" w:cs="Arial"/>
          <w:sz w:val="20"/>
          <w:szCs w:val="20"/>
        </w:rPr>
        <w:t>.</w:t>
      </w:r>
    </w:p>
    <w:p w14:paraId="06118361" w14:textId="5C186A40" w:rsidR="00EA7E4D" w:rsidRPr="00FB0284" w:rsidRDefault="00E30178" w:rsidP="00240E18">
      <w:pPr>
        <w:pStyle w:val="ListParagraph"/>
        <w:numPr>
          <w:ilvl w:val="0"/>
          <w:numId w:val="15"/>
        </w:numPr>
        <w:ind w:right="260"/>
        <w:jc w:val="both"/>
        <w:rPr>
          <w:rFonts w:ascii="Arial" w:hAnsi="Arial" w:cs="Arial"/>
          <w:sz w:val="20"/>
          <w:szCs w:val="20"/>
        </w:rPr>
      </w:pPr>
      <w:r w:rsidRPr="00FB0284">
        <w:rPr>
          <w:rFonts w:ascii="Arial" w:hAnsi="Arial" w:cs="Arial"/>
          <w:sz w:val="20"/>
          <w:szCs w:val="20"/>
        </w:rPr>
        <w:t>Demonstrate a</w:t>
      </w:r>
      <w:r w:rsidR="00EA7E4D" w:rsidRPr="00FB0284">
        <w:rPr>
          <w:rFonts w:ascii="Arial" w:hAnsi="Arial" w:cs="Arial"/>
          <w:sz w:val="20"/>
          <w:szCs w:val="20"/>
        </w:rPr>
        <w:t>dvocacy and defence</w:t>
      </w:r>
      <w:r w:rsidRPr="00FB0284">
        <w:rPr>
          <w:rFonts w:ascii="Arial" w:hAnsi="Arial" w:cs="Arial"/>
          <w:sz w:val="20"/>
          <w:szCs w:val="20"/>
        </w:rPr>
        <w:t xml:space="preserve"> by</w:t>
      </w:r>
      <w:r w:rsidR="00EA7E4D" w:rsidRPr="00FB0284">
        <w:rPr>
          <w:rFonts w:ascii="Arial" w:hAnsi="Arial" w:cs="Arial"/>
          <w:sz w:val="20"/>
          <w:szCs w:val="20"/>
        </w:rPr>
        <w:t xml:space="preserve"> formulat</w:t>
      </w:r>
      <w:r w:rsidRPr="00FB0284">
        <w:rPr>
          <w:rFonts w:ascii="Arial" w:hAnsi="Arial" w:cs="Arial"/>
          <w:sz w:val="20"/>
          <w:szCs w:val="20"/>
        </w:rPr>
        <w:t>ing</w:t>
      </w:r>
      <w:r w:rsidR="00EA7E4D" w:rsidRPr="00FB0284">
        <w:rPr>
          <w:rFonts w:ascii="Arial" w:hAnsi="Arial" w:cs="Arial"/>
          <w:sz w:val="20"/>
          <w:szCs w:val="20"/>
        </w:rPr>
        <w:t xml:space="preserve"> an opinion in response to an issue or question and to construct coherent and persuasive arguments to advocate one’s view and to defend that view against criticism</w:t>
      </w:r>
      <w:r w:rsidRPr="00FB0284">
        <w:rPr>
          <w:rFonts w:ascii="Arial" w:hAnsi="Arial" w:cs="Arial"/>
          <w:sz w:val="20"/>
          <w:szCs w:val="20"/>
        </w:rPr>
        <w:t>.</w:t>
      </w:r>
    </w:p>
    <w:p w14:paraId="5D54A37A" w14:textId="49E57E7F" w:rsidR="00EA7E4D" w:rsidRPr="00FB0284" w:rsidRDefault="00E30178" w:rsidP="00240E18">
      <w:pPr>
        <w:pStyle w:val="ListParagraph"/>
        <w:numPr>
          <w:ilvl w:val="0"/>
          <w:numId w:val="15"/>
        </w:numPr>
        <w:ind w:right="260"/>
        <w:jc w:val="both"/>
        <w:rPr>
          <w:rFonts w:ascii="Arial" w:hAnsi="Arial" w:cs="Arial"/>
          <w:sz w:val="20"/>
          <w:szCs w:val="20"/>
        </w:rPr>
      </w:pPr>
      <w:r w:rsidRPr="00FB0284">
        <w:rPr>
          <w:rFonts w:ascii="Arial" w:hAnsi="Arial" w:cs="Arial"/>
          <w:sz w:val="20"/>
          <w:szCs w:val="20"/>
        </w:rPr>
        <w:t>Demonstrate self-direction and originality in tackling and solving problem questions. R</w:t>
      </w:r>
      <w:r w:rsidR="00EA7E4D" w:rsidRPr="00FB0284">
        <w:rPr>
          <w:rFonts w:ascii="Arial" w:hAnsi="Arial" w:cs="Arial"/>
          <w:sz w:val="20"/>
          <w:szCs w:val="20"/>
        </w:rPr>
        <w:t>espond</w:t>
      </w:r>
      <w:r w:rsidRPr="00FB0284">
        <w:rPr>
          <w:rFonts w:ascii="Arial" w:hAnsi="Arial" w:cs="Arial"/>
          <w:sz w:val="20"/>
          <w:szCs w:val="20"/>
        </w:rPr>
        <w:t>ing</w:t>
      </w:r>
      <w:r w:rsidR="00EA7E4D" w:rsidRPr="00FB0284">
        <w:rPr>
          <w:rFonts w:ascii="Arial" w:hAnsi="Arial" w:cs="Arial"/>
          <w:sz w:val="20"/>
          <w:szCs w:val="20"/>
        </w:rPr>
        <w:t xml:space="preserve"> at short notice to questions and challenges making use of knowledge, analytical tools and perspectives acquired in the module</w:t>
      </w:r>
      <w:r w:rsidR="004113C4">
        <w:rPr>
          <w:rFonts w:ascii="Arial" w:hAnsi="Arial" w:cs="Arial"/>
          <w:sz w:val="20"/>
          <w:szCs w:val="20"/>
        </w:rPr>
        <w:t>.</w:t>
      </w:r>
    </w:p>
    <w:p w14:paraId="18BC49C9" w14:textId="2EF9F9F8" w:rsidR="00373ACB" w:rsidRPr="00FB0284" w:rsidRDefault="00E30178" w:rsidP="00240E18">
      <w:pPr>
        <w:pStyle w:val="ListParagraph"/>
        <w:numPr>
          <w:ilvl w:val="0"/>
          <w:numId w:val="15"/>
        </w:numPr>
        <w:ind w:right="260"/>
        <w:jc w:val="both"/>
        <w:rPr>
          <w:rFonts w:ascii="Arial" w:hAnsi="Arial" w:cs="Arial"/>
          <w:sz w:val="20"/>
          <w:szCs w:val="20"/>
        </w:rPr>
      </w:pPr>
      <w:r w:rsidRPr="00FB0284">
        <w:rPr>
          <w:rFonts w:ascii="Arial" w:hAnsi="Arial" w:cs="Arial"/>
          <w:sz w:val="20"/>
          <w:szCs w:val="20"/>
        </w:rPr>
        <w:t>Demonstrat</w:t>
      </w:r>
      <w:r w:rsidR="00B21819">
        <w:rPr>
          <w:rFonts w:ascii="Arial" w:hAnsi="Arial" w:cs="Arial"/>
          <w:sz w:val="20"/>
          <w:szCs w:val="20"/>
        </w:rPr>
        <w:t>e</w:t>
      </w:r>
      <w:r w:rsidRPr="00FB0284">
        <w:rPr>
          <w:rFonts w:ascii="Arial" w:hAnsi="Arial" w:cs="Arial"/>
          <w:sz w:val="20"/>
          <w:szCs w:val="20"/>
        </w:rPr>
        <w:t xml:space="preserve"> </w:t>
      </w:r>
      <w:r w:rsidR="00EF62DD" w:rsidRPr="00FB0284">
        <w:rPr>
          <w:rFonts w:ascii="Arial" w:hAnsi="Arial" w:cs="Arial"/>
          <w:sz w:val="20"/>
          <w:szCs w:val="20"/>
        </w:rPr>
        <w:t>a</w:t>
      </w:r>
      <w:r w:rsidRPr="00FB0284">
        <w:rPr>
          <w:rFonts w:ascii="Arial" w:hAnsi="Arial" w:cs="Arial"/>
          <w:sz w:val="20"/>
          <w:szCs w:val="20"/>
        </w:rPr>
        <w:t xml:space="preserve"> systematic </w:t>
      </w:r>
      <w:r w:rsidR="00EA7E4D" w:rsidRPr="00FB0284">
        <w:rPr>
          <w:rFonts w:ascii="Arial" w:hAnsi="Arial" w:cs="Arial"/>
          <w:sz w:val="20"/>
          <w:szCs w:val="20"/>
        </w:rPr>
        <w:t xml:space="preserve">ability to adopt </w:t>
      </w:r>
      <w:r w:rsidR="00EF62DD" w:rsidRPr="00FB0284">
        <w:rPr>
          <w:rFonts w:ascii="Arial" w:hAnsi="Arial" w:cs="Arial"/>
          <w:sz w:val="20"/>
          <w:szCs w:val="20"/>
        </w:rPr>
        <w:t>cross-disciplinary</w:t>
      </w:r>
      <w:r w:rsidR="00EA7E4D" w:rsidRPr="00FB0284">
        <w:rPr>
          <w:rFonts w:ascii="Arial" w:hAnsi="Arial" w:cs="Arial"/>
          <w:sz w:val="20"/>
          <w:szCs w:val="20"/>
        </w:rPr>
        <w:t xml:space="preserve"> approaches to the study of law and to appreciate the interactions between law with other disciplines, particularly international relations, economics and politics as well as science and technology.</w:t>
      </w:r>
    </w:p>
    <w:p w14:paraId="0A676D9A" w14:textId="77777777" w:rsidR="00373ACB" w:rsidRPr="00373ACB" w:rsidRDefault="00373ACB" w:rsidP="00240E18">
      <w:pPr>
        <w:pStyle w:val="Default"/>
        <w:spacing w:after="120"/>
        <w:ind w:right="260"/>
        <w:jc w:val="both"/>
        <w:rPr>
          <w:color w:val="auto"/>
          <w:sz w:val="20"/>
          <w:szCs w:val="20"/>
        </w:rPr>
      </w:pPr>
    </w:p>
    <w:p w14:paraId="3CE46EA8"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52A94E6" w14:textId="67C7DCE6" w:rsidR="00373ACB" w:rsidRPr="00A372EF" w:rsidRDefault="00EA7E4D" w:rsidP="00240E18">
      <w:pPr>
        <w:spacing w:after="120" w:line="240" w:lineRule="auto"/>
        <w:ind w:left="426" w:right="260"/>
        <w:jc w:val="both"/>
        <w:rPr>
          <w:rFonts w:ascii="Arial" w:hAnsi="Arial" w:cs="Arial"/>
          <w:iCs/>
          <w:sz w:val="20"/>
          <w:szCs w:val="20"/>
        </w:rPr>
      </w:pPr>
      <w:r w:rsidRPr="00A372EF">
        <w:rPr>
          <w:rFonts w:ascii="Arial" w:hAnsi="Arial" w:cs="Arial"/>
          <w:iCs/>
          <w:sz w:val="20"/>
          <w:szCs w:val="20"/>
        </w:rPr>
        <w:t xml:space="preserve">The module aims to facilitate a holistic understanding of public and private international law issues in the contemporary legal regulation of the sovereign and non-sovereign parts of maritime, airspace and outer space territories. This includes an examination of the key areas of private law such as transportation, liability and business transactions in maritime law, the law of the sea, air law and space law. Any international business transaction involving the sale and supply of goods has to contemplate the means by which the goods are transported from the exporter’s country to the importer’s country. This means that international carriage of goods is a central aspect of international commercial law. Carriage of goods by sea, by air and increasingly in the form of payload on spacecraft has played and continues to play an extremely important role in contemporary international commercial law. This module further complements the departmental emphasis on </w:t>
      </w:r>
      <w:r w:rsidR="00EF62DD" w:rsidRPr="00A372EF">
        <w:rPr>
          <w:rFonts w:ascii="Arial" w:hAnsi="Arial" w:cs="Arial"/>
          <w:iCs/>
          <w:sz w:val="20"/>
          <w:szCs w:val="20"/>
        </w:rPr>
        <w:t>cross-disciplinary</w:t>
      </w:r>
      <w:r w:rsidRPr="00A372EF">
        <w:rPr>
          <w:rFonts w:ascii="Arial" w:hAnsi="Arial" w:cs="Arial"/>
          <w:iCs/>
          <w:sz w:val="20"/>
          <w:szCs w:val="20"/>
        </w:rPr>
        <w:t xml:space="preserve"> approaches to the study of law and examination of the interaction of law with other disciplines, particularly international relations, politics, business and economics, as well as science and technology.</w:t>
      </w:r>
    </w:p>
    <w:p w14:paraId="6EABD8D8" w14:textId="77777777" w:rsidR="00EA7E4D" w:rsidRDefault="00EA7E4D" w:rsidP="00240E18">
      <w:pPr>
        <w:spacing w:after="120" w:line="240" w:lineRule="auto"/>
        <w:ind w:left="426" w:right="260"/>
        <w:jc w:val="both"/>
        <w:rPr>
          <w:rFonts w:ascii="Arial" w:hAnsi="Arial" w:cs="Arial"/>
          <w:iCs/>
          <w:sz w:val="20"/>
          <w:szCs w:val="20"/>
        </w:rPr>
      </w:pPr>
    </w:p>
    <w:p w14:paraId="6D9F043C" w14:textId="77777777" w:rsidR="009A2D37" w:rsidRPr="00373ACB" w:rsidRDefault="00DF2132" w:rsidP="00240E1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01CF32C" w14:textId="5F2494D4" w:rsidR="004F7EF4" w:rsidRPr="00A372EF" w:rsidRDefault="004F7EF4" w:rsidP="00240E18">
      <w:pPr>
        <w:ind w:left="426" w:right="260"/>
        <w:jc w:val="both"/>
        <w:rPr>
          <w:rFonts w:ascii="Arial" w:hAnsi="Arial" w:cs="Arial"/>
          <w:sz w:val="20"/>
          <w:szCs w:val="20"/>
        </w:rPr>
      </w:pPr>
      <w:r w:rsidRPr="00A372EF">
        <w:rPr>
          <w:rFonts w:ascii="Arial" w:hAnsi="Arial" w:cs="Arial"/>
          <w:sz w:val="20"/>
          <w:szCs w:val="20"/>
        </w:rPr>
        <w:t>Carr, I</w:t>
      </w:r>
      <w:r w:rsidR="005708B1">
        <w:rPr>
          <w:rFonts w:ascii="Arial" w:hAnsi="Arial" w:cs="Arial"/>
          <w:sz w:val="20"/>
          <w:szCs w:val="20"/>
        </w:rPr>
        <w:t>., International Trade Law (6</w:t>
      </w:r>
      <w:r w:rsidRPr="00A372EF">
        <w:rPr>
          <w:rFonts w:ascii="Arial" w:hAnsi="Arial" w:cs="Arial"/>
          <w:sz w:val="20"/>
          <w:szCs w:val="20"/>
        </w:rPr>
        <w:t xml:space="preserve">th </w:t>
      </w:r>
      <w:r w:rsidR="005708B1">
        <w:rPr>
          <w:rFonts w:ascii="Arial" w:hAnsi="Arial" w:cs="Arial"/>
          <w:sz w:val="20"/>
          <w:szCs w:val="20"/>
        </w:rPr>
        <w:t>e</w:t>
      </w:r>
      <w:r w:rsidRPr="00A372EF">
        <w:rPr>
          <w:rFonts w:ascii="Arial" w:hAnsi="Arial" w:cs="Arial"/>
          <w:sz w:val="20"/>
          <w:szCs w:val="20"/>
        </w:rPr>
        <w:t>d, Routledge, 201</w:t>
      </w:r>
      <w:r w:rsidR="005708B1">
        <w:rPr>
          <w:rFonts w:ascii="Arial" w:hAnsi="Arial" w:cs="Arial"/>
          <w:sz w:val="20"/>
          <w:szCs w:val="20"/>
        </w:rPr>
        <w:t>7)</w:t>
      </w:r>
      <w:r w:rsidRPr="00A372EF">
        <w:rPr>
          <w:rFonts w:ascii="Arial" w:hAnsi="Arial" w:cs="Arial"/>
          <w:sz w:val="20"/>
          <w:szCs w:val="20"/>
        </w:rPr>
        <w:t>.</w:t>
      </w:r>
    </w:p>
    <w:p w14:paraId="5E4732FD" w14:textId="693ECE7D" w:rsidR="004F7EF4" w:rsidRPr="00A372EF" w:rsidRDefault="005708B1" w:rsidP="00240E18">
      <w:pPr>
        <w:spacing w:before="60" w:after="60" w:line="240" w:lineRule="auto"/>
        <w:ind w:left="426" w:right="260"/>
        <w:jc w:val="both"/>
        <w:rPr>
          <w:rFonts w:ascii="Arial" w:hAnsi="Arial" w:cs="Arial"/>
          <w:sz w:val="20"/>
          <w:szCs w:val="20"/>
        </w:rPr>
      </w:pPr>
      <w:r>
        <w:rPr>
          <w:rFonts w:ascii="Arial" w:hAnsi="Arial" w:cs="Arial"/>
          <w:sz w:val="20"/>
          <w:szCs w:val="20"/>
        </w:rPr>
        <w:t xml:space="preserve">Churchill, R.R., </w:t>
      </w:r>
      <w:r w:rsidR="004F7EF4" w:rsidRPr="00A372EF">
        <w:rPr>
          <w:rFonts w:ascii="Arial" w:hAnsi="Arial" w:cs="Arial"/>
          <w:sz w:val="20"/>
          <w:szCs w:val="20"/>
        </w:rPr>
        <w:t>&amp; Lowe,</w:t>
      </w:r>
      <w:r>
        <w:rPr>
          <w:rFonts w:ascii="Arial" w:hAnsi="Arial" w:cs="Arial"/>
          <w:sz w:val="20"/>
          <w:szCs w:val="20"/>
        </w:rPr>
        <w:t xml:space="preserve"> A.V.,</w:t>
      </w:r>
      <w:r w:rsidR="004F7EF4" w:rsidRPr="00A372EF">
        <w:rPr>
          <w:rFonts w:ascii="Arial" w:hAnsi="Arial" w:cs="Arial"/>
          <w:sz w:val="20"/>
          <w:szCs w:val="20"/>
        </w:rPr>
        <w:t xml:space="preserve"> The Law of the Sea </w:t>
      </w:r>
      <w:r>
        <w:rPr>
          <w:rFonts w:ascii="Arial" w:hAnsi="Arial" w:cs="Arial"/>
          <w:sz w:val="20"/>
          <w:szCs w:val="20"/>
        </w:rPr>
        <w:t>(3rd e</w:t>
      </w:r>
      <w:r w:rsidR="004F7EF4" w:rsidRPr="00A372EF">
        <w:rPr>
          <w:rFonts w:ascii="Arial" w:hAnsi="Arial" w:cs="Arial"/>
          <w:sz w:val="20"/>
          <w:szCs w:val="20"/>
        </w:rPr>
        <w:t xml:space="preserve">d, </w:t>
      </w:r>
      <w:r>
        <w:rPr>
          <w:rFonts w:ascii="Arial" w:hAnsi="Arial" w:cs="Arial"/>
          <w:sz w:val="20"/>
          <w:szCs w:val="20"/>
        </w:rPr>
        <w:t xml:space="preserve">Manchester University Press, </w:t>
      </w:r>
      <w:r w:rsidR="004F7EF4" w:rsidRPr="00A372EF">
        <w:rPr>
          <w:rFonts w:ascii="Arial" w:hAnsi="Arial" w:cs="Arial"/>
          <w:sz w:val="20"/>
          <w:szCs w:val="20"/>
        </w:rPr>
        <w:t>1999</w:t>
      </w:r>
      <w:r>
        <w:rPr>
          <w:rFonts w:ascii="Arial" w:hAnsi="Arial" w:cs="Arial"/>
          <w:sz w:val="20"/>
          <w:szCs w:val="20"/>
        </w:rPr>
        <w:t>)</w:t>
      </w:r>
      <w:r w:rsidR="004F7EF4" w:rsidRPr="00A372EF">
        <w:rPr>
          <w:rFonts w:ascii="Arial" w:hAnsi="Arial" w:cs="Arial"/>
          <w:sz w:val="20"/>
          <w:szCs w:val="20"/>
        </w:rPr>
        <w:t>.</w:t>
      </w:r>
    </w:p>
    <w:p w14:paraId="31C6904E" w14:textId="77777777" w:rsidR="004F7EF4" w:rsidRPr="00A372EF" w:rsidRDefault="004F7EF4" w:rsidP="00240E18">
      <w:pPr>
        <w:spacing w:before="60" w:after="60" w:line="240" w:lineRule="auto"/>
        <w:ind w:right="260" w:firstLine="426"/>
        <w:jc w:val="both"/>
        <w:rPr>
          <w:rFonts w:ascii="Arial" w:hAnsi="Arial" w:cs="Arial"/>
          <w:sz w:val="20"/>
          <w:szCs w:val="20"/>
        </w:rPr>
      </w:pPr>
    </w:p>
    <w:p w14:paraId="38DA2B83" w14:textId="6D8C8887" w:rsidR="004F7EF4" w:rsidRPr="00A372EF" w:rsidRDefault="004F7EF4" w:rsidP="00240E18">
      <w:pPr>
        <w:spacing w:before="60" w:after="60" w:line="240" w:lineRule="auto"/>
        <w:ind w:right="260" w:firstLine="426"/>
        <w:jc w:val="both"/>
        <w:rPr>
          <w:rFonts w:ascii="Arial" w:hAnsi="Arial" w:cs="Arial"/>
          <w:sz w:val="20"/>
          <w:szCs w:val="20"/>
        </w:rPr>
      </w:pPr>
      <w:r w:rsidRPr="00A372EF">
        <w:rPr>
          <w:rFonts w:ascii="Arial" w:hAnsi="Arial" w:cs="Arial"/>
          <w:sz w:val="20"/>
          <w:szCs w:val="20"/>
        </w:rPr>
        <w:t>Grief, N</w:t>
      </w:r>
      <w:r w:rsidR="005708B1">
        <w:rPr>
          <w:rFonts w:ascii="Arial" w:hAnsi="Arial" w:cs="Arial"/>
          <w:sz w:val="20"/>
          <w:szCs w:val="20"/>
        </w:rPr>
        <w:t>.</w:t>
      </w:r>
      <w:r w:rsidRPr="00A372EF">
        <w:rPr>
          <w:rFonts w:ascii="Arial" w:hAnsi="Arial" w:cs="Arial"/>
          <w:sz w:val="20"/>
          <w:szCs w:val="20"/>
        </w:rPr>
        <w:t>, Public International Law in</w:t>
      </w:r>
      <w:r w:rsidR="005708B1">
        <w:rPr>
          <w:rFonts w:ascii="Arial" w:hAnsi="Arial" w:cs="Arial"/>
          <w:sz w:val="20"/>
          <w:szCs w:val="20"/>
        </w:rPr>
        <w:t xml:space="preserve"> the Airspace of the High Seas (Springer</w:t>
      </w:r>
      <w:r w:rsidRPr="00A372EF">
        <w:rPr>
          <w:rFonts w:ascii="Arial" w:hAnsi="Arial" w:cs="Arial"/>
          <w:sz w:val="20"/>
          <w:szCs w:val="20"/>
        </w:rPr>
        <w:t>, 1994</w:t>
      </w:r>
      <w:r w:rsidR="005708B1">
        <w:rPr>
          <w:rFonts w:ascii="Arial" w:hAnsi="Arial" w:cs="Arial"/>
          <w:sz w:val="20"/>
          <w:szCs w:val="20"/>
        </w:rPr>
        <w:t>)</w:t>
      </w:r>
      <w:r w:rsidRPr="00A372EF">
        <w:rPr>
          <w:rFonts w:ascii="Arial" w:hAnsi="Arial" w:cs="Arial"/>
          <w:sz w:val="20"/>
          <w:szCs w:val="20"/>
        </w:rPr>
        <w:t>.</w:t>
      </w:r>
    </w:p>
    <w:p w14:paraId="5C6A8D63" w14:textId="77777777" w:rsidR="004F7EF4" w:rsidRPr="00A372EF" w:rsidRDefault="004F7EF4" w:rsidP="00240E18">
      <w:pPr>
        <w:spacing w:before="60" w:after="60" w:line="240" w:lineRule="auto"/>
        <w:ind w:left="426" w:right="260"/>
        <w:jc w:val="both"/>
        <w:rPr>
          <w:rFonts w:ascii="Arial" w:hAnsi="Arial" w:cs="Arial"/>
          <w:sz w:val="20"/>
          <w:szCs w:val="20"/>
        </w:rPr>
      </w:pPr>
    </w:p>
    <w:p w14:paraId="2B21728C" w14:textId="2EE5578C" w:rsidR="00EA7E4D" w:rsidRPr="00A372EF" w:rsidRDefault="00EA7E4D" w:rsidP="00240E18">
      <w:pPr>
        <w:ind w:left="426" w:right="260"/>
        <w:jc w:val="both"/>
        <w:rPr>
          <w:rFonts w:ascii="Arial" w:hAnsi="Arial" w:cs="Arial"/>
          <w:sz w:val="20"/>
          <w:szCs w:val="20"/>
        </w:rPr>
      </w:pPr>
      <w:r w:rsidRPr="00A372EF">
        <w:rPr>
          <w:rFonts w:ascii="Arial" w:hAnsi="Arial" w:cs="Arial"/>
          <w:sz w:val="20"/>
          <w:szCs w:val="20"/>
        </w:rPr>
        <w:t>Oduntan,</w:t>
      </w:r>
      <w:r w:rsidR="004F7EF4" w:rsidRPr="00A372EF">
        <w:rPr>
          <w:rFonts w:ascii="Arial" w:hAnsi="Arial" w:cs="Arial"/>
          <w:sz w:val="20"/>
          <w:szCs w:val="20"/>
        </w:rPr>
        <w:t xml:space="preserve"> G</w:t>
      </w:r>
      <w:r w:rsidR="005708B1">
        <w:rPr>
          <w:rFonts w:ascii="Arial" w:hAnsi="Arial" w:cs="Arial"/>
          <w:sz w:val="20"/>
          <w:szCs w:val="20"/>
        </w:rPr>
        <w:t>.</w:t>
      </w:r>
      <w:r w:rsidR="004F7EF4" w:rsidRPr="00A372EF">
        <w:rPr>
          <w:rFonts w:ascii="Arial" w:hAnsi="Arial" w:cs="Arial"/>
          <w:sz w:val="20"/>
          <w:szCs w:val="20"/>
        </w:rPr>
        <w:t>,</w:t>
      </w:r>
      <w:r w:rsidRPr="00A372EF">
        <w:rPr>
          <w:rFonts w:ascii="Arial" w:hAnsi="Arial" w:cs="Arial"/>
          <w:sz w:val="20"/>
          <w:szCs w:val="20"/>
        </w:rPr>
        <w:t xml:space="preserve"> </w:t>
      </w:r>
      <w:r w:rsidRPr="00AB2C99">
        <w:rPr>
          <w:rFonts w:ascii="Arial" w:hAnsi="Arial" w:cs="Arial"/>
          <w:sz w:val="20"/>
          <w:szCs w:val="20"/>
        </w:rPr>
        <w:t>Sovereignty and Jurisdiction in Airspace and Outer Space: Legal Criteria for Spatial Delimitation</w:t>
      </w:r>
      <w:r w:rsidR="004F7EF4" w:rsidRPr="00A372EF">
        <w:rPr>
          <w:rFonts w:ascii="Arial" w:hAnsi="Arial" w:cs="Arial"/>
          <w:sz w:val="20"/>
          <w:szCs w:val="20"/>
        </w:rPr>
        <w:t xml:space="preserve">, </w:t>
      </w:r>
      <w:r w:rsidR="005708B1">
        <w:rPr>
          <w:rFonts w:ascii="Arial" w:hAnsi="Arial" w:cs="Arial"/>
          <w:sz w:val="20"/>
          <w:szCs w:val="20"/>
        </w:rPr>
        <w:t>(</w:t>
      </w:r>
      <w:r w:rsidRPr="00A372EF">
        <w:rPr>
          <w:rFonts w:ascii="Arial" w:hAnsi="Arial" w:cs="Arial"/>
          <w:sz w:val="20"/>
          <w:szCs w:val="20"/>
        </w:rPr>
        <w:t>Routledge, 201</w:t>
      </w:r>
      <w:r w:rsidR="005708B1">
        <w:rPr>
          <w:rFonts w:ascii="Arial" w:hAnsi="Arial" w:cs="Arial"/>
          <w:sz w:val="20"/>
          <w:szCs w:val="20"/>
        </w:rPr>
        <w:t>1)</w:t>
      </w:r>
      <w:r w:rsidRPr="00A372EF">
        <w:rPr>
          <w:rFonts w:ascii="Arial" w:hAnsi="Arial" w:cs="Arial"/>
          <w:sz w:val="20"/>
          <w:szCs w:val="20"/>
        </w:rPr>
        <w:t>.</w:t>
      </w:r>
    </w:p>
    <w:p w14:paraId="1385022F" w14:textId="4DF0F09E" w:rsidR="00EA7E4D" w:rsidRPr="00A372EF" w:rsidRDefault="00EA7E4D" w:rsidP="00240E18">
      <w:pPr>
        <w:ind w:left="426" w:right="260"/>
        <w:jc w:val="both"/>
        <w:rPr>
          <w:rFonts w:ascii="Arial" w:hAnsi="Arial" w:cs="Arial"/>
          <w:sz w:val="20"/>
          <w:szCs w:val="20"/>
        </w:rPr>
      </w:pPr>
      <w:r w:rsidRPr="00A372EF">
        <w:rPr>
          <w:rFonts w:ascii="Arial" w:hAnsi="Arial" w:cs="Arial"/>
          <w:sz w:val="20"/>
          <w:szCs w:val="20"/>
        </w:rPr>
        <w:t>Wilson, J</w:t>
      </w:r>
      <w:r w:rsidR="005708B1">
        <w:rPr>
          <w:rFonts w:ascii="Arial" w:hAnsi="Arial" w:cs="Arial"/>
          <w:sz w:val="20"/>
          <w:szCs w:val="20"/>
        </w:rPr>
        <w:t>.,</w:t>
      </w:r>
      <w:r w:rsidRPr="00A372EF">
        <w:rPr>
          <w:rFonts w:ascii="Arial" w:hAnsi="Arial" w:cs="Arial"/>
          <w:sz w:val="20"/>
          <w:szCs w:val="20"/>
        </w:rPr>
        <w:t xml:space="preserve"> </w:t>
      </w:r>
      <w:r w:rsidRPr="00AB2C99">
        <w:rPr>
          <w:rFonts w:ascii="Arial" w:hAnsi="Arial" w:cs="Arial"/>
          <w:sz w:val="20"/>
          <w:szCs w:val="20"/>
        </w:rPr>
        <w:t xml:space="preserve">Carriage of Goods by Sea </w:t>
      </w:r>
      <w:r w:rsidR="005708B1">
        <w:rPr>
          <w:rFonts w:ascii="Arial" w:hAnsi="Arial" w:cs="Arial"/>
          <w:sz w:val="20"/>
          <w:szCs w:val="20"/>
        </w:rPr>
        <w:t>(</w:t>
      </w:r>
      <w:r w:rsidR="004F7EF4" w:rsidRPr="00A372EF">
        <w:rPr>
          <w:rFonts w:ascii="Arial" w:hAnsi="Arial" w:cs="Arial"/>
          <w:sz w:val="20"/>
          <w:szCs w:val="20"/>
        </w:rPr>
        <w:t xml:space="preserve">7th </w:t>
      </w:r>
      <w:r w:rsidR="005708B1">
        <w:rPr>
          <w:rFonts w:ascii="Arial" w:hAnsi="Arial" w:cs="Arial"/>
          <w:sz w:val="20"/>
          <w:szCs w:val="20"/>
        </w:rPr>
        <w:t>e</w:t>
      </w:r>
      <w:r w:rsidR="004F7EF4" w:rsidRPr="00A372EF">
        <w:rPr>
          <w:rFonts w:ascii="Arial" w:hAnsi="Arial" w:cs="Arial"/>
          <w:sz w:val="20"/>
          <w:szCs w:val="20"/>
        </w:rPr>
        <w:t>d, Longman,</w:t>
      </w:r>
      <w:r w:rsidRPr="00A372EF">
        <w:rPr>
          <w:rFonts w:ascii="Arial" w:hAnsi="Arial" w:cs="Arial"/>
          <w:sz w:val="20"/>
          <w:szCs w:val="20"/>
        </w:rPr>
        <w:t xml:space="preserve"> 2010</w:t>
      </w:r>
      <w:r w:rsidR="005708B1">
        <w:rPr>
          <w:rFonts w:ascii="Arial" w:hAnsi="Arial" w:cs="Arial"/>
          <w:sz w:val="20"/>
          <w:szCs w:val="20"/>
        </w:rPr>
        <w:t>)</w:t>
      </w:r>
      <w:r w:rsidRPr="00A372EF">
        <w:rPr>
          <w:rFonts w:ascii="Arial" w:hAnsi="Arial" w:cs="Arial"/>
          <w:sz w:val="20"/>
          <w:szCs w:val="20"/>
        </w:rPr>
        <w:t>.</w:t>
      </w:r>
    </w:p>
    <w:p w14:paraId="221435BB" w14:textId="77777777" w:rsidR="00EA7E4D" w:rsidRPr="00640F41" w:rsidRDefault="00EA7E4D" w:rsidP="00240E18">
      <w:pPr>
        <w:spacing w:before="60" w:after="60" w:line="240" w:lineRule="auto"/>
        <w:ind w:left="426" w:right="260"/>
        <w:jc w:val="both"/>
        <w:rPr>
          <w:rFonts w:ascii="Segoe UI" w:hAnsi="Segoe UI" w:cs="Segoe UI"/>
          <w:sz w:val="20"/>
          <w:szCs w:val="20"/>
        </w:rPr>
      </w:pPr>
    </w:p>
    <w:p w14:paraId="2DFDB003" w14:textId="0C17149C" w:rsidR="00DE4F08" w:rsidRPr="00240E18" w:rsidRDefault="009A2D37" w:rsidP="00240E18">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6C7E5393" w14:textId="77777777" w:rsidR="00240E18" w:rsidRDefault="00240E18" w:rsidP="00240E18">
      <w:pPr>
        <w:spacing w:after="120" w:line="240" w:lineRule="auto"/>
        <w:ind w:left="426" w:right="260"/>
        <w:jc w:val="both"/>
        <w:rPr>
          <w:rFonts w:ascii="Arial" w:hAnsi="Arial" w:cs="Arial"/>
          <w:iCs/>
          <w:sz w:val="20"/>
          <w:szCs w:val="20"/>
        </w:rPr>
      </w:pPr>
    </w:p>
    <w:p w14:paraId="3C851BBB" w14:textId="5ABDE06E" w:rsidR="004F7EF4" w:rsidRPr="004F7EF4" w:rsidRDefault="00E51B72" w:rsidP="00240E18">
      <w:pPr>
        <w:spacing w:after="120" w:line="240" w:lineRule="auto"/>
        <w:ind w:left="426" w:right="260"/>
        <w:jc w:val="both"/>
        <w:rPr>
          <w:rFonts w:ascii="Arial" w:hAnsi="Arial" w:cs="Arial"/>
          <w:iCs/>
          <w:sz w:val="20"/>
          <w:szCs w:val="20"/>
        </w:rPr>
      </w:pPr>
      <w:r>
        <w:rPr>
          <w:rFonts w:ascii="Arial" w:hAnsi="Arial" w:cs="Arial"/>
          <w:iCs/>
          <w:sz w:val="20"/>
          <w:szCs w:val="20"/>
        </w:rPr>
        <w:t>Total contact hours: 18</w:t>
      </w:r>
    </w:p>
    <w:p w14:paraId="5985A063" w14:textId="3BCDD860" w:rsidR="004F7EF4" w:rsidRPr="004F7EF4" w:rsidRDefault="004F7EF4" w:rsidP="00240E18">
      <w:pPr>
        <w:spacing w:after="120" w:line="240" w:lineRule="auto"/>
        <w:ind w:left="426" w:right="260"/>
        <w:jc w:val="both"/>
        <w:rPr>
          <w:rFonts w:ascii="Arial" w:hAnsi="Arial" w:cs="Arial"/>
          <w:iCs/>
          <w:sz w:val="20"/>
          <w:szCs w:val="20"/>
        </w:rPr>
      </w:pPr>
      <w:r w:rsidRPr="004F7EF4">
        <w:rPr>
          <w:rFonts w:ascii="Arial" w:hAnsi="Arial" w:cs="Arial"/>
          <w:iCs/>
          <w:sz w:val="20"/>
          <w:szCs w:val="20"/>
        </w:rPr>
        <w:t>Private study hours: 18</w:t>
      </w:r>
      <w:r w:rsidR="00E51B72">
        <w:rPr>
          <w:rFonts w:ascii="Arial" w:hAnsi="Arial" w:cs="Arial"/>
          <w:iCs/>
          <w:sz w:val="20"/>
          <w:szCs w:val="20"/>
        </w:rPr>
        <w:t>2</w:t>
      </w:r>
    </w:p>
    <w:p w14:paraId="7666CC6E" w14:textId="77777777" w:rsidR="004F7EF4" w:rsidRPr="004F7EF4" w:rsidRDefault="004F7EF4" w:rsidP="00240E18">
      <w:pPr>
        <w:spacing w:after="120" w:line="240" w:lineRule="auto"/>
        <w:ind w:left="426" w:right="260"/>
        <w:jc w:val="both"/>
        <w:rPr>
          <w:rFonts w:ascii="Arial" w:hAnsi="Arial" w:cs="Arial"/>
          <w:iCs/>
          <w:sz w:val="20"/>
          <w:szCs w:val="20"/>
        </w:rPr>
      </w:pPr>
      <w:r w:rsidRPr="004F7EF4">
        <w:rPr>
          <w:rFonts w:ascii="Arial" w:hAnsi="Arial" w:cs="Arial"/>
          <w:iCs/>
          <w:sz w:val="20"/>
          <w:szCs w:val="20"/>
        </w:rPr>
        <w:t>Total study hours: 200</w:t>
      </w:r>
    </w:p>
    <w:p w14:paraId="536045BB" w14:textId="77777777" w:rsidR="00373ACB" w:rsidRPr="00373ACB" w:rsidRDefault="00373ACB" w:rsidP="00240E18">
      <w:pPr>
        <w:spacing w:after="120" w:line="240" w:lineRule="auto"/>
        <w:ind w:left="426" w:right="260"/>
        <w:jc w:val="both"/>
        <w:rPr>
          <w:rFonts w:ascii="Arial" w:hAnsi="Arial" w:cs="Arial"/>
          <w:i/>
          <w:iCs/>
          <w:sz w:val="20"/>
          <w:szCs w:val="20"/>
        </w:rPr>
      </w:pPr>
    </w:p>
    <w:p w14:paraId="2F5FFBB7" w14:textId="07AE9575" w:rsidR="00373ACB" w:rsidRPr="00240E18" w:rsidRDefault="00EF4933" w:rsidP="00240E18">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4FA867D8" w14:textId="77777777" w:rsidR="00240E18" w:rsidRDefault="00240E18" w:rsidP="00240E18">
      <w:pPr>
        <w:spacing w:after="120" w:line="240" w:lineRule="auto"/>
        <w:ind w:left="426" w:right="260"/>
        <w:jc w:val="both"/>
        <w:rPr>
          <w:rFonts w:ascii="Arial" w:hAnsi="Arial" w:cs="Arial"/>
          <w:b/>
          <w:i/>
          <w:iCs/>
          <w:sz w:val="20"/>
          <w:szCs w:val="20"/>
        </w:rPr>
      </w:pPr>
    </w:p>
    <w:p w14:paraId="10485AB9" w14:textId="77777777" w:rsidR="006F3F43" w:rsidRPr="00962E40" w:rsidRDefault="006F3F43" w:rsidP="00240E1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42CD2A5F" w14:textId="77777777" w:rsidR="003D3483" w:rsidRPr="00962E40" w:rsidRDefault="003D3483" w:rsidP="00240E18">
      <w:pPr>
        <w:spacing w:after="120" w:line="240" w:lineRule="auto"/>
        <w:ind w:left="426" w:right="260"/>
        <w:jc w:val="both"/>
        <w:rPr>
          <w:rFonts w:ascii="Arial" w:hAnsi="Arial" w:cs="Arial"/>
          <w:iCs/>
          <w:sz w:val="20"/>
          <w:szCs w:val="20"/>
        </w:rPr>
      </w:pPr>
    </w:p>
    <w:p w14:paraId="4EF46933" w14:textId="4F4405A6" w:rsidR="00283AFC" w:rsidRPr="00A372EF" w:rsidRDefault="00283AFC" w:rsidP="00240E18">
      <w:pPr>
        <w:spacing w:after="120" w:line="240" w:lineRule="auto"/>
        <w:ind w:left="426" w:right="260"/>
        <w:jc w:val="both"/>
        <w:rPr>
          <w:rFonts w:ascii="Arial" w:hAnsi="Arial" w:cs="Arial"/>
          <w:iCs/>
          <w:sz w:val="20"/>
          <w:szCs w:val="20"/>
        </w:rPr>
      </w:pPr>
      <w:r w:rsidRPr="00A372EF">
        <w:rPr>
          <w:rFonts w:ascii="Arial" w:hAnsi="Arial" w:cs="Arial"/>
          <w:iCs/>
          <w:sz w:val="20"/>
          <w:szCs w:val="20"/>
        </w:rPr>
        <w:t xml:space="preserve">Essay of no more than </w:t>
      </w:r>
      <w:r w:rsidR="0000006F">
        <w:rPr>
          <w:rFonts w:ascii="Arial" w:hAnsi="Arial" w:cs="Arial"/>
          <w:iCs/>
          <w:sz w:val="20"/>
          <w:szCs w:val="20"/>
        </w:rPr>
        <w:t>4</w:t>
      </w:r>
      <w:r w:rsidRPr="00A372EF">
        <w:rPr>
          <w:rFonts w:ascii="Arial" w:hAnsi="Arial" w:cs="Arial"/>
          <w:iCs/>
          <w:sz w:val="20"/>
          <w:szCs w:val="20"/>
        </w:rPr>
        <w:t>000 words (80%)</w:t>
      </w:r>
    </w:p>
    <w:p w14:paraId="247B7CFE" w14:textId="7F997FE7" w:rsidR="00FB0284" w:rsidRDefault="00B21819" w:rsidP="00240E18">
      <w:pPr>
        <w:spacing w:after="120" w:line="240" w:lineRule="auto"/>
        <w:ind w:left="426" w:right="260"/>
        <w:jc w:val="both"/>
        <w:rPr>
          <w:rFonts w:ascii="Arial" w:hAnsi="Arial" w:cs="Arial"/>
          <w:iCs/>
          <w:sz w:val="20"/>
          <w:szCs w:val="20"/>
        </w:rPr>
      </w:pPr>
      <w:r>
        <w:rPr>
          <w:rFonts w:ascii="Arial" w:hAnsi="Arial" w:cs="Arial"/>
          <w:iCs/>
          <w:sz w:val="20"/>
          <w:szCs w:val="20"/>
        </w:rPr>
        <w:t>P</w:t>
      </w:r>
      <w:r w:rsidR="00283AFC" w:rsidRPr="00A372EF">
        <w:rPr>
          <w:rFonts w:ascii="Arial" w:hAnsi="Arial" w:cs="Arial"/>
          <w:iCs/>
          <w:sz w:val="20"/>
          <w:szCs w:val="20"/>
        </w:rPr>
        <w:t>resentation</w:t>
      </w:r>
      <w:r w:rsidR="0000006F">
        <w:rPr>
          <w:rFonts w:ascii="Arial" w:hAnsi="Arial" w:cs="Arial"/>
          <w:iCs/>
          <w:sz w:val="20"/>
          <w:szCs w:val="20"/>
        </w:rPr>
        <w:t>, in groups, approx. 15 minutes per group</w:t>
      </w:r>
      <w:r w:rsidR="004976B7">
        <w:rPr>
          <w:rFonts w:ascii="Arial" w:hAnsi="Arial" w:cs="Arial"/>
          <w:iCs/>
          <w:sz w:val="20"/>
          <w:szCs w:val="20"/>
        </w:rPr>
        <w:t>, mark awarded for the group</w:t>
      </w:r>
      <w:r w:rsidR="00FB0284">
        <w:rPr>
          <w:rFonts w:ascii="Arial" w:hAnsi="Arial" w:cs="Arial"/>
          <w:iCs/>
          <w:sz w:val="20"/>
          <w:szCs w:val="20"/>
        </w:rPr>
        <w:t xml:space="preserve"> (10%)</w:t>
      </w:r>
    </w:p>
    <w:p w14:paraId="1174A3D2" w14:textId="37426E6E" w:rsidR="00283AFC" w:rsidRPr="00A372EF" w:rsidRDefault="00B21819" w:rsidP="00240E18">
      <w:pPr>
        <w:spacing w:after="120" w:line="240" w:lineRule="auto"/>
        <w:ind w:left="426" w:right="260"/>
        <w:jc w:val="both"/>
        <w:rPr>
          <w:rFonts w:ascii="Arial" w:hAnsi="Arial" w:cs="Arial"/>
          <w:b/>
          <w:iCs/>
          <w:sz w:val="20"/>
          <w:szCs w:val="20"/>
        </w:rPr>
      </w:pPr>
      <w:r>
        <w:rPr>
          <w:rFonts w:ascii="Arial" w:hAnsi="Arial" w:cs="Arial"/>
          <w:iCs/>
          <w:sz w:val="20"/>
          <w:szCs w:val="20"/>
        </w:rPr>
        <w:t>G</w:t>
      </w:r>
      <w:r w:rsidR="00283AFC" w:rsidRPr="00A372EF">
        <w:rPr>
          <w:rFonts w:ascii="Arial" w:hAnsi="Arial" w:cs="Arial"/>
          <w:iCs/>
          <w:sz w:val="20"/>
          <w:szCs w:val="20"/>
        </w:rPr>
        <w:t>roup</w:t>
      </w:r>
      <w:r w:rsidR="0000006F">
        <w:rPr>
          <w:rFonts w:ascii="Arial" w:hAnsi="Arial" w:cs="Arial"/>
          <w:iCs/>
          <w:sz w:val="20"/>
          <w:szCs w:val="20"/>
        </w:rPr>
        <w:t xml:space="preserve"> work</w:t>
      </w:r>
      <w:r w:rsidR="00283AFC" w:rsidRPr="00A372EF">
        <w:rPr>
          <w:rFonts w:ascii="Arial" w:hAnsi="Arial" w:cs="Arial"/>
          <w:iCs/>
          <w:sz w:val="20"/>
          <w:szCs w:val="20"/>
        </w:rPr>
        <w:t xml:space="preserve"> paper</w:t>
      </w:r>
      <w:r w:rsidR="0000006F">
        <w:rPr>
          <w:rFonts w:ascii="Arial" w:hAnsi="Arial" w:cs="Arial"/>
          <w:iCs/>
          <w:sz w:val="20"/>
          <w:szCs w:val="20"/>
        </w:rPr>
        <w:t>, 1000 words per group member</w:t>
      </w:r>
      <w:r w:rsidR="004976B7">
        <w:rPr>
          <w:rFonts w:ascii="Arial" w:hAnsi="Arial" w:cs="Arial"/>
          <w:iCs/>
          <w:sz w:val="20"/>
          <w:szCs w:val="20"/>
        </w:rPr>
        <w:t>, mark awarded for the paper overall</w:t>
      </w:r>
      <w:r w:rsidR="00283AFC" w:rsidRPr="00A372EF">
        <w:rPr>
          <w:rFonts w:ascii="Arial" w:hAnsi="Arial" w:cs="Arial"/>
          <w:iCs/>
          <w:sz w:val="20"/>
          <w:szCs w:val="20"/>
        </w:rPr>
        <w:t xml:space="preserve"> (</w:t>
      </w:r>
      <w:r w:rsidR="00FB0284">
        <w:rPr>
          <w:rFonts w:ascii="Arial" w:hAnsi="Arial" w:cs="Arial"/>
          <w:iCs/>
          <w:sz w:val="20"/>
          <w:szCs w:val="20"/>
        </w:rPr>
        <w:t>1</w:t>
      </w:r>
      <w:r w:rsidR="00283AFC" w:rsidRPr="00A372EF">
        <w:rPr>
          <w:rFonts w:ascii="Arial" w:hAnsi="Arial" w:cs="Arial"/>
          <w:iCs/>
          <w:sz w:val="20"/>
          <w:szCs w:val="20"/>
        </w:rPr>
        <w:t>0%)</w:t>
      </w:r>
    </w:p>
    <w:p w14:paraId="400CA66C" w14:textId="1DEBA2D4" w:rsidR="0066061A" w:rsidRDefault="004976B7" w:rsidP="00240E18">
      <w:pPr>
        <w:spacing w:after="120" w:line="240" w:lineRule="auto"/>
        <w:ind w:left="426" w:right="260"/>
        <w:jc w:val="both"/>
        <w:rPr>
          <w:rFonts w:ascii="Arial" w:hAnsi="Arial" w:cs="Arial"/>
          <w:iCs/>
          <w:sz w:val="20"/>
          <w:szCs w:val="20"/>
        </w:rPr>
      </w:pPr>
      <w:r>
        <w:rPr>
          <w:rFonts w:ascii="Arial" w:hAnsi="Arial" w:cs="Arial"/>
          <w:iCs/>
          <w:sz w:val="20"/>
          <w:szCs w:val="20"/>
        </w:rPr>
        <w:t xml:space="preserve">For the participation </w:t>
      </w:r>
      <w:r w:rsidR="007940B3">
        <w:rPr>
          <w:rFonts w:ascii="Arial" w:hAnsi="Arial" w:cs="Arial"/>
          <w:iCs/>
          <w:sz w:val="20"/>
          <w:szCs w:val="20"/>
        </w:rPr>
        <w:t>elements,</w:t>
      </w:r>
      <w:r>
        <w:rPr>
          <w:rFonts w:ascii="Arial" w:hAnsi="Arial" w:cs="Arial"/>
          <w:iCs/>
          <w:sz w:val="20"/>
          <w:szCs w:val="20"/>
        </w:rPr>
        <w:t xml:space="preserve"> t</w:t>
      </w:r>
      <w:r w:rsidRPr="004976B7">
        <w:rPr>
          <w:rFonts w:ascii="Arial" w:hAnsi="Arial" w:cs="Arial"/>
          <w:iCs/>
          <w:sz w:val="20"/>
          <w:szCs w:val="20"/>
        </w:rPr>
        <w:t>he convenor will take opportunities to clarify aspects of each student’s contribution to the group, as well as their overall knowledge and understanding. Students will also have the ability to discuss any ‘free-riding’ concerns with the convenor as necessary.</w:t>
      </w:r>
    </w:p>
    <w:p w14:paraId="73D26B4A" w14:textId="77777777" w:rsidR="007940B3" w:rsidRPr="00962E40" w:rsidRDefault="007940B3" w:rsidP="00240E18">
      <w:pPr>
        <w:spacing w:after="120" w:line="240" w:lineRule="auto"/>
        <w:ind w:left="720" w:right="260"/>
        <w:jc w:val="both"/>
        <w:rPr>
          <w:rFonts w:ascii="Arial" w:hAnsi="Arial" w:cs="Arial"/>
          <w:iCs/>
          <w:sz w:val="20"/>
          <w:szCs w:val="20"/>
        </w:rPr>
      </w:pPr>
    </w:p>
    <w:p w14:paraId="40594F6E" w14:textId="77777777" w:rsidR="006F3F43" w:rsidRPr="00962E40" w:rsidRDefault="006F3F43" w:rsidP="00240E1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549FFFF" w14:textId="0FA900FC" w:rsidR="00373ACB" w:rsidRDefault="00283AFC" w:rsidP="00240E18">
      <w:pPr>
        <w:spacing w:after="120" w:line="240" w:lineRule="auto"/>
        <w:ind w:left="426" w:right="260"/>
        <w:jc w:val="both"/>
        <w:rPr>
          <w:rFonts w:ascii="Arial" w:hAnsi="Arial" w:cs="Arial"/>
          <w:iCs/>
          <w:sz w:val="20"/>
          <w:szCs w:val="20"/>
        </w:rPr>
      </w:pPr>
      <w:r w:rsidRPr="00283AFC">
        <w:rPr>
          <w:rFonts w:ascii="Arial" w:hAnsi="Arial" w:cs="Arial"/>
          <w:iCs/>
          <w:sz w:val="20"/>
          <w:szCs w:val="20"/>
        </w:rPr>
        <w:t>Reassessment Instrument: 100% coursework</w:t>
      </w:r>
      <w:r w:rsidRPr="00283AFC">
        <w:rPr>
          <w:rFonts w:ascii="Arial" w:hAnsi="Arial" w:cs="Arial"/>
          <w:iCs/>
          <w:sz w:val="20"/>
          <w:szCs w:val="20"/>
        </w:rPr>
        <w:tab/>
      </w:r>
    </w:p>
    <w:p w14:paraId="61977227" w14:textId="77777777" w:rsidR="00283AFC" w:rsidRPr="00283AFC" w:rsidRDefault="00283AFC" w:rsidP="00240E18">
      <w:pPr>
        <w:spacing w:after="120" w:line="240" w:lineRule="auto"/>
        <w:ind w:left="426" w:right="260"/>
        <w:jc w:val="both"/>
        <w:rPr>
          <w:rFonts w:ascii="Arial" w:hAnsi="Arial" w:cs="Arial"/>
          <w:iCs/>
          <w:sz w:val="20"/>
          <w:szCs w:val="20"/>
        </w:rPr>
      </w:pPr>
    </w:p>
    <w:p w14:paraId="22EEA877" w14:textId="77777777" w:rsidR="00274ED7" w:rsidRPr="00240E18" w:rsidRDefault="00DF2132" w:rsidP="00240E18">
      <w:pPr>
        <w:numPr>
          <w:ilvl w:val="0"/>
          <w:numId w:val="1"/>
        </w:numPr>
        <w:spacing w:after="120" w:line="240" w:lineRule="auto"/>
        <w:ind w:left="426" w:right="260" w:hanging="426"/>
        <w:jc w:val="both"/>
        <w:rPr>
          <w:rFonts w:ascii="Arial" w:hAnsi="Arial" w:cs="Arial"/>
          <w:b/>
          <w:sz w:val="20"/>
          <w:szCs w:val="20"/>
        </w:rPr>
      </w:pPr>
      <w:r w:rsidRPr="00240E18">
        <w:rPr>
          <w:rFonts w:ascii="Arial" w:hAnsi="Arial" w:cs="Arial"/>
          <w:b/>
          <w:sz w:val="20"/>
          <w:szCs w:val="20"/>
        </w:rPr>
        <w:t>Map of module learning o</w:t>
      </w:r>
      <w:r w:rsidR="006F3F8B" w:rsidRPr="00240E18">
        <w:rPr>
          <w:rFonts w:ascii="Arial" w:hAnsi="Arial" w:cs="Arial"/>
          <w:b/>
          <w:sz w:val="20"/>
          <w:szCs w:val="20"/>
        </w:rPr>
        <w:t>utcomes</w:t>
      </w:r>
      <w:r w:rsidR="00B30E07" w:rsidRPr="00240E18">
        <w:rPr>
          <w:rFonts w:ascii="Arial" w:hAnsi="Arial" w:cs="Arial"/>
          <w:b/>
          <w:sz w:val="20"/>
          <w:szCs w:val="20"/>
        </w:rPr>
        <w:t xml:space="preserve"> (sections 8 &amp; 9)</w:t>
      </w:r>
      <w:r w:rsidR="006F3F8B" w:rsidRPr="00240E18">
        <w:rPr>
          <w:rFonts w:ascii="Arial" w:hAnsi="Arial" w:cs="Arial"/>
          <w:b/>
          <w:sz w:val="20"/>
          <w:szCs w:val="20"/>
        </w:rPr>
        <w:t xml:space="preserve"> to </w:t>
      </w:r>
      <w:r w:rsidRPr="00240E18">
        <w:rPr>
          <w:rFonts w:ascii="Arial" w:hAnsi="Arial" w:cs="Arial"/>
          <w:b/>
          <w:sz w:val="20"/>
          <w:szCs w:val="20"/>
        </w:rPr>
        <w:t>l</w:t>
      </w:r>
      <w:r w:rsidR="006F3F8B" w:rsidRPr="00240E18">
        <w:rPr>
          <w:rFonts w:ascii="Arial" w:hAnsi="Arial" w:cs="Arial"/>
          <w:b/>
          <w:sz w:val="20"/>
          <w:szCs w:val="20"/>
        </w:rPr>
        <w:t>earning</w:t>
      </w:r>
      <w:r w:rsidR="00B30E07" w:rsidRPr="00240E18">
        <w:rPr>
          <w:rFonts w:ascii="Arial" w:hAnsi="Arial" w:cs="Arial"/>
          <w:b/>
          <w:sz w:val="20"/>
          <w:szCs w:val="20"/>
        </w:rPr>
        <w:t xml:space="preserve"> and </w:t>
      </w:r>
      <w:r w:rsidRPr="00240E18">
        <w:rPr>
          <w:rFonts w:ascii="Arial" w:hAnsi="Arial" w:cs="Arial"/>
          <w:b/>
          <w:sz w:val="20"/>
          <w:szCs w:val="20"/>
        </w:rPr>
        <w:t>t</w:t>
      </w:r>
      <w:r w:rsidR="00B30E07" w:rsidRPr="00240E18">
        <w:rPr>
          <w:rFonts w:ascii="Arial" w:hAnsi="Arial" w:cs="Arial"/>
          <w:b/>
          <w:sz w:val="20"/>
          <w:szCs w:val="20"/>
        </w:rPr>
        <w:t xml:space="preserve">eaching </w:t>
      </w:r>
      <w:r w:rsidRPr="00240E18">
        <w:rPr>
          <w:rFonts w:ascii="Arial" w:hAnsi="Arial" w:cs="Arial"/>
          <w:b/>
          <w:sz w:val="20"/>
          <w:szCs w:val="20"/>
        </w:rPr>
        <w:t>m</w:t>
      </w:r>
      <w:r w:rsidR="00B30E07" w:rsidRPr="00240E18">
        <w:rPr>
          <w:rFonts w:ascii="Arial" w:hAnsi="Arial" w:cs="Arial"/>
          <w:b/>
          <w:sz w:val="20"/>
          <w:szCs w:val="20"/>
        </w:rPr>
        <w:t>ethods (section</w:t>
      </w:r>
      <w:r w:rsidR="0066061A" w:rsidRPr="00240E18">
        <w:rPr>
          <w:rFonts w:ascii="Arial" w:hAnsi="Arial" w:cs="Arial"/>
          <w:b/>
          <w:sz w:val="20"/>
          <w:szCs w:val="20"/>
        </w:rPr>
        <w:t xml:space="preserve"> </w:t>
      </w:r>
      <w:r w:rsidR="00B30E07" w:rsidRPr="00240E18">
        <w:rPr>
          <w:rFonts w:ascii="Arial" w:hAnsi="Arial" w:cs="Arial"/>
          <w:b/>
          <w:sz w:val="20"/>
          <w:szCs w:val="20"/>
        </w:rPr>
        <w:t>12</w:t>
      </w:r>
      <w:r w:rsidR="006F3F8B" w:rsidRPr="00240E18">
        <w:rPr>
          <w:rFonts w:ascii="Arial" w:hAnsi="Arial" w:cs="Arial"/>
          <w:b/>
          <w:sz w:val="20"/>
          <w:szCs w:val="20"/>
        </w:rPr>
        <w:t>) and m</w:t>
      </w:r>
      <w:r w:rsidR="00B30E07" w:rsidRPr="00240E18">
        <w:rPr>
          <w:rFonts w:ascii="Arial" w:hAnsi="Arial" w:cs="Arial"/>
          <w:b/>
          <w:sz w:val="20"/>
          <w:szCs w:val="20"/>
        </w:rPr>
        <w:t xml:space="preserve">ethods of </w:t>
      </w:r>
      <w:r w:rsidRPr="00240E18">
        <w:rPr>
          <w:rFonts w:ascii="Arial" w:hAnsi="Arial" w:cs="Arial"/>
          <w:b/>
          <w:sz w:val="20"/>
          <w:szCs w:val="20"/>
        </w:rPr>
        <w:t>a</w:t>
      </w:r>
      <w:r w:rsidR="00B30E07" w:rsidRPr="00240E18">
        <w:rPr>
          <w:rFonts w:ascii="Arial" w:hAnsi="Arial" w:cs="Arial"/>
          <w:b/>
          <w:sz w:val="20"/>
          <w:szCs w:val="20"/>
        </w:rPr>
        <w:t>ssessment (section 13</w:t>
      </w:r>
      <w:r w:rsidR="00EF4933" w:rsidRPr="00240E18">
        <w:rPr>
          <w:rFonts w:ascii="Arial" w:hAnsi="Arial" w:cs="Arial"/>
          <w:b/>
          <w:sz w:val="20"/>
          <w:szCs w:val="20"/>
        </w:rPr>
        <w:t>)</w:t>
      </w:r>
    </w:p>
    <w:p w14:paraId="38C1940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01" w:type="pct"/>
        <w:jc w:val="center"/>
        <w:tblLook w:val="04A0" w:firstRow="1" w:lastRow="0" w:firstColumn="1" w:lastColumn="0" w:noHBand="0" w:noVBand="1"/>
      </w:tblPr>
      <w:tblGrid>
        <w:gridCol w:w="4203"/>
        <w:gridCol w:w="626"/>
        <w:gridCol w:w="626"/>
        <w:gridCol w:w="626"/>
        <w:gridCol w:w="625"/>
        <w:gridCol w:w="625"/>
        <w:gridCol w:w="625"/>
        <w:gridCol w:w="625"/>
        <w:gridCol w:w="625"/>
        <w:gridCol w:w="625"/>
      </w:tblGrid>
      <w:tr w:rsidR="001E48A8" w:rsidRPr="0018545C" w14:paraId="23EF6D13" w14:textId="77777777" w:rsidTr="00240E18">
        <w:trPr>
          <w:trHeight w:val="397"/>
          <w:jc w:val="center"/>
        </w:trPr>
        <w:tc>
          <w:tcPr>
            <w:tcW w:w="2137" w:type="pct"/>
            <w:shd w:val="clear" w:color="auto" w:fill="D9D9D9" w:themeFill="background1" w:themeFillShade="D9"/>
            <w:vAlign w:val="center"/>
          </w:tcPr>
          <w:p w14:paraId="7557BBBC" w14:textId="77777777" w:rsidR="001E48A8" w:rsidRPr="0018545C" w:rsidRDefault="001E48A8" w:rsidP="00283AFC">
            <w:pPr>
              <w:spacing w:after="120"/>
              <w:rPr>
                <w:rFonts w:ascii="Arial" w:hAnsi="Arial" w:cs="Arial"/>
                <w:i/>
                <w:sz w:val="20"/>
                <w:szCs w:val="20"/>
              </w:rPr>
            </w:pPr>
            <w:r w:rsidRPr="0018545C">
              <w:rPr>
                <w:rFonts w:ascii="Arial" w:hAnsi="Arial" w:cs="Arial"/>
                <w:b/>
                <w:sz w:val="20"/>
                <w:szCs w:val="20"/>
              </w:rPr>
              <w:t>Module learning outcome</w:t>
            </w:r>
          </w:p>
        </w:tc>
        <w:tc>
          <w:tcPr>
            <w:tcW w:w="318" w:type="pct"/>
            <w:vAlign w:val="center"/>
          </w:tcPr>
          <w:p w14:paraId="41C9FF2D" w14:textId="7777777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8.1</w:t>
            </w:r>
          </w:p>
        </w:tc>
        <w:tc>
          <w:tcPr>
            <w:tcW w:w="318" w:type="pct"/>
            <w:vAlign w:val="center"/>
          </w:tcPr>
          <w:p w14:paraId="7D4F4021" w14:textId="7777777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8.2</w:t>
            </w:r>
          </w:p>
        </w:tc>
        <w:tc>
          <w:tcPr>
            <w:tcW w:w="318" w:type="pct"/>
            <w:vAlign w:val="center"/>
          </w:tcPr>
          <w:p w14:paraId="645C2992" w14:textId="7777777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8.3</w:t>
            </w:r>
          </w:p>
        </w:tc>
        <w:tc>
          <w:tcPr>
            <w:tcW w:w="318" w:type="pct"/>
            <w:vAlign w:val="center"/>
          </w:tcPr>
          <w:p w14:paraId="3EB3C258" w14:textId="7328B4EA"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8.4</w:t>
            </w:r>
          </w:p>
        </w:tc>
        <w:tc>
          <w:tcPr>
            <w:tcW w:w="318" w:type="pct"/>
            <w:vAlign w:val="center"/>
          </w:tcPr>
          <w:p w14:paraId="113390EC" w14:textId="2EB307D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8.5</w:t>
            </w:r>
          </w:p>
        </w:tc>
        <w:tc>
          <w:tcPr>
            <w:tcW w:w="318" w:type="pct"/>
            <w:vAlign w:val="center"/>
          </w:tcPr>
          <w:p w14:paraId="024B773E" w14:textId="60BE100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9.1</w:t>
            </w:r>
          </w:p>
        </w:tc>
        <w:tc>
          <w:tcPr>
            <w:tcW w:w="318" w:type="pct"/>
            <w:vAlign w:val="center"/>
          </w:tcPr>
          <w:p w14:paraId="242A4045" w14:textId="606C3A8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9.2</w:t>
            </w:r>
          </w:p>
        </w:tc>
        <w:tc>
          <w:tcPr>
            <w:tcW w:w="318" w:type="pct"/>
            <w:vAlign w:val="center"/>
          </w:tcPr>
          <w:p w14:paraId="36BE8446" w14:textId="0A935518"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9.</w:t>
            </w:r>
            <w:r>
              <w:rPr>
                <w:rFonts w:ascii="Arial" w:hAnsi="Arial" w:cs="Arial"/>
                <w:sz w:val="20"/>
                <w:szCs w:val="20"/>
              </w:rPr>
              <w:t>3</w:t>
            </w:r>
          </w:p>
        </w:tc>
        <w:tc>
          <w:tcPr>
            <w:tcW w:w="318" w:type="pct"/>
            <w:vAlign w:val="center"/>
          </w:tcPr>
          <w:p w14:paraId="45E53491" w14:textId="5134391B"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9.</w:t>
            </w:r>
            <w:r>
              <w:rPr>
                <w:rFonts w:ascii="Arial" w:hAnsi="Arial" w:cs="Arial"/>
                <w:sz w:val="20"/>
                <w:szCs w:val="20"/>
              </w:rPr>
              <w:t>4</w:t>
            </w:r>
          </w:p>
        </w:tc>
      </w:tr>
      <w:tr w:rsidR="001E48A8" w:rsidRPr="0018545C" w14:paraId="4BB42C65" w14:textId="77777777" w:rsidTr="00240E18">
        <w:trPr>
          <w:trHeight w:val="397"/>
          <w:jc w:val="center"/>
        </w:trPr>
        <w:tc>
          <w:tcPr>
            <w:tcW w:w="2137" w:type="pct"/>
            <w:shd w:val="clear" w:color="auto" w:fill="D9D9D9" w:themeFill="background1" w:themeFillShade="D9"/>
            <w:vAlign w:val="center"/>
          </w:tcPr>
          <w:p w14:paraId="333849A5" w14:textId="77777777" w:rsidR="001E48A8" w:rsidRPr="0018545C" w:rsidRDefault="001E48A8" w:rsidP="00283AFC">
            <w:pPr>
              <w:spacing w:after="120"/>
              <w:rPr>
                <w:rFonts w:ascii="Arial" w:hAnsi="Arial" w:cs="Arial"/>
                <w:b/>
                <w:sz w:val="20"/>
                <w:szCs w:val="20"/>
              </w:rPr>
            </w:pPr>
            <w:r w:rsidRPr="0018545C">
              <w:rPr>
                <w:rFonts w:ascii="Arial" w:hAnsi="Arial" w:cs="Arial"/>
                <w:b/>
                <w:sz w:val="20"/>
                <w:szCs w:val="20"/>
              </w:rPr>
              <w:t>Learning / teaching method</w:t>
            </w:r>
          </w:p>
        </w:tc>
        <w:tc>
          <w:tcPr>
            <w:tcW w:w="318" w:type="pct"/>
            <w:vAlign w:val="center"/>
          </w:tcPr>
          <w:p w14:paraId="116E0D52"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4601B61D"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4AB460A2"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04EC087D"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6E0E4A85"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354DC97A"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04371C39"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7D7A2D06"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531E49CC" w14:textId="77777777" w:rsidR="001E48A8" w:rsidRPr="0018545C" w:rsidRDefault="001E48A8" w:rsidP="00240E18">
            <w:pPr>
              <w:spacing w:after="120"/>
              <w:jc w:val="center"/>
              <w:rPr>
                <w:rFonts w:ascii="Arial" w:hAnsi="Arial" w:cs="Arial"/>
                <w:b/>
                <w:sz w:val="20"/>
                <w:szCs w:val="20"/>
              </w:rPr>
            </w:pPr>
          </w:p>
        </w:tc>
      </w:tr>
      <w:tr w:rsidR="001E48A8" w:rsidRPr="0018545C" w14:paraId="377299F6" w14:textId="77777777" w:rsidTr="00240E18">
        <w:trPr>
          <w:trHeight w:val="397"/>
          <w:jc w:val="center"/>
        </w:trPr>
        <w:tc>
          <w:tcPr>
            <w:tcW w:w="2137" w:type="pct"/>
            <w:vAlign w:val="center"/>
          </w:tcPr>
          <w:p w14:paraId="5A17FF7F" w14:textId="570CB821" w:rsidR="001E48A8" w:rsidRPr="0018545C" w:rsidRDefault="001E48A8" w:rsidP="00283AFC">
            <w:pPr>
              <w:spacing w:after="120"/>
              <w:rPr>
                <w:rFonts w:ascii="Arial" w:hAnsi="Arial" w:cs="Arial"/>
                <w:sz w:val="20"/>
                <w:szCs w:val="20"/>
              </w:rPr>
            </w:pPr>
            <w:r w:rsidRPr="0018545C">
              <w:rPr>
                <w:rFonts w:ascii="Arial" w:hAnsi="Arial" w:cs="Arial"/>
                <w:sz w:val="20"/>
                <w:szCs w:val="20"/>
              </w:rPr>
              <w:t>Lectures</w:t>
            </w:r>
          </w:p>
        </w:tc>
        <w:tc>
          <w:tcPr>
            <w:tcW w:w="318" w:type="pct"/>
            <w:vAlign w:val="center"/>
          </w:tcPr>
          <w:p w14:paraId="65B19F0C" w14:textId="37D045E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6A2F8F7C" w14:textId="2D837B8D"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3DA0791D" w14:textId="286AA0A6"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0532B0C" w14:textId="4571BA4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1A73936" w14:textId="79906EC2"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74A9BE5"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744B5A68"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4A14B74C"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17C8A831" w14:textId="77777777" w:rsidR="001E48A8" w:rsidRPr="0018545C" w:rsidRDefault="001E48A8" w:rsidP="00240E18">
            <w:pPr>
              <w:spacing w:after="120"/>
              <w:jc w:val="center"/>
              <w:rPr>
                <w:rFonts w:ascii="Arial" w:hAnsi="Arial" w:cs="Arial"/>
                <w:sz w:val="20"/>
                <w:szCs w:val="20"/>
              </w:rPr>
            </w:pPr>
          </w:p>
        </w:tc>
      </w:tr>
      <w:tr w:rsidR="001E48A8" w:rsidRPr="0018545C" w14:paraId="03106FB7" w14:textId="77777777" w:rsidTr="00240E18">
        <w:trPr>
          <w:trHeight w:val="397"/>
          <w:jc w:val="center"/>
        </w:trPr>
        <w:tc>
          <w:tcPr>
            <w:tcW w:w="2137" w:type="pct"/>
            <w:vAlign w:val="center"/>
          </w:tcPr>
          <w:p w14:paraId="42893787" w14:textId="18D64355" w:rsidR="001E48A8" w:rsidRPr="0018545C" w:rsidRDefault="001E48A8" w:rsidP="00283AFC">
            <w:pPr>
              <w:spacing w:after="120"/>
              <w:rPr>
                <w:rFonts w:ascii="Arial" w:hAnsi="Arial" w:cs="Arial"/>
                <w:sz w:val="20"/>
                <w:szCs w:val="20"/>
              </w:rPr>
            </w:pPr>
            <w:r w:rsidRPr="0018545C">
              <w:rPr>
                <w:rFonts w:ascii="Arial" w:hAnsi="Arial" w:cs="Arial"/>
                <w:sz w:val="20"/>
                <w:szCs w:val="20"/>
              </w:rPr>
              <w:t>Seminars</w:t>
            </w:r>
          </w:p>
        </w:tc>
        <w:tc>
          <w:tcPr>
            <w:tcW w:w="318" w:type="pct"/>
            <w:vAlign w:val="center"/>
          </w:tcPr>
          <w:p w14:paraId="2524029F" w14:textId="24228FF1"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18559A9" w14:textId="3709226C"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3CDA8AC" w14:textId="43902006"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3CCA720" w14:textId="5A55F88D"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D344BE4" w14:textId="6DFEA071"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A505ECA" w14:textId="66A6580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8515A0D" w14:textId="04D9A0E8"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30BCF93C" w14:textId="6AB92050"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CB23615" w14:textId="004552F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r>
      <w:tr w:rsidR="001E48A8" w:rsidRPr="0018545C" w14:paraId="0F9E186D" w14:textId="77777777" w:rsidTr="00240E18">
        <w:trPr>
          <w:trHeight w:val="781"/>
          <w:jc w:val="center"/>
        </w:trPr>
        <w:tc>
          <w:tcPr>
            <w:tcW w:w="2137" w:type="pct"/>
            <w:vAlign w:val="center"/>
          </w:tcPr>
          <w:p w14:paraId="289A81F2" w14:textId="77777777" w:rsidR="001E48A8" w:rsidRPr="0018545C" w:rsidRDefault="001E48A8" w:rsidP="00283AFC">
            <w:pPr>
              <w:spacing w:after="120"/>
              <w:rPr>
                <w:rFonts w:ascii="Arial" w:hAnsi="Arial" w:cs="Arial"/>
                <w:sz w:val="20"/>
                <w:szCs w:val="20"/>
              </w:rPr>
            </w:pPr>
            <w:r w:rsidRPr="0018545C">
              <w:rPr>
                <w:rFonts w:ascii="Arial" w:hAnsi="Arial" w:cs="Arial"/>
                <w:sz w:val="20"/>
                <w:szCs w:val="20"/>
              </w:rPr>
              <w:t>Private Study</w:t>
            </w:r>
          </w:p>
        </w:tc>
        <w:tc>
          <w:tcPr>
            <w:tcW w:w="318" w:type="pct"/>
            <w:vAlign w:val="center"/>
          </w:tcPr>
          <w:p w14:paraId="4A77D8D0" w14:textId="6475C0E0"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2C5815F" w14:textId="61A6DF0C"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1E01033D" w14:textId="063024A2"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7E5FA07" w14:textId="4616668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3CB5A13B" w14:textId="5B35D42E"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1EF7213D" w14:textId="1CAC071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09C2DB9C" w14:textId="421BDA4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3AFB4FB0"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562CDDA4" w14:textId="563AC3E0"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r>
      <w:tr w:rsidR="001E48A8" w:rsidRPr="0018545C" w14:paraId="2F3DCE1F" w14:textId="77777777" w:rsidTr="00240E18">
        <w:trPr>
          <w:trHeight w:val="397"/>
          <w:jc w:val="center"/>
        </w:trPr>
        <w:tc>
          <w:tcPr>
            <w:tcW w:w="2137" w:type="pct"/>
            <w:shd w:val="clear" w:color="auto" w:fill="D9D9D9" w:themeFill="background1" w:themeFillShade="D9"/>
            <w:vAlign w:val="center"/>
          </w:tcPr>
          <w:p w14:paraId="3F1BDA1A" w14:textId="77777777" w:rsidR="001E48A8" w:rsidRPr="0018545C" w:rsidRDefault="001E48A8" w:rsidP="00283AFC">
            <w:pPr>
              <w:spacing w:after="120"/>
              <w:rPr>
                <w:rFonts w:ascii="Arial" w:hAnsi="Arial" w:cs="Arial"/>
                <w:sz w:val="20"/>
                <w:szCs w:val="20"/>
              </w:rPr>
            </w:pPr>
            <w:r w:rsidRPr="0018545C">
              <w:rPr>
                <w:rFonts w:ascii="Arial" w:hAnsi="Arial" w:cs="Arial"/>
                <w:b/>
                <w:sz w:val="20"/>
                <w:szCs w:val="20"/>
              </w:rPr>
              <w:t>Assessment method</w:t>
            </w:r>
          </w:p>
        </w:tc>
        <w:tc>
          <w:tcPr>
            <w:tcW w:w="318" w:type="pct"/>
            <w:vAlign w:val="center"/>
          </w:tcPr>
          <w:p w14:paraId="2A8ADC62"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2C355346"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14C87CB3"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6A649174"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2F2CF259"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6A5A06B0"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1ABF7D49"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1724A9BE" w14:textId="77777777" w:rsidR="001E48A8" w:rsidRPr="0018545C" w:rsidRDefault="001E48A8" w:rsidP="00240E18">
            <w:pPr>
              <w:spacing w:after="120"/>
              <w:jc w:val="center"/>
              <w:rPr>
                <w:rFonts w:ascii="Arial" w:hAnsi="Arial" w:cs="Arial"/>
                <w:b/>
                <w:sz w:val="20"/>
                <w:szCs w:val="20"/>
              </w:rPr>
            </w:pPr>
          </w:p>
        </w:tc>
        <w:tc>
          <w:tcPr>
            <w:tcW w:w="318" w:type="pct"/>
            <w:vAlign w:val="center"/>
          </w:tcPr>
          <w:p w14:paraId="7490A4AE" w14:textId="77777777" w:rsidR="001E48A8" w:rsidRPr="0018545C" w:rsidRDefault="001E48A8" w:rsidP="00240E18">
            <w:pPr>
              <w:spacing w:after="120"/>
              <w:jc w:val="center"/>
              <w:rPr>
                <w:rFonts w:ascii="Arial" w:hAnsi="Arial" w:cs="Arial"/>
                <w:b/>
                <w:sz w:val="20"/>
                <w:szCs w:val="20"/>
              </w:rPr>
            </w:pPr>
          </w:p>
        </w:tc>
      </w:tr>
      <w:tr w:rsidR="001E48A8" w:rsidRPr="0018545C" w14:paraId="5DCD1704" w14:textId="77777777" w:rsidTr="00240E18">
        <w:trPr>
          <w:trHeight w:val="397"/>
          <w:jc w:val="center"/>
        </w:trPr>
        <w:tc>
          <w:tcPr>
            <w:tcW w:w="2137" w:type="pct"/>
            <w:vAlign w:val="center"/>
          </w:tcPr>
          <w:p w14:paraId="7119369A" w14:textId="507F973F" w:rsidR="001E48A8" w:rsidRPr="0018545C" w:rsidRDefault="001E48A8" w:rsidP="00F63D8C">
            <w:pPr>
              <w:spacing w:after="120"/>
              <w:rPr>
                <w:rFonts w:ascii="Arial" w:hAnsi="Arial" w:cs="Arial"/>
                <w:sz w:val="20"/>
                <w:szCs w:val="20"/>
              </w:rPr>
            </w:pPr>
            <w:r w:rsidRPr="0018545C">
              <w:rPr>
                <w:rFonts w:ascii="Arial" w:hAnsi="Arial" w:cs="Arial"/>
                <w:sz w:val="20"/>
                <w:szCs w:val="20"/>
              </w:rPr>
              <w:t>Essay (80%)</w:t>
            </w:r>
          </w:p>
        </w:tc>
        <w:tc>
          <w:tcPr>
            <w:tcW w:w="318" w:type="pct"/>
            <w:vAlign w:val="center"/>
          </w:tcPr>
          <w:p w14:paraId="6F50ACC0" w14:textId="1626074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050036DE" w14:textId="52F1C5E6"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4459286" w14:textId="4E242EC6"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C132182" w14:textId="007B1181"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4F93165" w14:textId="331CBFD8"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16E8E03D" w14:textId="71CAA6D4"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7EEF310A" w14:textId="67B4180B"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65232CA0" w14:textId="1C428928"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1173D7AF" w14:textId="068AC39D"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r>
      <w:tr w:rsidR="001E48A8" w:rsidRPr="0018545C" w14:paraId="4AC3B5E5" w14:textId="77777777" w:rsidTr="00240E18">
        <w:trPr>
          <w:trHeight w:val="397"/>
          <w:jc w:val="center"/>
        </w:trPr>
        <w:tc>
          <w:tcPr>
            <w:tcW w:w="2137" w:type="pct"/>
            <w:vAlign w:val="center"/>
          </w:tcPr>
          <w:p w14:paraId="1FF8DC88" w14:textId="541CFDD1" w:rsidR="001E48A8" w:rsidRPr="0018545C" w:rsidRDefault="001E27A1">
            <w:pPr>
              <w:spacing w:after="120"/>
              <w:rPr>
                <w:rFonts w:ascii="Arial" w:hAnsi="Arial" w:cs="Arial"/>
                <w:sz w:val="20"/>
                <w:szCs w:val="20"/>
              </w:rPr>
            </w:pPr>
            <w:r>
              <w:rPr>
                <w:rFonts w:ascii="Arial" w:hAnsi="Arial" w:cs="Arial"/>
                <w:sz w:val="20"/>
                <w:szCs w:val="20"/>
              </w:rPr>
              <w:t>P</w:t>
            </w:r>
            <w:r w:rsidR="001E48A8" w:rsidRPr="0018545C">
              <w:rPr>
                <w:rFonts w:ascii="Arial" w:hAnsi="Arial" w:cs="Arial"/>
                <w:sz w:val="20"/>
                <w:szCs w:val="20"/>
              </w:rPr>
              <w:t>resentation (10%)</w:t>
            </w:r>
          </w:p>
        </w:tc>
        <w:tc>
          <w:tcPr>
            <w:tcW w:w="318" w:type="pct"/>
            <w:vAlign w:val="center"/>
          </w:tcPr>
          <w:p w14:paraId="29310C59" w14:textId="6509B10B"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9B37BFC" w14:textId="2F03963C"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5A86197" w14:textId="247F95BA"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37B4BF0A" w14:textId="7742162F" w:rsidR="001E48A8" w:rsidRPr="0018545C" w:rsidRDefault="001E48A8" w:rsidP="00240E18">
            <w:pPr>
              <w:spacing w:after="120"/>
              <w:jc w:val="center"/>
              <w:rPr>
                <w:rFonts w:ascii="Arial" w:hAnsi="Arial" w:cs="Arial"/>
                <w:sz w:val="20"/>
                <w:szCs w:val="20"/>
              </w:rPr>
            </w:pPr>
          </w:p>
        </w:tc>
        <w:tc>
          <w:tcPr>
            <w:tcW w:w="318" w:type="pct"/>
            <w:vAlign w:val="center"/>
          </w:tcPr>
          <w:p w14:paraId="2C11ACAA"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3D19BAEB" w14:textId="7C93627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1F2495F3" w14:textId="6DC56AC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6AB2599F" w14:textId="45309344"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572527C4" w14:textId="26D43DA7"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r>
      <w:tr w:rsidR="001E48A8" w:rsidRPr="0018545C" w14:paraId="25429075" w14:textId="77777777" w:rsidTr="00240E18">
        <w:trPr>
          <w:trHeight w:val="397"/>
          <w:jc w:val="center"/>
        </w:trPr>
        <w:tc>
          <w:tcPr>
            <w:tcW w:w="2137" w:type="pct"/>
            <w:vAlign w:val="center"/>
          </w:tcPr>
          <w:p w14:paraId="56F23146" w14:textId="3A81794E" w:rsidR="001E48A8" w:rsidRPr="0018545C" w:rsidRDefault="001E27A1">
            <w:pPr>
              <w:spacing w:after="120"/>
              <w:rPr>
                <w:rFonts w:ascii="Arial" w:hAnsi="Arial" w:cs="Arial"/>
                <w:sz w:val="20"/>
                <w:szCs w:val="20"/>
              </w:rPr>
            </w:pPr>
            <w:r>
              <w:rPr>
                <w:rFonts w:ascii="Arial" w:hAnsi="Arial" w:cs="Arial"/>
                <w:sz w:val="20"/>
                <w:szCs w:val="20"/>
              </w:rPr>
              <w:t>G</w:t>
            </w:r>
            <w:r w:rsidR="001E48A8" w:rsidRPr="0018545C">
              <w:rPr>
                <w:rFonts w:ascii="Arial" w:hAnsi="Arial" w:cs="Arial"/>
                <w:sz w:val="20"/>
                <w:szCs w:val="20"/>
              </w:rPr>
              <w:t>roup work paper (10%)</w:t>
            </w:r>
          </w:p>
        </w:tc>
        <w:tc>
          <w:tcPr>
            <w:tcW w:w="318" w:type="pct"/>
            <w:vAlign w:val="center"/>
          </w:tcPr>
          <w:p w14:paraId="24593D56" w14:textId="4466EC4A"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0E92C172" w14:textId="3842A55D"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F13E48B" w14:textId="64612B8F"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9336FD4"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3555EEDC" w14:textId="77777777" w:rsidR="001E48A8" w:rsidRPr="0018545C" w:rsidRDefault="001E48A8" w:rsidP="00240E18">
            <w:pPr>
              <w:spacing w:after="120"/>
              <w:jc w:val="center"/>
              <w:rPr>
                <w:rFonts w:ascii="Arial" w:hAnsi="Arial" w:cs="Arial"/>
                <w:sz w:val="20"/>
                <w:szCs w:val="20"/>
              </w:rPr>
            </w:pPr>
          </w:p>
        </w:tc>
        <w:tc>
          <w:tcPr>
            <w:tcW w:w="318" w:type="pct"/>
            <w:vAlign w:val="center"/>
          </w:tcPr>
          <w:p w14:paraId="3CB93567" w14:textId="71076575"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28429533" w14:textId="4ECA1F3A"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678C38BB" w14:textId="715846D0"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c>
          <w:tcPr>
            <w:tcW w:w="318" w:type="pct"/>
            <w:vAlign w:val="center"/>
          </w:tcPr>
          <w:p w14:paraId="09693C7F" w14:textId="36F83F55" w:rsidR="001E48A8" w:rsidRPr="0018545C" w:rsidRDefault="001E48A8" w:rsidP="00240E18">
            <w:pPr>
              <w:spacing w:after="120"/>
              <w:jc w:val="center"/>
              <w:rPr>
                <w:rFonts w:ascii="Arial" w:hAnsi="Arial" w:cs="Arial"/>
                <w:sz w:val="20"/>
                <w:szCs w:val="20"/>
              </w:rPr>
            </w:pPr>
            <w:r w:rsidRPr="0018545C">
              <w:rPr>
                <w:rFonts w:ascii="Arial" w:hAnsi="Arial" w:cs="Arial"/>
                <w:sz w:val="20"/>
                <w:szCs w:val="20"/>
              </w:rPr>
              <w:t>x</w:t>
            </w:r>
          </w:p>
        </w:tc>
      </w:tr>
    </w:tbl>
    <w:p w14:paraId="16C6D637" w14:textId="77777777" w:rsidR="007A6245" w:rsidRPr="00373ACB" w:rsidRDefault="007A6245" w:rsidP="0066061A">
      <w:pPr>
        <w:spacing w:after="120" w:line="240" w:lineRule="auto"/>
        <w:ind w:left="426" w:right="260"/>
        <w:rPr>
          <w:rFonts w:ascii="Arial" w:hAnsi="Arial" w:cs="Arial"/>
          <w:b/>
          <w:iCs/>
          <w:sz w:val="20"/>
          <w:szCs w:val="20"/>
        </w:rPr>
      </w:pPr>
    </w:p>
    <w:p w14:paraId="31813899" w14:textId="70484139" w:rsidR="001E27A1" w:rsidRPr="00AB2C99" w:rsidRDefault="001E27A1" w:rsidP="00240E18">
      <w:pPr>
        <w:numPr>
          <w:ilvl w:val="0"/>
          <w:numId w:val="1"/>
        </w:numPr>
        <w:spacing w:after="120" w:line="240" w:lineRule="auto"/>
        <w:ind w:left="426" w:right="260" w:hanging="426"/>
        <w:jc w:val="both"/>
        <w:rPr>
          <w:rFonts w:ascii="Arial" w:hAnsi="Arial" w:cs="Arial"/>
          <w:b/>
          <w:sz w:val="20"/>
          <w:szCs w:val="20"/>
        </w:rPr>
      </w:pPr>
      <w:r w:rsidRPr="00FD1C25">
        <w:rPr>
          <w:rFonts w:ascii="Arial" w:hAnsi="Arial" w:cs="Arial"/>
          <w:b/>
          <w:sz w:val="20"/>
          <w:szCs w:val="20"/>
        </w:rPr>
        <w:t>Inclusive module design</w:t>
      </w:r>
    </w:p>
    <w:p w14:paraId="6514C61F" w14:textId="300842D0" w:rsidR="00DF2132" w:rsidRDefault="00DF2132" w:rsidP="00240E1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F7E327" w14:textId="77777777" w:rsidR="00240E18" w:rsidRPr="00DF2132" w:rsidRDefault="00240E18" w:rsidP="00240E18">
      <w:pPr>
        <w:spacing w:after="120" w:line="240" w:lineRule="auto"/>
        <w:ind w:left="426" w:right="260"/>
        <w:jc w:val="both"/>
        <w:rPr>
          <w:rFonts w:ascii="Arial" w:hAnsi="Arial" w:cs="Arial"/>
          <w:sz w:val="20"/>
          <w:szCs w:val="20"/>
        </w:rPr>
      </w:pPr>
    </w:p>
    <w:p w14:paraId="6901760D" w14:textId="77777777" w:rsidR="00DF2132" w:rsidRDefault="00DF2132" w:rsidP="00240E1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81AD0B2" w14:textId="77777777" w:rsidR="00DF2132" w:rsidRPr="00A7491F" w:rsidRDefault="00DF2132" w:rsidP="00240E1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7C54629" w14:textId="77777777" w:rsidR="00971465" w:rsidRPr="00D023E6" w:rsidRDefault="00971465" w:rsidP="00240E1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621525C" w14:textId="4A0689ED" w:rsidR="00971465" w:rsidRPr="00D023E6" w:rsidRDefault="00971465" w:rsidP="00240E1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6761677D" w14:textId="77777777" w:rsidR="00971465" w:rsidRPr="00D023E6" w:rsidRDefault="00971465" w:rsidP="00240E1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7CCF3E7" w14:textId="69D1D718" w:rsidR="00DF2132" w:rsidRDefault="00F63D8C" w:rsidP="00240E18">
      <w:pPr>
        <w:pStyle w:val="ListParagraph"/>
        <w:numPr>
          <w:ilvl w:val="0"/>
          <w:numId w:val="13"/>
        </w:numPr>
        <w:ind w:right="260"/>
        <w:jc w:val="both"/>
        <w:rPr>
          <w:rFonts w:ascii="Arial" w:hAnsi="Arial" w:cs="Arial"/>
          <w:sz w:val="20"/>
          <w:szCs w:val="20"/>
        </w:rPr>
      </w:pPr>
      <w:r w:rsidRPr="00F63D8C">
        <w:rPr>
          <w:rFonts w:ascii="Arial" w:hAnsi="Arial" w:cs="Arial"/>
          <w:sz w:val="20"/>
          <w:szCs w:val="20"/>
        </w:rPr>
        <w:t>In accordance with the KLS school-level statement on Lectu</w:t>
      </w:r>
      <w:r w:rsidR="00F17DF8">
        <w:rPr>
          <w:rFonts w:ascii="Arial" w:hAnsi="Arial" w:cs="Arial"/>
          <w:sz w:val="20"/>
          <w:szCs w:val="20"/>
        </w:rPr>
        <w:t>re Capture, the lectures</w:t>
      </w:r>
      <w:r w:rsidRPr="00F63D8C">
        <w:rPr>
          <w:rFonts w:ascii="Arial" w:hAnsi="Arial" w:cs="Arial"/>
          <w:sz w:val="20"/>
          <w:szCs w:val="20"/>
        </w:rPr>
        <w:t xml:space="preserve"> will not be </w:t>
      </w:r>
      <w:r w:rsidR="0018545C" w:rsidRPr="00F63D8C">
        <w:rPr>
          <w:rFonts w:ascii="Arial" w:hAnsi="Arial" w:cs="Arial"/>
          <w:sz w:val="20"/>
          <w:szCs w:val="20"/>
        </w:rPr>
        <w:t>recorded,</w:t>
      </w:r>
      <w:r w:rsidRPr="00F63D8C">
        <w:rPr>
          <w:rFonts w:ascii="Arial" w:hAnsi="Arial" w:cs="Arial"/>
          <w:sz w:val="20"/>
          <w:szCs w:val="20"/>
        </w:rPr>
        <w:t xml:space="preserve"> as they are heavily discussion-based. </w:t>
      </w:r>
    </w:p>
    <w:p w14:paraId="323591E8" w14:textId="77777777" w:rsidR="00240E18" w:rsidRDefault="00240E18" w:rsidP="00240E18">
      <w:pPr>
        <w:pStyle w:val="ListParagraph"/>
        <w:ind w:left="1080" w:right="260"/>
        <w:jc w:val="both"/>
        <w:rPr>
          <w:rFonts w:ascii="Arial" w:hAnsi="Arial" w:cs="Arial"/>
          <w:sz w:val="20"/>
          <w:szCs w:val="20"/>
        </w:rPr>
      </w:pPr>
    </w:p>
    <w:p w14:paraId="2CB5964C" w14:textId="77777777" w:rsidR="009A2D37" w:rsidRPr="00A7491F" w:rsidRDefault="00DF2132" w:rsidP="00240E1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D53AFFC" w14:textId="1A422EF8" w:rsidR="009A2D37" w:rsidRDefault="00971465" w:rsidP="00240E1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F63D8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7810942A" w14:textId="77777777" w:rsidR="00240E18" w:rsidRPr="00373ACB" w:rsidRDefault="00240E18" w:rsidP="00240E18">
      <w:pPr>
        <w:spacing w:after="120" w:line="240" w:lineRule="auto"/>
        <w:ind w:left="426" w:right="260"/>
        <w:jc w:val="both"/>
        <w:rPr>
          <w:rFonts w:ascii="Arial" w:hAnsi="Arial" w:cs="Arial"/>
          <w:iCs/>
          <w:sz w:val="20"/>
          <w:szCs w:val="20"/>
        </w:rPr>
      </w:pPr>
    </w:p>
    <w:p w14:paraId="1E93303D" w14:textId="77777777" w:rsidR="009A2D37" w:rsidRPr="00373ACB" w:rsidRDefault="009A2D37" w:rsidP="00240E1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FAE57E6" w14:textId="71EBEEB3" w:rsidR="009A2D37" w:rsidRDefault="0066061A" w:rsidP="00240E1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E6ECDD3" w14:textId="77777777" w:rsidR="00DF2132" w:rsidRDefault="00DF2132" w:rsidP="00240E18">
      <w:pPr>
        <w:spacing w:after="120" w:line="240" w:lineRule="auto"/>
        <w:ind w:left="426" w:right="260"/>
        <w:jc w:val="both"/>
        <w:rPr>
          <w:rFonts w:ascii="Arial" w:hAnsi="Arial" w:cs="Arial"/>
          <w:iCs/>
          <w:sz w:val="20"/>
          <w:szCs w:val="20"/>
        </w:rPr>
      </w:pPr>
    </w:p>
    <w:p w14:paraId="6BDAE520" w14:textId="77777777" w:rsidR="00DF2132" w:rsidRPr="00DF2132" w:rsidRDefault="00DF2132" w:rsidP="00240E1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8A5EEEB" w14:textId="6CB51B56" w:rsidR="00DF2132" w:rsidRDefault="00FB0284" w:rsidP="00240E18">
      <w:pPr>
        <w:spacing w:after="120" w:line="240" w:lineRule="auto"/>
        <w:ind w:left="426" w:right="260"/>
        <w:jc w:val="both"/>
        <w:rPr>
          <w:rFonts w:ascii="Arial" w:hAnsi="Arial" w:cs="Arial"/>
          <w:iCs/>
          <w:sz w:val="20"/>
          <w:szCs w:val="20"/>
        </w:rPr>
      </w:pPr>
      <w:r w:rsidRPr="00FB0284">
        <w:rPr>
          <w:rFonts w:ascii="Arial" w:hAnsi="Arial" w:cs="Arial"/>
          <w:iCs/>
          <w:sz w:val="20"/>
          <w:szCs w:val="20"/>
        </w:rPr>
        <w:t>Internationalisation is actively incorporated and intended in this module in subject content especially in relation to subject content as highlighted in learning outcomes 8 (1) to (4).</w:t>
      </w:r>
    </w:p>
    <w:p w14:paraId="7AE6A4BB" w14:textId="12549407" w:rsidR="00AB2C99" w:rsidRDefault="00AB2C99" w:rsidP="0066061A">
      <w:pPr>
        <w:spacing w:after="120" w:line="240" w:lineRule="auto"/>
        <w:ind w:left="426" w:right="260"/>
        <w:rPr>
          <w:rFonts w:ascii="Arial" w:hAnsi="Arial" w:cs="Arial"/>
          <w:iCs/>
          <w:sz w:val="20"/>
          <w:szCs w:val="20"/>
        </w:rPr>
      </w:pPr>
    </w:p>
    <w:p w14:paraId="51BF988C" w14:textId="78659263" w:rsidR="00AB2C99" w:rsidRDefault="00AB2C99" w:rsidP="00AB2C99">
      <w:pPr>
        <w:spacing w:after="120" w:line="240" w:lineRule="auto"/>
        <w:ind w:right="260"/>
        <w:jc w:val="both"/>
        <w:rPr>
          <w:rFonts w:ascii="Arial" w:hAnsi="Arial" w:cs="Arial"/>
          <w:iCs/>
          <w:sz w:val="20"/>
          <w:szCs w:val="20"/>
        </w:rPr>
      </w:pPr>
      <w:r>
        <w:rPr>
          <w:rFonts w:ascii="Arial" w:hAnsi="Arial" w:cs="Arial"/>
          <w:iCs/>
          <w:sz w:val="20"/>
          <w:szCs w:val="20"/>
        </w:rPr>
        <w:t>___________________________________________________________________________________________</w:t>
      </w:r>
    </w:p>
    <w:p w14:paraId="6BADD753" w14:textId="77777777" w:rsidR="00AB2C99" w:rsidRPr="00373ACB" w:rsidRDefault="00AB2C99" w:rsidP="00AB2C99">
      <w:pPr>
        <w:spacing w:after="120" w:line="240" w:lineRule="auto"/>
        <w:ind w:right="260"/>
        <w:jc w:val="both"/>
        <w:rPr>
          <w:rFonts w:ascii="Arial" w:hAnsi="Arial" w:cs="Arial"/>
          <w:iCs/>
          <w:sz w:val="20"/>
          <w:szCs w:val="20"/>
        </w:rPr>
      </w:pPr>
    </w:p>
    <w:p w14:paraId="3DEC83C8" w14:textId="77777777" w:rsidR="00240E18" w:rsidRDefault="00240E18">
      <w:pPr>
        <w:rPr>
          <w:rFonts w:ascii="Arial" w:hAnsi="Arial" w:cs="Arial"/>
          <w:b/>
          <w:sz w:val="20"/>
          <w:szCs w:val="20"/>
        </w:rPr>
      </w:pPr>
      <w:r>
        <w:rPr>
          <w:rFonts w:ascii="Arial" w:hAnsi="Arial" w:cs="Arial"/>
          <w:b/>
          <w:sz w:val="20"/>
          <w:szCs w:val="20"/>
        </w:rPr>
        <w:br w:type="page"/>
      </w:r>
    </w:p>
    <w:p w14:paraId="2C98C293" w14:textId="2F1118AD"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B6D3F4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21FB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EE68F70" w14:textId="77777777" w:rsidTr="00962E40">
        <w:trPr>
          <w:trHeight w:val="317"/>
        </w:trPr>
        <w:tc>
          <w:tcPr>
            <w:tcW w:w="1673" w:type="dxa"/>
          </w:tcPr>
          <w:p w14:paraId="17B7AD6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C84780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0FE5B93"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90BC9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4410EE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CF6D35E" w14:textId="77777777" w:rsidTr="00962E40">
        <w:trPr>
          <w:trHeight w:val="305"/>
        </w:trPr>
        <w:tc>
          <w:tcPr>
            <w:tcW w:w="1673" w:type="dxa"/>
          </w:tcPr>
          <w:p w14:paraId="0E198066" w14:textId="727C0BF5" w:rsidR="00422B69" w:rsidRPr="00373ACB" w:rsidRDefault="00613528" w:rsidP="0066061A">
            <w:pPr>
              <w:spacing w:after="120"/>
              <w:ind w:right="-330"/>
              <w:rPr>
                <w:rFonts w:ascii="Arial" w:hAnsi="Arial" w:cs="Arial"/>
                <w:sz w:val="20"/>
                <w:szCs w:val="20"/>
              </w:rPr>
            </w:pPr>
            <w:r>
              <w:rPr>
                <w:rFonts w:ascii="Arial" w:hAnsi="Arial" w:cs="Arial"/>
                <w:sz w:val="20"/>
                <w:szCs w:val="20"/>
              </w:rPr>
              <w:t>27/01/2019</w:t>
            </w:r>
          </w:p>
        </w:tc>
        <w:tc>
          <w:tcPr>
            <w:tcW w:w="1417" w:type="dxa"/>
          </w:tcPr>
          <w:p w14:paraId="035F9230" w14:textId="6CE111ED" w:rsidR="00422B69" w:rsidRPr="00373ACB" w:rsidRDefault="0061352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477F9B5" w14:textId="7AC3697E" w:rsidR="00422B69" w:rsidRPr="00373ACB" w:rsidRDefault="00613528"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09B3460F" w14:textId="56AF142C" w:rsidR="00422B69" w:rsidRPr="00373ACB" w:rsidRDefault="00613528" w:rsidP="0066061A">
            <w:pPr>
              <w:spacing w:after="120"/>
              <w:ind w:right="-330"/>
              <w:rPr>
                <w:rFonts w:ascii="Arial" w:hAnsi="Arial" w:cs="Arial"/>
                <w:sz w:val="20"/>
                <w:szCs w:val="20"/>
              </w:rPr>
            </w:pPr>
            <w:r>
              <w:rPr>
                <w:rFonts w:ascii="Arial" w:hAnsi="Arial" w:cs="Arial"/>
                <w:sz w:val="20"/>
                <w:szCs w:val="20"/>
              </w:rPr>
              <w:t>1, 8, 9, 10, 11, 13, 15, 17</w:t>
            </w:r>
          </w:p>
        </w:tc>
        <w:tc>
          <w:tcPr>
            <w:tcW w:w="2400" w:type="dxa"/>
          </w:tcPr>
          <w:p w14:paraId="3D9374DB" w14:textId="77777777" w:rsidR="00422B69" w:rsidRPr="00373ACB" w:rsidRDefault="00422B69" w:rsidP="0066061A">
            <w:pPr>
              <w:spacing w:after="120"/>
              <w:ind w:right="-330"/>
              <w:rPr>
                <w:rFonts w:ascii="Arial" w:hAnsi="Arial" w:cs="Arial"/>
                <w:sz w:val="20"/>
                <w:szCs w:val="20"/>
              </w:rPr>
            </w:pPr>
          </w:p>
        </w:tc>
      </w:tr>
      <w:tr w:rsidR="00302082" w:rsidRPr="00373ACB" w14:paraId="4BB9F164" w14:textId="77777777" w:rsidTr="00962E40">
        <w:trPr>
          <w:trHeight w:val="305"/>
        </w:trPr>
        <w:tc>
          <w:tcPr>
            <w:tcW w:w="1673" w:type="dxa"/>
          </w:tcPr>
          <w:p w14:paraId="0417A6E0" w14:textId="77777777" w:rsidR="00422B69" w:rsidRPr="00373ACB" w:rsidRDefault="00422B69" w:rsidP="0066061A">
            <w:pPr>
              <w:spacing w:after="120"/>
              <w:ind w:right="-330"/>
              <w:rPr>
                <w:rFonts w:ascii="Arial" w:hAnsi="Arial" w:cs="Arial"/>
                <w:sz w:val="20"/>
                <w:szCs w:val="20"/>
              </w:rPr>
            </w:pPr>
          </w:p>
        </w:tc>
        <w:tc>
          <w:tcPr>
            <w:tcW w:w="1417" w:type="dxa"/>
          </w:tcPr>
          <w:p w14:paraId="1A699E2B" w14:textId="77777777" w:rsidR="00422B69" w:rsidRPr="00373ACB" w:rsidRDefault="00422B69" w:rsidP="0066061A">
            <w:pPr>
              <w:spacing w:after="120"/>
              <w:ind w:right="-330"/>
              <w:rPr>
                <w:rFonts w:ascii="Arial" w:hAnsi="Arial" w:cs="Arial"/>
                <w:sz w:val="20"/>
                <w:szCs w:val="20"/>
              </w:rPr>
            </w:pPr>
          </w:p>
        </w:tc>
        <w:tc>
          <w:tcPr>
            <w:tcW w:w="2342" w:type="dxa"/>
          </w:tcPr>
          <w:p w14:paraId="60E59356" w14:textId="77777777" w:rsidR="00422B69" w:rsidRPr="00373ACB" w:rsidRDefault="00422B69" w:rsidP="0066061A">
            <w:pPr>
              <w:spacing w:after="120"/>
              <w:ind w:right="-330"/>
              <w:rPr>
                <w:rFonts w:ascii="Arial" w:hAnsi="Arial" w:cs="Arial"/>
                <w:sz w:val="20"/>
                <w:szCs w:val="20"/>
              </w:rPr>
            </w:pPr>
          </w:p>
        </w:tc>
        <w:tc>
          <w:tcPr>
            <w:tcW w:w="2658" w:type="dxa"/>
          </w:tcPr>
          <w:p w14:paraId="62524187" w14:textId="77777777" w:rsidR="00422B69" w:rsidRPr="00373ACB" w:rsidRDefault="00422B69" w:rsidP="0066061A">
            <w:pPr>
              <w:spacing w:after="120"/>
              <w:ind w:right="-330"/>
              <w:rPr>
                <w:rFonts w:ascii="Arial" w:hAnsi="Arial" w:cs="Arial"/>
                <w:sz w:val="20"/>
                <w:szCs w:val="20"/>
              </w:rPr>
            </w:pPr>
          </w:p>
        </w:tc>
        <w:tc>
          <w:tcPr>
            <w:tcW w:w="2400" w:type="dxa"/>
          </w:tcPr>
          <w:p w14:paraId="08A8B87B" w14:textId="77777777" w:rsidR="00422B69" w:rsidRPr="00373ACB" w:rsidRDefault="00422B69" w:rsidP="0066061A">
            <w:pPr>
              <w:spacing w:after="120"/>
              <w:ind w:right="-330"/>
              <w:rPr>
                <w:rFonts w:ascii="Arial" w:hAnsi="Arial" w:cs="Arial"/>
                <w:sz w:val="20"/>
                <w:szCs w:val="20"/>
              </w:rPr>
            </w:pPr>
          </w:p>
        </w:tc>
      </w:tr>
    </w:tbl>
    <w:p w14:paraId="376E77B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40E1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3A3B" w14:textId="77777777" w:rsidR="0056020F" w:rsidRDefault="0056020F" w:rsidP="009A2D37">
      <w:pPr>
        <w:spacing w:after="0" w:line="240" w:lineRule="auto"/>
      </w:pPr>
      <w:r>
        <w:separator/>
      </w:r>
    </w:p>
  </w:endnote>
  <w:endnote w:type="continuationSeparator" w:id="0">
    <w:p w14:paraId="2C289E58" w14:textId="77777777" w:rsidR="0056020F" w:rsidRDefault="0056020F" w:rsidP="009A2D37">
      <w:pPr>
        <w:spacing w:after="0" w:line="240" w:lineRule="auto"/>
      </w:pPr>
      <w:r>
        <w:continuationSeparator/>
      </w:r>
    </w:p>
  </w:endnote>
  <w:endnote w:type="continuationNotice" w:id="1">
    <w:p w14:paraId="58E08822" w14:textId="77777777" w:rsidR="0056020F" w:rsidRDefault="00560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F6792D" w14:textId="3F3A54EB" w:rsidR="008B2543" w:rsidRDefault="0019787E" w:rsidP="009A2D37">
        <w:pPr>
          <w:pStyle w:val="Footer"/>
          <w:jc w:val="center"/>
        </w:pPr>
        <w:r>
          <w:fldChar w:fldCharType="begin"/>
        </w:r>
        <w:r>
          <w:instrText xml:space="preserve"> PAGE   \* MERGEFORMAT </w:instrText>
        </w:r>
        <w:r>
          <w:fldChar w:fldCharType="separate"/>
        </w:r>
        <w:r w:rsidR="00AB2C99">
          <w:rPr>
            <w:noProof/>
          </w:rPr>
          <w:t>3</w:t>
        </w:r>
        <w:r>
          <w:rPr>
            <w:noProof/>
          </w:rPr>
          <w:fldChar w:fldCharType="end"/>
        </w:r>
      </w:p>
    </w:sdtContent>
  </w:sdt>
  <w:p w14:paraId="58937189" w14:textId="76F85381" w:rsidR="008B2543" w:rsidRPr="007B7724" w:rsidRDefault="003B4A41" w:rsidP="00971465">
    <w:pPr>
      <w:pStyle w:val="Footer"/>
      <w:spacing w:after="120"/>
      <w:ind w:right="-330"/>
      <w:jc w:val="center"/>
      <w:rPr>
        <w:rFonts w:ascii="Arial" w:hAnsi="Arial"/>
        <w:sz w:val="18"/>
      </w:rPr>
    </w:pPr>
    <w:r w:rsidRPr="003B4A41">
      <w:rPr>
        <w:rFonts w:ascii="Arial" w:hAnsi="Arial"/>
        <w:sz w:val="18"/>
      </w:rPr>
      <w:t xml:space="preserve">Laws of the Maritime, Air and Outer Spaces </w:t>
    </w:r>
    <w:r w:rsidR="00971465">
      <w:rPr>
        <w:rFonts w:ascii="Arial" w:hAnsi="Arial"/>
        <w:sz w:val="18"/>
      </w:rPr>
      <w:t>(</w:t>
    </w:r>
    <w:r w:rsidR="00FF5AB2">
      <w:rPr>
        <w:rFonts w:ascii="Arial" w:hAnsi="Arial"/>
        <w:sz w:val="18"/>
      </w:rPr>
      <w:t>LAWS</w:t>
    </w:r>
    <w:r>
      <w:rPr>
        <w:rFonts w:ascii="Arial" w:hAnsi="Arial"/>
        <w:sz w:val="18"/>
      </w:rPr>
      <w:t>9040</w:t>
    </w:r>
    <w:r w:rsidR="00FF5AB2">
      <w:rPr>
        <w:rFonts w:ascii="Arial" w:hAnsi="Arial"/>
        <w:sz w:val="18"/>
      </w:rPr>
      <w:t>/</w:t>
    </w:r>
    <w:r w:rsidR="00971465">
      <w:rPr>
        <w:rFonts w:ascii="Arial" w:hAnsi="Arial"/>
        <w:sz w:val="18"/>
      </w:rPr>
      <w:t>LW</w:t>
    </w:r>
    <w:r>
      <w:rPr>
        <w:rFonts w:ascii="Arial" w:hAnsi="Arial"/>
        <w:sz w:val="18"/>
      </w:rPr>
      <w:t>904</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AFA" w14:textId="77777777" w:rsidR="0056020F" w:rsidRDefault="0056020F" w:rsidP="009A2D37">
      <w:pPr>
        <w:spacing w:after="0" w:line="240" w:lineRule="auto"/>
      </w:pPr>
      <w:r>
        <w:separator/>
      </w:r>
    </w:p>
  </w:footnote>
  <w:footnote w:type="continuationSeparator" w:id="0">
    <w:p w14:paraId="408CA5EC" w14:textId="77777777" w:rsidR="0056020F" w:rsidRDefault="0056020F" w:rsidP="009A2D37">
      <w:pPr>
        <w:spacing w:after="0" w:line="240" w:lineRule="auto"/>
      </w:pPr>
      <w:r>
        <w:continuationSeparator/>
      </w:r>
    </w:p>
  </w:footnote>
  <w:footnote w:type="continuationNotice" w:id="1">
    <w:p w14:paraId="402CA250" w14:textId="77777777" w:rsidR="0056020F" w:rsidRDefault="00560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99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F9D903" wp14:editId="3D0731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409AA5" w14:textId="77777777" w:rsidR="008B2543" w:rsidRPr="008C00F8" w:rsidRDefault="008B2543" w:rsidP="005E6D38">
    <w:pPr>
      <w:pStyle w:val="Heading1"/>
      <w:spacing w:before="60" w:after="60"/>
      <w:rPr>
        <w:rFonts w:ascii="Arial" w:hAnsi="Arial" w:cs="Arial"/>
      </w:rPr>
    </w:pPr>
  </w:p>
  <w:p w14:paraId="16796B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5E9" w14:textId="38CCE4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063E1A" wp14:editId="028959E5">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ECE2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2626A1"/>
    <w:multiLevelType w:val="hybridMultilevel"/>
    <w:tmpl w:val="36244E6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DE71E2"/>
    <w:multiLevelType w:val="hybridMultilevel"/>
    <w:tmpl w:val="5984B726"/>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2"/>
  </w:num>
  <w:num w:numId="10">
    <w:abstractNumId w:val="8"/>
  </w:num>
  <w:num w:numId="11">
    <w:abstractNumId w:val="3"/>
  </w:num>
  <w:num w:numId="12">
    <w:abstractNumId w:val="4"/>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27"/>
    <w:rsid w:val="0000006F"/>
    <w:rsid w:val="00000C8C"/>
    <w:rsid w:val="000017F2"/>
    <w:rsid w:val="00002762"/>
    <w:rsid w:val="00005661"/>
    <w:rsid w:val="00010A16"/>
    <w:rsid w:val="0001243F"/>
    <w:rsid w:val="00021EA0"/>
    <w:rsid w:val="00025992"/>
    <w:rsid w:val="00027937"/>
    <w:rsid w:val="00030C9E"/>
    <w:rsid w:val="00031E67"/>
    <w:rsid w:val="000408CC"/>
    <w:rsid w:val="00042059"/>
    <w:rsid w:val="00045373"/>
    <w:rsid w:val="00047C2D"/>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5C"/>
    <w:rsid w:val="00185F46"/>
    <w:rsid w:val="00196C6A"/>
    <w:rsid w:val="0019787E"/>
    <w:rsid w:val="001A425B"/>
    <w:rsid w:val="001B1B28"/>
    <w:rsid w:val="001B27FB"/>
    <w:rsid w:val="001C4A85"/>
    <w:rsid w:val="001C5443"/>
    <w:rsid w:val="001D0C7D"/>
    <w:rsid w:val="001D1F2D"/>
    <w:rsid w:val="001D2314"/>
    <w:rsid w:val="001D3E46"/>
    <w:rsid w:val="001D6398"/>
    <w:rsid w:val="001E1F45"/>
    <w:rsid w:val="001E27A1"/>
    <w:rsid w:val="001E48A8"/>
    <w:rsid w:val="001E62C1"/>
    <w:rsid w:val="001F0779"/>
    <w:rsid w:val="001F3C3E"/>
    <w:rsid w:val="0020243A"/>
    <w:rsid w:val="0021578E"/>
    <w:rsid w:val="00227582"/>
    <w:rsid w:val="002308BE"/>
    <w:rsid w:val="002407C0"/>
    <w:rsid w:val="00240E18"/>
    <w:rsid w:val="002461AF"/>
    <w:rsid w:val="002465A1"/>
    <w:rsid w:val="00264576"/>
    <w:rsid w:val="002653FE"/>
    <w:rsid w:val="0026585A"/>
    <w:rsid w:val="00266735"/>
    <w:rsid w:val="00273CF0"/>
    <w:rsid w:val="002748D4"/>
    <w:rsid w:val="00274ED7"/>
    <w:rsid w:val="00283AFC"/>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6E77"/>
    <w:rsid w:val="003973A1"/>
    <w:rsid w:val="003A5DA0"/>
    <w:rsid w:val="003A5EEB"/>
    <w:rsid w:val="003A6143"/>
    <w:rsid w:val="003B35F4"/>
    <w:rsid w:val="003B4A41"/>
    <w:rsid w:val="003B7C76"/>
    <w:rsid w:val="003C3E0C"/>
    <w:rsid w:val="003C776B"/>
    <w:rsid w:val="003D3483"/>
    <w:rsid w:val="003D4A1C"/>
    <w:rsid w:val="003D4B82"/>
    <w:rsid w:val="003D7AA0"/>
    <w:rsid w:val="003E1FF7"/>
    <w:rsid w:val="003E311D"/>
    <w:rsid w:val="003F4470"/>
    <w:rsid w:val="003F5A04"/>
    <w:rsid w:val="003F67CD"/>
    <w:rsid w:val="00402ED7"/>
    <w:rsid w:val="004113C4"/>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6B7"/>
    <w:rsid w:val="00497C98"/>
    <w:rsid w:val="004A13D4"/>
    <w:rsid w:val="004A39D7"/>
    <w:rsid w:val="004A55FA"/>
    <w:rsid w:val="004C1EC4"/>
    <w:rsid w:val="004D035C"/>
    <w:rsid w:val="004D12EF"/>
    <w:rsid w:val="004F3C18"/>
    <w:rsid w:val="004F4328"/>
    <w:rsid w:val="004F7EF4"/>
    <w:rsid w:val="005005E4"/>
    <w:rsid w:val="00513689"/>
    <w:rsid w:val="0051375A"/>
    <w:rsid w:val="00521097"/>
    <w:rsid w:val="0053059E"/>
    <w:rsid w:val="00532F6F"/>
    <w:rsid w:val="00533663"/>
    <w:rsid w:val="005460C2"/>
    <w:rsid w:val="00550DD2"/>
    <w:rsid w:val="005526FB"/>
    <w:rsid w:val="0055280A"/>
    <w:rsid w:val="005548E1"/>
    <w:rsid w:val="0055585D"/>
    <w:rsid w:val="0056020F"/>
    <w:rsid w:val="0056127B"/>
    <w:rsid w:val="00561D26"/>
    <w:rsid w:val="00567EC9"/>
    <w:rsid w:val="005708B1"/>
    <w:rsid w:val="00571630"/>
    <w:rsid w:val="005759F4"/>
    <w:rsid w:val="005779D1"/>
    <w:rsid w:val="0058041A"/>
    <w:rsid w:val="0058743D"/>
    <w:rsid w:val="005874AA"/>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352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40B3"/>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72EF"/>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2C27"/>
    <w:rsid w:val="00AA3C15"/>
    <w:rsid w:val="00AA6330"/>
    <w:rsid w:val="00AB2C99"/>
    <w:rsid w:val="00AC7501"/>
    <w:rsid w:val="00AD1039"/>
    <w:rsid w:val="00AD748B"/>
    <w:rsid w:val="00AE4865"/>
    <w:rsid w:val="00AF50EE"/>
    <w:rsid w:val="00B0591D"/>
    <w:rsid w:val="00B13402"/>
    <w:rsid w:val="00B14BC2"/>
    <w:rsid w:val="00B17024"/>
    <w:rsid w:val="00B17CD2"/>
    <w:rsid w:val="00B213D2"/>
    <w:rsid w:val="00B21819"/>
    <w:rsid w:val="00B248BA"/>
    <w:rsid w:val="00B24B56"/>
    <w:rsid w:val="00B2615F"/>
    <w:rsid w:val="00B30E07"/>
    <w:rsid w:val="00B34ADD"/>
    <w:rsid w:val="00B52CB1"/>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39AC"/>
    <w:rsid w:val="00DB5C9D"/>
    <w:rsid w:val="00DD02E6"/>
    <w:rsid w:val="00DD2606"/>
    <w:rsid w:val="00DE388B"/>
    <w:rsid w:val="00DE4F08"/>
    <w:rsid w:val="00DF2132"/>
    <w:rsid w:val="00DF665B"/>
    <w:rsid w:val="00E0152A"/>
    <w:rsid w:val="00E03394"/>
    <w:rsid w:val="00E066E5"/>
    <w:rsid w:val="00E22F03"/>
    <w:rsid w:val="00E233C1"/>
    <w:rsid w:val="00E30178"/>
    <w:rsid w:val="00E46843"/>
    <w:rsid w:val="00E51404"/>
    <w:rsid w:val="00E51B72"/>
    <w:rsid w:val="00E574C9"/>
    <w:rsid w:val="00E610DE"/>
    <w:rsid w:val="00E66167"/>
    <w:rsid w:val="00E71F2F"/>
    <w:rsid w:val="00E77786"/>
    <w:rsid w:val="00E806FB"/>
    <w:rsid w:val="00EA6558"/>
    <w:rsid w:val="00EA7E4D"/>
    <w:rsid w:val="00EB1C2D"/>
    <w:rsid w:val="00EC1810"/>
    <w:rsid w:val="00EC3FCC"/>
    <w:rsid w:val="00EC432B"/>
    <w:rsid w:val="00ED32FF"/>
    <w:rsid w:val="00EF039B"/>
    <w:rsid w:val="00EF351D"/>
    <w:rsid w:val="00EF4933"/>
    <w:rsid w:val="00EF5044"/>
    <w:rsid w:val="00EF62DD"/>
    <w:rsid w:val="00F01956"/>
    <w:rsid w:val="00F116CE"/>
    <w:rsid w:val="00F128E1"/>
    <w:rsid w:val="00F176DE"/>
    <w:rsid w:val="00F17DF8"/>
    <w:rsid w:val="00F21C47"/>
    <w:rsid w:val="00F244E2"/>
    <w:rsid w:val="00F25953"/>
    <w:rsid w:val="00F340DE"/>
    <w:rsid w:val="00F43542"/>
    <w:rsid w:val="00F527CB"/>
    <w:rsid w:val="00F562AA"/>
    <w:rsid w:val="00F63D8C"/>
    <w:rsid w:val="00F66348"/>
    <w:rsid w:val="00F7105A"/>
    <w:rsid w:val="00F77676"/>
    <w:rsid w:val="00F8197C"/>
    <w:rsid w:val="00F82B4E"/>
    <w:rsid w:val="00F87559"/>
    <w:rsid w:val="00F96D71"/>
    <w:rsid w:val="00F97C9E"/>
    <w:rsid w:val="00FA20DE"/>
    <w:rsid w:val="00FA4EE8"/>
    <w:rsid w:val="00FB0284"/>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9820"/>
  <w15:docId w15:val="{94E3ACEC-378E-4300-8A10-D1FDF11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511650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66210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28149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C4ADE-395B-4458-8B07-B4E7FD1FA21E}">
  <ds:schemaRefs>
    <ds:schemaRef ds:uri="http://schemas.openxmlformats.org/officeDocument/2006/bibliography"/>
  </ds:schemaRefs>
</ds:datastoreItem>
</file>

<file path=customXml/itemProps2.xml><?xml version="1.0" encoding="utf-8"?>
<ds:datastoreItem xmlns:ds="http://schemas.openxmlformats.org/officeDocument/2006/customXml" ds:itemID="{52ACF264-2D3C-42D5-B4BA-5C1DA66FB646}"/>
</file>

<file path=customXml/itemProps3.xml><?xml version="1.0" encoding="utf-8"?>
<ds:datastoreItem xmlns:ds="http://schemas.openxmlformats.org/officeDocument/2006/customXml" ds:itemID="{5004CA3D-FA3B-43AF-BF60-69B8B82842AF}"/>
</file>

<file path=customXml/itemProps4.xml><?xml version="1.0" encoding="utf-8"?>
<ds:datastoreItem xmlns:ds="http://schemas.openxmlformats.org/officeDocument/2006/customXml" ds:itemID="{EE08932C-B1D1-4EE1-80CF-239D3FBF044A}"/>
</file>

<file path=docProps/app.xml><?xml version="1.0" encoding="utf-8"?>
<Properties xmlns="http://schemas.openxmlformats.org/officeDocument/2006/extended-properties" xmlns:vt="http://schemas.openxmlformats.org/officeDocument/2006/docPropsVTypes">
  <Template>2814956</Template>
  <TotalTime>3</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2019-03-05T11:31:00Z</dcterms:created>
  <dcterms:modified xsi:type="dcterms:W3CDTF">2022-03-22T16:41:00Z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