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7440" w14:textId="221EDC46"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Title of the module</w:t>
      </w:r>
    </w:p>
    <w:p w14:paraId="79FD5E77" w14:textId="6D2B6A41" w:rsidR="009A2D37" w:rsidRDefault="000114A5" w:rsidP="00696FF5">
      <w:pPr>
        <w:spacing w:after="120" w:line="240" w:lineRule="auto"/>
        <w:ind w:left="567" w:right="260"/>
        <w:jc w:val="both"/>
        <w:rPr>
          <w:rFonts w:ascii="Arial" w:hAnsi="Arial" w:cs="Arial"/>
          <w:iCs/>
          <w:sz w:val="20"/>
          <w:szCs w:val="20"/>
        </w:rPr>
      </w:pPr>
      <w:r w:rsidRPr="009C3C67">
        <w:rPr>
          <w:rFonts w:ascii="Arial" w:hAnsi="Arial" w:cs="Arial"/>
          <w:sz w:val="20"/>
          <w:szCs w:val="20"/>
        </w:rPr>
        <w:t>LAWS8150</w:t>
      </w:r>
      <w:r w:rsidR="00823D22">
        <w:rPr>
          <w:rFonts w:ascii="Arial" w:hAnsi="Arial" w:cs="Arial"/>
          <w:sz w:val="20"/>
          <w:szCs w:val="20"/>
        </w:rPr>
        <w:t xml:space="preserve"> / LAWS8151</w:t>
      </w:r>
      <w:r w:rsidRPr="009C3C67">
        <w:rPr>
          <w:rFonts w:ascii="Arial" w:hAnsi="Arial" w:cs="Arial"/>
          <w:sz w:val="20"/>
          <w:szCs w:val="20"/>
        </w:rPr>
        <w:t xml:space="preserve"> </w:t>
      </w:r>
      <w:r w:rsidR="00C57028" w:rsidRPr="009C3C67">
        <w:rPr>
          <w:rFonts w:ascii="Arial" w:hAnsi="Arial" w:cs="Arial"/>
          <w:iCs/>
          <w:sz w:val="20"/>
          <w:szCs w:val="20"/>
        </w:rPr>
        <w:t>(</w:t>
      </w:r>
      <w:r w:rsidR="00FD248D" w:rsidRPr="009C3C67">
        <w:rPr>
          <w:rFonts w:ascii="Arial" w:hAnsi="Arial" w:cs="Arial"/>
          <w:iCs/>
          <w:sz w:val="20"/>
          <w:szCs w:val="20"/>
        </w:rPr>
        <w:t>LW815</w:t>
      </w:r>
      <w:r w:rsidR="00C57028" w:rsidRPr="009C3C67">
        <w:rPr>
          <w:rFonts w:ascii="Arial" w:hAnsi="Arial" w:cs="Arial"/>
          <w:iCs/>
          <w:sz w:val="20"/>
          <w:szCs w:val="20"/>
        </w:rPr>
        <w:t>) -</w:t>
      </w:r>
      <w:r w:rsidR="009A2D37" w:rsidRPr="009C3C67">
        <w:rPr>
          <w:rFonts w:ascii="Arial" w:hAnsi="Arial" w:cs="Arial"/>
          <w:iCs/>
          <w:sz w:val="20"/>
          <w:szCs w:val="20"/>
        </w:rPr>
        <w:t xml:space="preserve"> </w:t>
      </w:r>
      <w:r w:rsidR="00FD248D" w:rsidRPr="009C3C67">
        <w:rPr>
          <w:rFonts w:ascii="Arial" w:hAnsi="Arial" w:cs="Arial"/>
          <w:iCs/>
          <w:sz w:val="20"/>
          <w:szCs w:val="20"/>
        </w:rPr>
        <w:t>EU Consti</w:t>
      </w:r>
      <w:r w:rsidRPr="009C3C67">
        <w:rPr>
          <w:rFonts w:ascii="Arial" w:hAnsi="Arial" w:cs="Arial"/>
          <w:iCs/>
          <w:sz w:val="20"/>
          <w:szCs w:val="20"/>
        </w:rPr>
        <w:t xml:space="preserve">tutional and Institutional Law </w:t>
      </w:r>
    </w:p>
    <w:p w14:paraId="081DE350" w14:textId="77777777" w:rsidR="009A2D37" w:rsidRPr="009C3C67" w:rsidRDefault="009A2D37" w:rsidP="00302082">
      <w:pPr>
        <w:spacing w:after="120" w:line="240" w:lineRule="auto"/>
        <w:ind w:left="426" w:right="260"/>
        <w:jc w:val="both"/>
        <w:rPr>
          <w:rFonts w:ascii="Arial" w:hAnsi="Arial" w:cs="Arial"/>
          <w:sz w:val="20"/>
          <w:szCs w:val="20"/>
        </w:rPr>
      </w:pPr>
    </w:p>
    <w:p w14:paraId="7DA61840"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School or partner institution which will be responsible for management of the module</w:t>
      </w:r>
    </w:p>
    <w:p w14:paraId="67FD452F" w14:textId="77777777" w:rsidR="009A2D37" w:rsidRPr="009C3C67" w:rsidRDefault="000114A5" w:rsidP="00696FF5">
      <w:pPr>
        <w:spacing w:after="120" w:line="240" w:lineRule="auto"/>
        <w:ind w:left="567" w:right="260"/>
        <w:rPr>
          <w:rFonts w:ascii="Arial" w:hAnsi="Arial" w:cs="Arial"/>
          <w:iCs/>
          <w:sz w:val="20"/>
          <w:szCs w:val="20"/>
        </w:rPr>
      </w:pPr>
      <w:r w:rsidRPr="009C3C67">
        <w:rPr>
          <w:rFonts w:ascii="Arial" w:hAnsi="Arial" w:cs="Arial"/>
          <w:iCs/>
          <w:sz w:val="20"/>
          <w:szCs w:val="20"/>
        </w:rPr>
        <w:t>Kent Law School</w:t>
      </w:r>
    </w:p>
    <w:p w14:paraId="7A5418AD" w14:textId="77777777" w:rsidR="009A2D37" w:rsidRPr="009C3C67" w:rsidRDefault="009A2D37" w:rsidP="00302082">
      <w:pPr>
        <w:spacing w:after="120" w:line="240" w:lineRule="auto"/>
        <w:ind w:left="426" w:right="260"/>
        <w:rPr>
          <w:rFonts w:ascii="Arial" w:hAnsi="Arial" w:cs="Arial"/>
          <w:i/>
          <w:iCs/>
          <w:sz w:val="20"/>
          <w:szCs w:val="20"/>
        </w:rPr>
      </w:pPr>
    </w:p>
    <w:p w14:paraId="0743A7AD" w14:textId="77777777" w:rsidR="009A2D37" w:rsidRPr="009C3C67" w:rsidRDefault="00883204"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The level of the module (</w:t>
      </w:r>
      <w:r w:rsidR="00D83563" w:rsidRPr="009C3C67">
        <w:rPr>
          <w:rFonts w:ascii="Arial" w:hAnsi="Arial" w:cs="Arial"/>
          <w:b/>
          <w:sz w:val="20"/>
          <w:szCs w:val="20"/>
        </w:rPr>
        <w:t>Level</w:t>
      </w:r>
      <w:r w:rsidR="00441E76" w:rsidRPr="009C3C67">
        <w:rPr>
          <w:rFonts w:ascii="Arial" w:hAnsi="Arial" w:cs="Arial"/>
          <w:b/>
          <w:sz w:val="20"/>
          <w:szCs w:val="20"/>
        </w:rPr>
        <w:t xml:space="preserve"> 4</w:t>
      </w:r>
      <w:r w:rsidR="001D0C7D" w:rsidRPr="009C3C67">
        <w:rPr>
          <w:rFonts w:ascii="Arial" w:hAnsi="Arial" w:cs="Arial"/>
          <w:b/>
          <w:sz w:val="20"/>
          <w:szCs w:val="20"/>
        </w:rPr>
        <w:t xml:space="preserve">, </w:t>
      </w:r>
      <w:r w:rsidR="00441E76" w:rsidRPr="009C3C67">
        <w:rPr>
          <w:rFonts w:ascii="Arial" w:hAnsi="Arial" w:cs="Arial"/>
          <w:b/>
          <w:sz w:val="20"/>
          <w:szCs w:val="20"/>
        </w:rPr>
        <w:t>Level 5</w:t>
      </w:r>
      <w:r w:rsidR="001D0C7D" w:rsidRPr="009C3C67">
        <w:rPr>
          <w:rFonts w:ascii="Arial" w:hAnsi="Arial" w:cs="Arial"/>
          <w:b/>
          <w:sz w:val="20"/>
          <w:szCs w:val="20"/>
        </w:rPr>
        <w:t xml:space="preserve">, </w:t>
      </w:r>
      <w:r w:rsidR="00441E76" w:rsidRPr="009C3C67">
        <w:rPr>
          <w:rFonts w:ascii="Arial" w:hAnsi="Arial" w:cs="Arial"/>
          <w:b/>
          <w:sz w:val="20"/>
          <w:szCs w:val="20"/>
        </w:rPr>
        <w:t xml:space="preserve">Level </w:t>
      </w:r>
      <w:proofErr w:type="gramStart"/>
      <w:r w:rsidR="00441E76" w:rsidRPr="009C3C67">
        <w:rPr>
          <w:rFonts w:ascii="Arial" w:hAnsi="Arial" w:cs="Arial"/>
          <w:b/>
          <w:sz w:val="20"/>
          <w:szCs w:val="20"/>
        </w:rPr>
        <w:t>6</w:t>
      </w:r>
      <w:proofErr w:type="gramEnd"/>
      <w:r w:rsidR="001D0C7D" w:rsidRPr="009C3C67">
        <w:rPr>
          <w:rFonts w:ascii="Arial" w:hAnsi="Arial" w:cs="Arial"/>
          <w:b/>
          <w:sz w:val="20"/>
          <w:szCs w:val="20"/>
        </w:rPr>
        <w:t xml:space="preserve"> or </w:t>
      </w:r>
      <w:r w:rsidR="00C612A8" w:rsidRPr="009C3C67">
        <w:rPr>
          <w:rFonts w:ascii="Arial" w:hAnsi="Arial" w:cs="Arial"/>
          <w:b/>
          <w:sz w:val="20"/>
          <w:szCs w:val="20"/>
        </w:rPr>
        <w:t>L</w:t>
      </w:r>
      <w:r w:rsidR="00441E76" w:rsidRPr="009C3C67">
        <w:rPr>
          <w:rFonts w:ascii="Arial" w:hAnsi="Arial" w:cs="Arial"/>
          <w:b/>
          <w:sz w:val="20"/>
          <w:szCs w:val="20"/>
        </w:rPr>
        <w:t>evel 7</w:t>
      </w:r>
      <w:r w:rsidR="009A2D37" w:rsidRPr="009C3C67">
        <w:rPr>
          <w:rFonts w:ascii="Arial" w:hAnsi="Arial" w:cs="Arial"/>
          <w:b/>
          <w:sz w:val="20"/>
          <w:szCs w:val="20"/>
        </w:rPr>
        <w:t>)</w:t>
      </w:r>
    </w:p>
    <w:p w14:paraId="49845105" w14:textId="77777777" w:rsidR="009A2D37" w:rsidRPr="009C3C67" w:rsidRDefault="000114A5" w:rsidP="00696FF5">
      <w:pPr>
        <w:spacing w:after="120" w:line="240" w:lineRule="auto"/>
        <w:ind w:left="567" w:right="260"/>
        <w:jc w:val="both"/>
        <w:rPr>
          <w:rFonts w:ascii="Arial" w:hAnsi="Arial" w:cs="Arial"/>
          <w:sz w:val="20"/>
          <w:szCs w:val="20"/>
        </w:rPr>
      </w:pPr>
      <w:r w:rsidRPr="009C3C67">
        <w:rPr>
          <w:rFonts w:ascii="Arial" w:hAnsi="Arial" w:cs="Arial"/>
          <w:sz w:val="20"/>
          <w:szCs w:val="20"/>
        </w:rPr>
        <w:t>Level 7</w:t>
      </w:r>
    </w:p>
    <w:p w14:paraId="7424F6FE" w14:textId="77777777" w:rsidR="009A2D37" w:rsidRPr="009C3C67" w:rsidRDefault="009A2D37" w:rsidP="00302082">
      <w:pPr>
        <w:spacing w:after="120" w:line="240" w:lineRule="auto"/>
        <w:ind w:left="426" w:right="260"/>
        <w:rPr>
          <w:rFonts w:ascii="Arial" w:hAnsi="Arial" w:cs="Arial"/>
          <w:i/>
          <w:iCs/>
          <w:sz w:val="20"/>
          <w:szCs w:val="20"/>
        </w:rPr>
      </w:pPr>
    </w:p>
    <w:p w14:paraId="492467BB"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 xml:space="preserve">The number of credits and the ECTS value which the module represents </w:t>
      </w:r>
    </w:p>
    <w:p w14:paraId="14AC5BB6" w14:textId="77777777" w:rsidR="009A2D37" w:rsidRPr="009C3C67" w:rsidRDefault="000114A5" w:rsidP="000114A5">
      <w:pPr>
        <w:spacing w:after="120" w:line="240" w:lineRule="auto"/>
        <w:ind w:left="567" w:right="260"/>
        <w:rPr>
          <w:rFonts w:ascii="Arial" w:eastAsia="Times New Roman" w:hAnsi="Arial" w:cs="Arial"/>
          <w:sz w:val="20"/>
          <w:szCs w:val="20"/>
        </w:rPr>
      </w:pPr>
      <w:r w:rsidRPr="009C3C67">
        <w:rPr>
          <w:rFonts w:ascii="Arial" w:eastAsia="Times New Roman" w:hAnsi="Arial" w:cs="Arial"/>
          <w:sz w:val="20"/>
          <w:szCs w:val="20"/>
        </w:rPr>
        <w:t>20 credits (10 ECTS)</w:t>
      </w:r>
    </w:p>
    <w:p w14:paraId="33470260" w14:textId="77777777" w:rsidR="000114A5" w:rsidRPr="009C3C67" w:rsidRDefault="000114A5" w:rsidP="00302082">
      <w:pPr>
        <w:spacing w:after="120" w:line="240" w:lineRule="auto"/>
        <w:ind w:left="426" w:right="260"/>
        <w:rPr>
          <w:rFonts w:ascii="Arial" w:hAnsi="Arial" w:cs="Arial"/>
          <w:i/>
          <w:sz w:val="20"/>
          <w:szCs w:val="20"/>
        </w:rPr>
      </w:pPr>
    </w:p>
    <w:p w14:paraId="4632EBA0"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Which term(s) the module is to be taught in (or other teaching pattern)</w:t>
      </w:r>
    </w:p>
    <w:p w14:paraId="2A862F4B" w14:textId="77777777" w:rsidR="009A2D37" w:rsidRPr="009C3C67" w:rsidRDefault="00126B57" w:rsidP="00126B57">
      <w:pPr>
        <w:spacing w:after="120" w:line="240" w:lineRule="auto"/>
        <w:ind w:left="567" w:right="260"/>
        <w:rPr>
          <w:rFonts w:ascii="Arial" w:hAnsi="Arial" w:cs="Arial"/>
          <w:iCs/>
          <w:sz w:val="20"/>
          <w:szCs w:val="20"/>
        </w:rPr>
      </w:pPr>
      <w:r w:rsidRPr="009C3C67">
        <w:rPr>
          <w:rFonts w:ascii="Arial" w:hAnsi="Arial" w:cs="Arial"/>
          <w:iCs/>
          <w:sz w:val="20"/>
          <w:szCs w:val="20"/>
        </w:rPr>
        <w:t>Autumn or spring</w:t>
      </w:r>
    </w:p>
    <w:p w14:paraId="78D125BC" w14:textId="77777777" w:rsidR="00126B57" w:rsidRPr="009C3C67" w:rsidRDefault="00126B57" w:rsidP="00126B57">
      <w:pPr>
        <w:spacing w:after="120" w:line="240" w:lineRule="auto"/>
        <w:ind w:left="567" w:right="260"/>
        <w:rPr>
          <w:rFonts w:ascii="Arial" w:hAnsi="Arial" w:cs="Arial"/>
          <w:iCs/>
          <w:sz w:val="20"/>
          <w:szCs w:val="20"/>
        </w:rPr>
      </w:pPr>
    </w:p>
    <w:p w14:paraId="0AA1A72B"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Prerequisite and co-requisite modules</w:t>
      </w:r>
    </w:p>
    <w:p w14:paraId="7696D87C" w14:textId="77777777" w:rsidR="009A2D37" w:rsidRPr="009C3C67" w:rsidRDefault="00126B57" w:rsidP="00126B57">
      <w:pPr>
        <w:spacing w:after="120" w:line="240" w:lineRule="auto"/>
        <w:ind w:left="567" w:right="260"/>
        <w:rPr>
          <w:rFonts w:ascii="Arial" w:hAnsi="Arial" w:cs="Arial"/>
          <w:iCs/>
          <w:sz w:val="20"/>
          <w:szCs w:val="20"/>
        </w:rPr>
      </w:pPr>
      <w:r w:rsidRPr="009C3C67">
        <w:rPr>
          <w:rFonts w:ascii="Arial" w:hAnsi="Arial" w:cs="Arial"/>
          <w:iCs/>
          <w:sz w:val="20"/>
          <w:szCs w:val="20"/>
        </w:rPr>
        <w:t>None</w:t>
      </w:r>
    </w:p>
    <w:p w14:paraId="13FC1246" w14:textId="77777777" w:rsidR="00126B57" w:rsidRPr="009C3C67" w:rsidRDefault="00126B57" w:rsidP="00126B57">
      <w:pPr>
        <w:spacing w:after="120" w:line="240" w:lineRule="auto"/>
        <w:ind w:left="567" w:right="260"/>
        <w:rPr>
          <w:rFonts w:ascii="Arial" w:hAnsi="Arial" w:cs="Arial"/>
          <w:iCs/>
          <w:sz w:val="20"/>
          <w:szCs w:val="20"/>
        </w:rPr>
      </w:pPr>
    </w:p>
    <w:p w14:paraId="4855B968"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The programmes of study to which the module contributes</w:t>
      </w:r>
    </w:p>
    <w:p w14:paraId="1BB6AA8B" w14:textId="3A6DD96A" w:rsidR="004643A0" w:rsidRPr="009C3C67" w:rsidRDefault="004643A0" w:rsidP="001F5337">
      <w:pPr>
        <w:spacing w:after="120" w:line="240" w:lineRule="auto"/>
        <w:ind w:left="567" w:right="260"/>
        <w:jc w:val="both"/>
        <w:rPr>
          <w:rFonts w:ascii="Arial" w:hAnsi="Arial" w:cs="Arial"/>
          <w:iCs/>
          <w:sz w:val="20"/>
          <w:szCs w:val="20"/>
        </w:rPr>
      </w:pPr>
      <w:r w:rsidRPr="009C3C67">
        <w:rPr>
          <w:rFonts w:ascii="Arial" w:hAnsi="Arial" w:cs="Arial"/>
          <w:iCs/>
          <w:sz w:val="20"/>
          <w:szCs w:val="20"/>
        </w:rPr>
        <w:t xml:space="preserve">Canterbury – LLM in (Specialisation); </w:t>
      </w:r>
      <w:r w:rsidR="001F5337" w:rsidRPr="009C3C67">
        <w:rPr>
          <w:rFonts w:ascii="Arial" w:hAnsi="Arial" w:cs="Arial"/>
          <w:iCs/>
          <w:sz w:val="20"/>
          <w:szCs w:val="20"/>
        </w:rPr>
        <w:t xml:space="preserve">LLM in Law; </w:t>
      </w:r>
      <w:r w:rsidRPr="009C3C67">
        <w:rPr>
          <w:rFonts w:ascii="Arial" w:hAnsi="Arial" w:cs="Arial"/>
          <w:iCs/>
          <w:sz w:val="20"/>
          <w:szCs w:val="20"/>
        </w:rPr>
        <w:t>PG Diploma in (Specialisation); PG Certificate in Law</w:t>
      </w:r>
    </w:p>
    <w:p w14:paraId="6520DE13" w14:textId="5A2ECAE6" w:rsidR="009A2D37" w:rsidRPr="009C3C67" w:rsidRDefault="004643A0" w:rsidP="001F5337">
      <w:pPr>
        <w:spacing w:after="120" w:line="240" w:lineRule="auto"/>
        <w:ind w:left="567" w:right="260"/>
        <w:jc w:val="both"/>
        <w:rPr>
          <w:rFonts w:ascii="Arial" w:hAnsi="Arial" w:cs="Arial"/>
          <w:iCs/>
          <w:sz w:val="20"/>
          <w:szCs w:val="20"/>
        </w:rPr>
      </w:pPr>
      <w:r w:rsidRPr="009C3C67">
        <w:rPr>
          <w:rFonts w:ascii="Arial" w:hAnsi="Arial" w:cs="Arial"/>
          <w:iCs/>
          <w:sz w:val="20"/>
          <w:szCs w:val="20"/>
        </w:rPr>
        <w:t>Brussels –</w:t>
      </w:r>
      <w:r w:rsidR="001F5337" w:rsidRPr="009C3C67">
        <w:rPr>
          <w:rFonts w:ascii="Arial" w:hAnsi="Arial" w:cs="Arial"/>
          <w:iCs/>
          <w:sz w:val="20"/>
          <w:szCs w:val="20"/>
        </w:rPr>
        <w:t xml:space="preserve"> </w:t>
      </w:r>
      <w:r w:rsidRPr="009C3C67">
        <w:rPr>
          <w:rFonts w:ascii="Arial" w:hAnsi="Arial" w:cs="Arial"/>
          <w:iCs/>
          <w:sz w:val="20"/>
          <w:szCs w:val="20"/>
        </w:rPr>
        <w:t>LLM</w:t>
      </w:r>
      <w:r w:rsidR="001F5337" w:rsidRPr="009C3C67">
        <w:rPr>
          <w:rFonts w:ascii="Arial" w:hAnsi="Arial" w:cs="Arial"/>
          <w:iCs/>
          <w:sz w:val="20"/>
          <w:szCs w:val="20"/>
        </w:rPr>
        <w:t>/MA</w:t>
      </w:r>
      <w:r w:rsidRPr="009C3C67">
        <w:rPr>
          <w:rFonts w:ascii="Arial" w:hAnsi="Arial" w:cs="Arial"/>
          <w:iCs/>
          <w:sz w:val="20"/>
          <w:szCs w:val="20"/>
        </w:rPr>
        <w:t xml:space="preserve"> in (Specialisation)</w:t>
      </w:r>
      <w:r w:rsidR="00CB0747">
        <w:rPr>
          <w:rFonts w:ascii="Arial" w:hAnsi="Arial" w:cs="Arial"/>
          <w:iCs/>
          <w:sz w:val="20"/>
          <w:szCs w:val="20"/>
        </w:rPr>
        <w:t xml:space="preserve"> - Brussels</w:t>
      </w:r>
      <w:r w:rsidRPr="009C3C67">
        <w:rPr>
          <w:rFonts w:ascii="Arial" w:hAnsi="Arial" w:cs="Arial"/>
          <w:iCs/>
          <w:sz w:val="20"/>
          <w:szCs w:val="20"/>
        </w:rPr>
        <w:t>; PG Diploma in (Specialisation)</w:t>
      </w:r>
      <w:r w:rsidR="00CB0747">
        <w:rPr>
          <w:rFonts w:ascii="Arial" w:hAnsi="Arial" w:cs="Arial"/>
          <w:iCs/>
          <w:sz w:val="20"/>
          <w:szCs w:val="20"/>
        </w:rPr>
        <w:t xml:space="preserve"> - Brussels</w:t>
      </w:r>
      <w:r w:rsidRPr="009C3C67">
        <w:rPr>
          <w:rFonts w:ascii="Arial" w:hAnsi="Arial" w:cs="Arial"/>
          <w:iCs/>
          <w:sz w:val="20"/>
          <w:szCs w:val="20"/>
        </w:rPr>
        <w:t>; PG Certificate in Law</w:t>
      </w:r>
    </w:p>
    <w:p w14:paraId="38F46ABA" w14:textId="77777777" w:rsidR="004643A0" w:rsidRPr="009C3C67" w:rsidRDefault="004643A0" w:rsidP="004643A0">
      <w:pPr>
        <w:spacing w:after="120" w:line="240" w:lineRule="auto"/>
        <w:ind w:left="426" w:right="260"/>
        <w:rPr>
          <w:rFonts w:ascii="Arial" w:hAnsi="Arial" w:cs="Arial"/>
          <w:i/>
          <w:iCs/>
          <w:sz w:val="20"/>
          <w:szCs w:val="20"/>
        </w:rPr>
      </w:pPr>
    </w:p>
    <w:p w14:paraId="13AF23A9" w14:textId="0B728776" w:rsidR="009A2D37" w:rsidRPr="009C3C67" w:rsidRDefault="009A2D37" w:rsidP="00696FF5">
      <w:pPr>
        <w:numPr>
          <w:ilvl w:val="0"/>
          <w:numId w:val="1"/>
        </w:numPr>
        <w:spacing w:after="120" w:line="240" w:lineRule="auto"/>
        <w:ind w:left="567" w:right="260" w:hanging="567"/>
        <w:rPr>
          <w:rFonts w:ascii="Arial" w:hAnsi="Arial" w:cs="Arial"/>
          <w:b/>
          <w:sz w:val="20"/>
          <w:szCs w:val="20"/>
        </w:rPr>
      </w:pPr>
      <w:r w:rsidRPr="009C3C67">
        <w:rPr>
          <w:rFonts w:ascii="Arial" w:hAnsi="Arial" w:cs="Arial"/>
          <w:b/>
          <w:sz w:val="20"/>
          <w:szCs w:val="20"/>
        </w:rPr>
        <w:t>The intended subject specific learning outcomes</w:t>
      </w:r>
      <w:r w:rsidR="00C729D7" w:rsidRPr="009C3C67">
        <w:rPr>
          <w:rFonts w:ascii="Arial" w:hAnsi="Arial" w:cs="Arial"/>
          <w:b/>
          <w:sz w:val="20"/>
          <w:szCs w:val="20"/>
        </w:rPr>
        <w:t>.</w:t>
      </w:r>
      <w:r w:rsidR="00C729D7" w:rsidRPr="009C3C67">
        <w:rPr>
          <w:rFonts w:ascii="Arial" w:hAnsi="Arial" w:cs="Arial"/>
          <w:b/>
          <w:sz w:val="20"/>
          <w:szCs w:val="20"/>
        </w:rPr>
        <w:br/>
        <w:t>On successfully completing the module students will be able to:</w:t>
      </w:r>
    </w:p>
    <w:p w14:paraId="43C37ECD" w14:textId="77777777" w:rsidR="001F5337" w:rsidRPr="009C3C67" w:rsidRDefault="001F5337" w:rsidP="001F5337">
      <w:pPr>
        <w:spacing w:after="120" w:line="240" w:lineRule="auto"/>
        <w:ind w:left="567" w:right="260"/>
        <w:rPr>
          <w:rFonts w:ascii="Arial" w:hAnsi="Arial" w:cs="Arial"/>
          <w:b/>
          <w:sz w:val="20"/>
          <w:szCs w:val="20"/>
        </w:rPr>
      </w:pPr>
    </w:p>
    <w:p w14:paraId="40F7C5D0" w14:textId="35BA3EEF"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give students a firm grounding in the rules and concepts of EU constitutional and institutional law, and a deeper understanding of the broader social and political implications of European legal integration.</w:t>
      </w:r>
    </w:p>
    <w:p w14:paraId="7C6C97F9" w14:textId="2586C1A4"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enable students to become familiar with the main sources of EU constitutional and institutional law and to gain an understanding of how to access these materials for the purposes of preparing a module assessment.</w:t>
      </w:r>
    </w:p>
    <w:p w14:paraId="6D0F1C5F" w14:textId="7342F52F"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allow students to gain an insight into the operation of the EU legal system and into ways in which Union Law penetrates and becomes part of the national law of the member states.</w:t>
      </w:r>
    </w:p>
    <w:p w14:paraId="77C05E85" w14:textId="24AE4EF5"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enable students to appreciate the constitutional issues and agendas which are frequently implicit in cases arising before the ECJ and national constitutional courts.</w:t>
      </w:r>
    </w:p>
    <w:p w14:paraId="29F717D1" w14:textId="00627ECF" w:rsidR="004643A0"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allow students to engage directly with Court of Justice of the EU jurisprudence through oral presentation and analysis of selected cases</w:t>
      </w:r>
    </w:p>
    <w:p w14:paraId="07597E60" w14:textId="77777777" w:rsidR="009447EA" w:rsidRPr="009C3C67" w:rsidRDefault="009447EA" w:rsidP="009447EA">
      <w:pPr>
        <w:spacing w:after="120" w:line="240" w:lineRule="auto"/>
        <w:ind w:left="567" w:right="260"/>
        <w:rPr>
          <w:rFonts w:ascii="Arial" w:hAnsi="Arial" w:cs="Arial"/>
          <w:i/>
          <w:sz w:val="20"/>
          <w:szCs w:val="20"/>
        </w:rPr>
      </w:pPr>
    </w:p>
    <w:p w14:paraId="0F51ED5D" w14:textId="77777777" w:rsidR="00C729D7" w:rsidRPr="009C3C67" w:rsidRDefault="009A2D37" w:rsidP="00696FF5">
      <w:pPr>
        <w:numPr>
          <w:ilvl w:val="0"/>
          <w:numId w:val="1"/>
        </w:numPr>
        <w:spacing w:after="120" w:line="240" w:lineRule="auto"/>
        <w:ind w:left="567" w:right="260" w:hanging="567"/>
        <w:rPr>
          <w:rFonts w:ascii="Arial" w:hAnsi="Arial" w:cs="Arial"/>
          <w:b/>
          <w:sz w:val="20"/>
          <w:szCs w:val="20"/>
        </w:rPr>
      </w:pPr>
      <w:r w:rsidRPr="009C3C67">
        <w:rPr>
          <w:rFonts w:ascii="Arial" w:hAnsi="Arial" w:cs="Arial"/>
          <w:b/>
          <w:sz w:val="20"/>
          <w:szCs w:val="20"/>
        </w:rPr>
        <w:t>The intended generic learning outcomes</w:t>
      </w:r>
      <w:r w:rsidR="00C729D7" w:rsidRPr="009C3C67">
        <w:rPr>
          <w:rFonts w:ascii="Arial" w:hAnsi="Arial" w:cs="Arial"/>
          <w:b/>
          <w:sz w:val="20"/>
          <w:szCs w:val="20"/>
        </w:rPr>
        <w:t>.</w:t>
      </w:r>
      <w:r w:rsidR="00C729D7" w:rsidRPr="009C3C67">
        <w:rPr>
          <w:rFonts w:ascii="Arial" w:hAnsi="Arial" w:cs="Arial"/>
          <w:b/>
          <w:sz w:val="20"/>
          <w:szCs w:val="20"/>
        </w:rPr>
        <w:br/>
        <w:t>On successfully completing the module students will be able to:</w:t>
      </w:r>
    </w:p>
    <w:p w14:paraId="550BBD02" w14:textId="70F30C18"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C</w:t>
      </w:r>
      <w:r w:rsidR="00B56200" w:rsidRPr="009C3C67">
        <w:rPr>
          <w:rFonts w:ascii="Arial" w:hAnsi="Arial" w:cs="Arial"/>
          <w:iCs/>
          <w:sz w:val="20"/>
          <w:szCs w:val="20"/>
        </w:rPr>
        <w:t xml:space="preserve">onstruct a critical argument in essay form, </w:t>
      </w:r>
      <w:proofErr w:type="gramStart"/>
      <w:r w:rsidR="00B56200" w:rsidRPr="009C3C67">
        <w:rPr>
          <w:rFonts w:ascii="Arial" w:hAnsi="Arial" w:cs="Arial"/>
          <w:iCs/>
          <w:sz w:val="20"/>
          <w:szCs w:val="20"/>
        </w:rPr>
        <w:t>on the basis of</w:t>
      </w:r>
      <w:proofErr w:type="gramEnd"/>
      <w:r w:rsidR="00B56200" w:rsidRPr="009C3C67">
        <w:rPr>
          <w:rFonts w:ascii="Arial" w:hAnsi="Arial" w:cs="Arial"/>
          <w:iCs/>
          <w:sz w:val="20"/>
          <w:szCs w:val="20"/>
        </w:rPr>
        <w:t xml:space="preserve"> independent research. </w:t>
      </w:r>
    </w:p>
    <w:p w14:paraId="3E5EE6B8" w14:textId="7D13E05E"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P</w:t>
      </w:r>
      <w:r w:rsidR="00B56200" w:rsidRPr="009C3C67">
        <w:rPr>
          <w:rFonts w:ascii="Arial" w:hAnsi="Arial" w:cs="Arial"/>
          <w:iCs/>
          <w:sz w:val="20"/>
          <w:szCs w:val="20"/>
        </w:rPr>
        <w:t xml:space="preserve">resent a case, identifying the key concepts, the inter-relation between the facts and the legal arguments and providing a coherent account of the judgment and of its broader ramifications. </w:t>
      </w:r>
    </w:p>
    <w:p w14:paraId="59C5F762" w14:textId="696EB327"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lastRenderedPageBreak/>
        <w:t>Demonstrate a</w:t>
      </w:r>
      <w:r w:rsidR="00B56200" w:rsidRPr="009C3C67">
        <w:rPr>
          <w:rFonts w:ascii="Arial" w:hAnsi="Arial" w:cs="Arial"/>
          <w:iCs/>
          <w:sz w:val="20"/>
          <w:szCs w:val="20"/>
        </w:rPr>
        <w:t xml:space="preserve">n increased confidence in oral communication by participation in seminar discussion of legal and non-legal issues and EU case law, individually and/or through teamwork exercises and by delivering a case presentation. </w:t>
      </w:r>
    </w:p>
    <w:p w14:paraId="1AB062F0" w14:textId="27984CC8"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M</w:t>
      </w:r>
      <w:r w:rsidR="00B56200" w:rsidRPr="009C3C67">
        <w:rPr>
          <w:rFonts w:ascii="Arial" w:hAnsi="Arial" w:cs="Arial"/>
          <w:iCs/>
          <w:sz w:val="20"/>
          <w:szCs w:val="20"/>
        </w:rPr>
        <w:t xml:space="preserve">ake proper use of the library resources by way of law reports, articles, </w:t>
      </w:r>
      <w:proofErr w:type="gramStart"/>
      <w:r w:rsidR="00B56200" w:rsidRPr="009C3C67">
        <w:rPr>
          <w:rFonts w:ascii="Arial" w:hAnsi="Arial" w:cs="Arial"/>
          <w:iCs/>
          <w:sz w:val="20"/>
          <w:szCs w:val="20"/>
        </w:rPr>
        <w:t>monographs</w:t>
      </w:r>
      <w:proofErr w:type="gramEnd"/>
      <w:r w:rsidR="00B56200" w:rsidRPr="009C3C67">
        <w:rPr>
          <w:rFonts w:ascii="Arial" w:hAnsi="Arial" w:cs="Arial"/>
          <w:iCs/>
          <w:sz w:val="20"/>
          <w:szCs w:val="20"/>
        </w:rPr>
        <w:t xml:space="preserve"> and textbooks. </w:t>
      </w:r>
    </w:p>
    <w:p w14:paraId="7BD06015" w14:textId="2E80119F"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M</w:t>
      </w:r>
      <w:r w:rsidR="00B56200" w:rsidRPr="009C3C67">
        <w:rPr>
          <w:rFonts w:ascii="Arial" w:hAnsi="Arial" w:cs="Arial"/>
          <w:iCs/>
          <w:sz w:val="20"/>
          <w:szCs w:val="20"/>
        </w:rPr>
        <w:t xml:space="preserve">ake proper </w:t>
      </w:r>
      <w:r w:rsidRPr="009C3C67">
        <w:rPr>
          <w:rFonts w:ascii="Arial" w:hAnsi="Arial" w:cs="Arial"/>
          <w:iCs/>
          <w:sz w:val="20"/>
          <w:szCs w:val="20"/>
        </w:rPr>
        <w:t>use of web-based material and</w:t>
      </w:r>
      <w:r w:rsidR="00B56200" w:rsidRPr="009C3C67">
        <w:rPr>
          <w:rFonts w:ascii="Arial" w:hAnsi="Arial" w:cs="Arial"/>
          <w:iCs/>
          <w:sz w:val="20"/>
          <w:szCs w:val="20"/>
        </w:rPr>
        <w:t xml:space="preserve"> distinguish appropriate sources from inadequate ones.</w:t>
      </w:r>
    </w:p>
    <w:p w14:paraId="0403101A" w14:textId="3A316A4F" w:rsidR="009A2D37"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A</w:t>
      </w:r>
      <w:r w:rsidR="00B56200" w:rsidRPr="009C3C67">
        <w:rPr>
          <w:rFonts w:ascii="Arial" w:hAnsi="Arial" w:cs="Arial"/>
          <w:iCs/>
          <w:sz w:val="20"/>
          <w:szCs w:val="20"/>
        </w:rPr>
        <w:t xml:space="preserve">pply critical, </w:t>
      </w:r>
      <w:proofErr w:type="gramStart"/>
      <w:r w:rsidR="00B56200" w:rsidRPr="009C3C67">
        <w:rPr>
          <w:rFonts w:ascii="Arial" w:hAnsi="Arial" w:cs="Arial"/>
          <w:iCs/>
          <w:sz w:val="20"/>
          <w:szCs w:val="20"/>
        </w:rPr>
        <w:t>analytical</w:t>
      </w:r>
      <w:proofErr w:type="gramEnd"/>
      <w:r w:rsidR="00B56200" w:rsidRPr="009C3C67">
        <w:rPr>
          <w:rFonts w:ascii="Arial" w:hAnsi="Arial" w:cs="Arial"/>
          <w:iCs/>
          <w:sz w:val="20"/>
          <w:szCs w:val="20"/>
        </w:rPr>
        <w:t xml:space="preserve"> and problem-solving skills in a wide range of different legal and non-legal settings in seminars and for the purpose of written assessment.</w:t>
      </w:r>
    </w:p>
    <w:p w14:paraId="048D5C56" w14:textId="77777777" w:rsidR="009A2D37" w:rsidRPr="009C3C67" w:rsidRDefault="009A2D37" w:rsidP="00302082">
      <w:pPr>
        <w:pStyle w:val="Default"/>
        <w:spacing w:after="120"/>
        <w:ind w:left="720" w:right="260"/>
        <w:rPr>
          <w:color w:val="auto"/>
          <w:sz w:val="20"/>
          <w:szCs w:val="20"/>
        </w:rPr>
      </w:pPr>
    </w:p>
    <w:p w14:paraId="3E1C0D22"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A synopsis of the curriculum</w:t>
      </w:r>
    </w:p>
    <w:p w14:paraId="5530AC8A" w14:textId="77777777" w:rsidR="0045739D" w:rsidRPr="009C3C67" w:rsidRDefault="0045739D" w:rsidP="0045739D">
      <w:pPr>
        <w:spacing w:after="120" w:line="240" w:lineRule="auto"/>
        <w:ind w:left="567" w:right="260"/>
        <w:jc w:val="both"/>
        <w:rPr>
          <w:rFonts w:ascii="Arial" w:hAnsi="Arial" w:cs="Arial"/>
          <w:iCs/>
          <w:sz w:val="20"/>
          <w:szCs w:val="20"/>
        </w:rPr>
      </w:pPr>
      <w:r w:rsidRPr="009C3C67">
        <w:rPr>
          <w:rFonts w:ascii="Arial" w:hAnsi="Arial" w:cs="Arial"/>
          <w:iCs/>
          <w:sz w:val="20"/>
          <w:szCs w:val="20"/>
        </w:rPr>
        <w:t xml:space="preserve">This module focuses on the foundational rules, principles and doctrines underpinning the constitutional and institutional legal framework of the European Union. Against the backdrop of financial turbulence within the Eurozone and the recent structural reforms to the Union introduced by the 2007 Lisbon Treaty, this core area of EU law has gained heightened political and legal significance in the context of on-going debates on the nature and extent of European legal integration. </w:t>
      </w:r>
    </w:p>
    <w:p w14:paraId="16F09562" w14:textId="77777777" w:rsidR="009A2D37" w:rsidRPr="009C3C67" w:rsidRDefault="009A2D37" w:rsidP="00302082">
      <w:pPr>
        <w:spacing w:after="120" w:line="240" w:lineRule="auto"/>
        <w:ind w:left="426" w:right="260"/>
        <w:rPr>
          <w:rFonts w:ascii="Arial" w:hAnsi="Arial" w:cs="Arial"/>
          <w:i/>
          <w:iCs/>
          <w:sz w:val="20"/>
          <w:szCs w:val="20"/>
        </w:rPr>
      </w:pPr>
    </w:p>
    <w:p w14:paraId="269F7F35" w14:textId="77777777" w:rsidR="009A2D37" w:rsidRPr="009C3C67" w:rsidRDefault="00883204"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Reading l</w:t>
      </w:r>
      <w:r w:rsidR="009A2D37" w:rsidRPr="009C3C67">
        <w:rPr>
          <w:rFonts w:ascii="Arial" w:hAnsi="Arial" w:cs="Arial"/>
          <w:b/>
          <w:sz w:val="20"/>
          <w:szCs w:val="20"/>
        </w:rPr>
        <w:t xml:space="preserve">ist </w:t>
      </w:r>
      <w:r w:rsidR="00274ED7" w:rsidRPr="009C3C67">
        <w:rPr>
          <w:rFonts w:ascii="Arial" w:hAnsi="Arial" w:cs="Arial"/>
          <w:b/>
          <w:sz w:val="20"/>
          <w:szCs w:val="20"/>
        </w:rPr>
        <w:t>(Indicative list, current at time of publication. Reading lists will be published annually)</w:t>
      </w:r>
    </w:p>
    <w:p w14:paraId="4FDFED58" w14:textId="77777777" w:rsidR="0045739D" w:rsidRPr="009C3C67" w:rsidRDefault="0045739D" w:rsidP="0045739D">
      <w:pPr>
        <w:spacing w:after="120" w:line="240" w:lineRule="auto"/>
        <w:ind w:left="567" w:right="260"/>
        <w:jc w:val="both"/>
        <w:rPr>
          <w:rFonts w:ascii="Arial" w:hAnsi="Arial" w:cs="Arial"/>
          <w:sz w:val="20"/>
          <w:szCs w:val="20"/>
        </w:rPr>
      </w:pPr>
      <w:r w:rsidRPr="009C3C67">
        <w:rPr>
          <w:rFonts w:ascii="Arial" w:hAnsi="Arial" w:cs="Arial"/>
          <w:sz w:val="20"/>
          <w:szCs w:val="20"/>
        </w:rPr>
        <w:t xml:space="preserve">The following are required as general reading and are available in the library. Additional reading will be recommended and detailed in lecture and seminar </w:t>
      </w:r>
      <w:proofErr w:type="gramStart"/>
      <w:r w:rsidRPr="009C3C67">
        <w:rPr>
          <w:rFonts w:ascii="Arial" w:hAnsi="Arial" w:cs="Arial"/>
          <w:sz w:val="20"/>
          <w:szCs w:val="20"/>
        </w:rPr>
        <w:t>handouts;</w:t>
      </w:r>
      <w:proofErr w:type="gramEnd"/>
    </w:p>
    <w:p w14:paraId="5CA121AF" w14:textId="6CACD909" w:rsidR="0045739D" w:rsidRPr="009C3C67" w:rsidRDefault="0045739D" w:rsidP="001F5337">
      <w:pPr>
        <w:pStyle w:val="ListParagraph"/>
        <w:numPr>
          <w:ilvl w:val="0"/>
          <w:numId w:val="12"/>
        </w:numPr>
        <w:spacing w:after="120" w:line="240" w:lineRule="auto"/>
        <w:ind w:right="260"/>
        <w:jc w:val="both"/>
        <w:rPr>
          <w:rFonts w:ascii="Arial" w:hAnsi="Arial" w:cs="Arial"/>
          <w:sz w:val="20"/>
          <w:szCs w:val="20"/>
        </w:rPr>
      </w:pPr>
      <w:r w:rsidRPr="009C3C67">
        <w:rPr>
          <w:rFonts w:ascii="Arial" w:hAnsi="Arial" w:cs="Arial"/>
          <w:sz w:val="20"/>
          <w:szCs w:val="20"/>
        </w:rPr>
        <w:t xml:space="preserve">Craig, P. &amp; De </w:t>
      </w:r>
      <w:proofErr w:type="spellStart"/>
      <w:r w:rsidRPr="009C3C67">
        <w:rPr>
          <w:rFonts w:ascii="Arial" w:hAnsi="Arial" w:cs="Arial"/>
          <w:sz w:val="20"/>
          <w:szCs w:val="20"/>
        </w:rPr>
        <w:t>Burca</w:t>
      </w:r>
      <w:proofErr w:type="spellEnd"/>
      <w:r w:rsidRPr="009C3C67">
        <w:rPr>
          <w:rFonts w:ascii="Arial" w:hAnsi="Arial" w:cs="Arial"/>
          <w:sz w:val="20"/>
          <w:szCs w:val="20"/>
        </w:rPr>
        <w:t>, G.,</w:t>
      </w:r>
      <w:r w:rsidR="00F70115">
        <w:rPr>
          <w:rFonts w:ascii="Arial" w:hAnsi="Arial" w:cs="Arial"/>
          <w:sz w:val="20"/>
          <w:szCs w:val="20"/>
        </w:rPr>
        <w:t xml:space="preserve"> </w:t>
      </w:r>
      <w:r w:rsidRPr="009C3C67">
        <w:rPr>
          <w:rFonts w:ascii="Arial" w:hAnsi="Arial" w:cs="Arial"/>
          <w:sz w:val="20"/>
          <w:szCs w:val="20"/>
        </w:rPr>
        <w:t>EU Law</w:t>
      </w:r>
      <w:r w:rsidR="00F70115">
        <w:rPr>
          <w:rFonts w:ascii="Arial" w:hAnsi="Arial" w:cs="Arial"/>
          <w:sz w:val="20"/>
          <w:szCs w:val="20"/>
        </w:rPr>
        <w:t>:</w:t>
      </w:r>
      <w:r w:rsidRPr="009C3C67">
        <w:rPr>
          <w:rFonts w:ascii="Arial" w:hAnsi="Arial" w:cs="Arial"/>
          <w:sz w:val="20"/>
          <w:szCs w:val="20"/>
        </w:rPr>
        <w:t xml:space="preserve"> Text Cases and Materials (OUP</w:t>
      </w:r>
      <w:r w:rsidR="00F70115">
        <w:rPr>
          <w:rFonts w:ascii="Arial" w:hAnsi="Arial" w:cs="Arial"/>
          <w:sz w:val="20"/>
          <w:szCs w:val="20"/>
        </w:rPr>
        <w:t>, 6</w:t>
      </w:r>
      <w:r w:rsidR="00F70115" w:rsidRPr="00F70115">
        <w:rPr>
          <w:rFonts w:ascii="Arial" w:hAnsi="Arial" w:cs="Arial"/>
          <w:sz w:val="20"/>
          <w:szCs w:val="20"/>
          <w:vertAlign w:val="superscript"/>
        </w:rPr>
        <w:t>th</w:t>
      </w:r>
      <w:r w:rsidR="00F70115">
        <w:rPr>
          <w:rFonts w:ascii="Arial" w:hAnsi="Arial" w:cs="Arial"/>
          <w:sz w:val="20"/>
          <w:szCs w:val="20"/>
        </w:rPr>
        <w:t xml:space="preserve"> Ed.,</w:t>
      </w:r>
      <w:r w:rsidRPr="009C3C67">
        <w:rPr>
          <w:rFonts w:ascii="Arial" w:hAnsi="Arial" w:cs="Arial"/>
          <w:sz w:val="20"/>
          <w:szCs w:val="20"/>
        </w:rPr>
        <w:t xml:space="preserve"> 201</w:t>
      </w:r>
      <w:r w:rsidR="00F70115">
        <w:rPr>
          <w:rFonts w:ascii="Arial" w:hAnsi="Arial" w:cs="Arial"/>
          <w:sz w:val="20"/>
          <w:szCs w:val="20"/>
        </w:rPr>
        <w:t>6</w:t>
      </w:r>
      <w:r w:rsidRPr="009C3C67">
        <w:rPr>
          <w:rFonts w:ascii="Arial" w:hAnsi="Arial" w:cs="Arial"/>
          <w:sz w:val="20"/>
          <w:szCs w:val="20"/>
        </w:rPr>
        <w:t>)</w:t>
      </w:r>
    </w:p>
    <w:p w14:paraId="145C800B" w14:textId="662C1880" w:rsidR="0045739D" w:rsidRPr="00823D22" w:rsidRDefault="0045739D" w:rsidP="00F70115">
      <w:pPr>
        <w:pStyle w:val="ListParagraph"/>
        <w:numPr>
          <w:ilvl w:val="0"/>
          <w:numId w:val="12"/>
        </w:numPr>
        <w:spacing w:after="120" w:line="240" w:lineRule="auto"/>
        <w:ind w:right="260"/>
        <w:jc w:val="both"/>
        <w:rPr>
          <w:rFonts w:ascii="Arial" w:hAnsi="Arial" w:cs="Arial"/>
          <w:sz w:val="20"/>
          <w:szCs w:val="20"/>
          <w:lang w:val="fr-FR"/>
        </w:rPr>
      </w:pPr>
      <w:proofErr w:type="spellStart"/>
      <w:r w:rsidRPr="00823D22">
        <w:rPr>
          <w:rFonts w:ascii="Arial" w:hAnsi="Arial" w:cs="Arial"/>
          <w:sz w:val="20"/>
          <w:szCs w:val="20"/>
          <w:lang w:val="fr-FR"/>
        </w:rPr>
        <w:t>Chalmers</w:t>
      </w:r>
      <w:proofErr w:type="spellEnd"/>
      <w:r w:rsidRPr="00823D22">
        <w:rPr>
          <w:rFonts w:ascii="Arial" w:hAnsi="Arial" w:cs="Arial"/>
          <w:sz w:val="20"/>
          <w:szCs w:val="20"/>
          <w:lang w:val="fr-FR"/>
        </w:rPr>
        <w:t xml:space="preserve">/Davies/Monti, EU Law, 3rd </w:t>
      </w:r>
      <w:proofErr w:type="spellStart"/>
      <w:r w:rsidRPr="00823D22">
        <w:rPr>
          <w:rFonts w:ascii="Arial" w:hAnsi="Arial" w:cs="Arial"/>
          <w:sz w:val="20"/>
          <w:szCs w:val="20"/>
          <w:lang w:val="fr-FR"/>
        </w:rPr>
        <w:t>ed</w:t>
      </w:r>
      <w:proofErr w:type="spellEnd"/>
      <w:r w:rsidRPr="00823D22">
        <w:rPr>
          <w:rFonts w:ascii="Arial" w:hAnsi="Arial" w:cs="Arial"/>
          <w:sz w:val="20"/>
          <w:szCs w:val="20"/>
          <w:lang w:val="fr-FR"/>
        </w:rPr>
        <w:t xml:space="preserve"> (CUP 2014)</w:t>
      </w:r>
    </w:p>
    <w:p w14:paraId="3BA8EE9A" w14:textId="2506725B" w:rsidR="009A2D37" w:rsidRPr="009C3C67" w:rsidRDefault="0045739D" w:rsidP="001F5337">
      <w:pPr>
        <w:pStyle w:val="ListParagraph"/>
        <w:numPr>
          <w:ilvl w:val="0"/>
          <w:numId w:val="12"/>
        </w:numPr>
        <w:spacing w:after="120" w:line="240" w:lineRule="auto"/>
        <w:ind w:right="260"/>
        <w:jc w:val="both"/>
        <w:rPr>
          <w:rFonts w:ascii="Arial" w:hAnsi="Arial" w:cs="Arial"/>
          <w:sz w:val="20"/>
          <w:szCs w:val="20"/>
        </w:rPr>
      </w:pPr>
      <w:r w:rsidRPr="009C3C67">
        <w:rPr>
          <w:rFonts w:ascii="Arial" w:hAnsi="Arial" w:cs="Arial"/>
          <w:sz w:val="20"/>
          <w:szCs w:val="20"/>
        </w:rPr>
        <w:t xml:space="preserve">Craig/De </w:t>
      </w:r>
      <w:proofErr w:type="spellStart"/>
      <w:r w:rsidRPr="009C3C67">
        <w:rPr>
          <w:rFonts w:ascii="Arial" w:hAnsi="Arial" w:cs="Arial"/>
          <w:sz w:val="20"/>
          <w:szCs w:val="20"/>
        </w:rPr>
        <w:t>Burca</w:t>
      </w:r>
      <w:proofErr w:type="spellEnd"/>
      <w:r w:rsidRPr="009C3C67">
        <w:rPr>
          <w:rFonts w:ascii="Arial" w:hAnsi="Arial" w:cs="Arial"/>
          <w:sz w:val="20"/>
          <w:szCs w:val="20"/>
        </w:rPr>
        <w:t xml:space="preserve"> (eds) The Evolution of EU law (OUP 2011)</w:t>
      </w:r>
    </w:p>
    <w:p w14:paraId="5AD66428" w14:textId="77777777" w:rsidR="0045739D" w:rsidRPr="009C3C67" w:rsidRDefault="0045739D" w:rsidP="0045739D">
      <w:pPr>
        <w:spacing w:after="120" w:line="240" w:lineRule="auto"/>
        <w:ind w:left="567" w:right="260"/>
        <w:jc w:val="both"/>
        <w:rPr>
          <w:rFonts w:ascii="Arial" w:hAnsi="Arial" w:cs="Arial"/>
          <w:b/>
          <w:sz w:val="20"/>
          <w:szCs w:val="20"/>
        </w:rPr>
      </w:pPr>
    </w:p>
    <w:p w14:paraId="6DCD470B" w14:textId="77777777" w:rsidR="00883204" w:rsidRPr="009C3C67" w:rsidRDefault="009A2D37" w:rsidP="00696FF5">
      <w:pPr>
        <w:numPr>
          <w:ilvl w:val="0"/>
          <w:numId w:val="1"/>
        </w:numPr>
        <w:spacing w:after="120" w:line="240" w:lineRule="auto"/>
        <w:ind w:left="567" w:right="260" w:hanging="567"/>
        <w:rPr>
          <w:rFonts w:ascii="Arial" w:hAnsi="Arial" w:cs="Arial"/>
          <w:i/>
          <w:iCs/>
          <w:sz w:val="20"/>
          <w:szCs w:val="20"/>
        </w:rPr>
      </w:pPr>
      <w:r w:rsidRPr="009C3C67">
        <w:rPr>
          <w:rFonts w:ascii="Arial" w:hAnsi="Arial" w:cs="Arial"/>
          <w:b/>
          <w:sz w:val="20"/>
          <w:szCs w:val="20"/>
        </w:rPr>
        <w:t>Learning</w:t>
      </w:r>
      <w:r w:rsidR="00883204" w:rsidRPr="009C3C67">
        <w:rPr>
          <w:rFonts w:ascii="Arial" w:hAnsi="Arial" w:cs="Arial"/>
          <w:b/>
          <w:sz w:val="20"/>
          <w:szCs w:val="20"/>
        </w:rPr>
        <w:t xml:space="preserve"> and t</w:t>
      </w:r>
      <w:r w:rsidR="006F3F8B" w:rsidRPr="009C3C67">
        <w:rPr>
          <w:rFonts w:ascii="Arial" w:hAnsi="Arial" w:cs="Arial"/>
          <w:b/>
          <w:sz w:val="20"/>
          <w:szCs w:val="20"/>
        </w:rPr>
        <w:t>eaching m</w:t>
      </w:r>
      <w:r w:rsidRPr="009C3C67">
        <w:rPr>
          <w:rFonts w:ascii="Arial" w:hAnsi="Arial" w:cs="Arial"/>
          <w:b/>
          <w:sz w:val="20"/>
          <w:szCs w:val="20"/>
        </w:rPr>
        <w:t>ethods</w:t>
      </w:r>
    </w:p>
    <w:p w14:paraId="772B5C24" w14:textId="77777777" w:rsidR="009A2D37" w:rsidRPr="009C3C67" w:rsidRDefault="00C57028" w:rsidP="00696FF5">
      <w:pPr>
        <w:spacing w:after="120" w:line="240" w:lineRule="auto"/>
        <w:ind w:left="567" w:right="260"/>
        <w:jc w:val="both"/>
        <w:rPr>
          <w:rFonts w:ascii="Arial" w:hAnsi="Arial" w:cs="Arial"/>
          <w:iCs/>
          <w:sz w:val="20"/>
          <w:szCs w:val="20"/>
        </w:rPr>
      </w:pPr>
      <w:r w:rsidRPr="009C3C67">
        <w:rPr>
          <w:rFonts w:ascii="Arial" w:hAnsi="Arial" w:cs="Arial"/>
          <w:iCs/>
          <w:sz w:val="20"/>
          <w:szCs w:val="20"/>
        </w:rPr>
        <w:t>Total contact hours:</w:t>
      </w:r>
      <w:r w:rsidR="00BB3DAE" w:rsidRPr="009C3C67">
        <w:rPr>
          <w:rFonts w:ascii="Arial" w:hAnsi="Arial" w:cs="Arial"/>
          <w:iCs/>
          <w:sz w:val="20"/>
          <w:szCs w:val="20"/>
        </w:rPr>
        <w:t xml:space="preserve"> 18</w:t>
      </w:r>
    </w:p>
    <w:p w14:paraId="557AC7B0" w14:textId="77777777" w:rsidR="00C57028" w:rsidRPr="009C3C67" w:rsidRDefault="00C57028" w:rsidP="00C57028">
      <w:pPr>
        <w:spacing w:after="120" w:line="240" w:lineRule="auto"/>
        <w:ind w:left="567" w:right="260"/>
        <w:jc w:val="both"/>
        <w:rPr>
          <w:rFonts w:ascii="Arial" w:hAnsi="Arial" w:cs="Arial"/>
          <w:iCs/>
          <w:sz w:val="20"/>
          <w:szCs w:val="20"/>
        </w:rPr>
      </w:pPr>
      <w:r w:rsidRPr="009C3C67">
        <w:rPr>
          <w:rFonts w:ascii="Arial" w:hAnsi="Arial" w:cs="Arial"/>
          <w:iCs/>
          <w:sz w:val="20"/>
          <w:szCs w:val="20"/>
        </w:rPr>
        <w:t>Private study hours:</w:t>
      </w:r>
      <w:r w:rsidR="00BB3DAE" w:rsidRPr="009C3C67">
        <w:rPr>
          <w:rFonts w:ascii="Arial" w:hAnsi="Arial" w:cs="Arial"/>
          <w:iCs/>
          <w:sz w:val="20"/>
          <w:szCs w:val="20"/>
        </w:rPr>
        <w:t xml:space="preserve"> 182</w:t>
      </w:r>
    </w:p>
    <w:p w14:paraId="624B9974" w14:textId="539875C2" w:rsidR="00C57028" w:rsidRPr="009C3C67" w:rsidRDefault="00C57028" w:rsidP="00C57028">
      <w:pPr>
        <w:spacing w:after="120" w:line="240" w:lineRule="auto"/>
        <w:ind w:left="567" w:right="260"/>
        <w:jc w:val="both"/>
        <w:rPr>
          <w:rFonts w:ascii="Arial" w:hAnsi="Arial" w:cs="Arial"/>
          <w:iCs/>
          <w:sz w:val="20"/>
          <w:szCs w:val="20"/>
        </w:rPr>
      </w:pPr>
      <w:r w:rsidRPr="009C3C67">
        <w:rPr>
          <w:rFonts w:ascii="Arial" w:hAnsi="Arial" w:cs="Arial"/>
          <w:iCs/>
          <w:sz w:val="20"/>
          <w:szCs w:val="20"/>
        </w:rPr>
        <w:t>Total study hours:</w:t>
      </w:r>
      <w:r w:rsidR="00BB3DAE" w:rsidRPr="009C3C67">
        <w:rPr>
          <w:rFonts w:ascii="Arial" w:hAnsi="Arial" w:cs="Arial"/>
          <w:iCs/>
          <w:sz w:val="20"/>
          <w:szCs w:val="20"/>
        </w:rPr>
        <w:t xml:space="preserve"> 200</w:t>
      </w:r>
    </w:p>
    <w:p w14:paraId="1AEA64C7" w14:textId="77777777" w:rsidR="001F5337" w:rsidRPr="009C3C67" w:rsidRDefault="001F5337" w:rsidP="00C57028">
      <w:pPr>
        <w:spacing w:after="120" w:line="240" w:lineRule="auto"/>
        <w:ind w:left="567" w:right="260"/>
        <w:jc w:val="both"/>
        <w:rPr>
          <w:rFonts w:ascii="Arial" w:hAnsi="Arial" w:cs="Arial"/>
          <w:iCs/>
          <w:sz w:val="20"/>
          <w:szCs w:val="20"/>
        </w:rPr>
      </w:pPr>
    </w:p>
    <w:p w14:paraId="0C2FF802" w14:textId="77777777" w:rsidR="00883204" w:rsidRPr="009C3C67" w:rsidRDefault="00EF4933" w:rsidP="00696FF5">
      <w:pPr>
        <w:numPr>
          <w:ilvl w:val="0"/>
          <w:numId w:val="1"/>
        </w:numPr>
        <w:spacing w:after="120" w:line="240" w:lineRule="auto"/>
        <w:ind w:left="567" w:right="260" w:hanging="567"/>
        <w:rPr>
          <w:rFonts w:ascii="Arial" w:hAnsi="Arial" w:cs="Arial"/>
          <w:i/>
          <w:iCs/>
          <w:sz w:val="20"/>
          <w:szCs w:val="20"/>
        </w:rPr>
      </w:pPr>
      <w:r w:rsidRPr="009C3C67">
        <w:rPr>
          <w:rFonts w:ascii="Arial" w:hAnsi="Arial" w:cs="Arial"/>
          <w:b/>
          <w:sz w:val="20"/>
          <w:szCs w:val="20"/>
        </w:rPr>
        <w:t>Assessment methods</w:t>
      </w:r>
    </w:p>
    <w:p w14:paraId="274A276A" w14:textId="4F789A82" w:rsidR="00696FF5" w:rsidRPr="009C3C67" w:rsidRDefault="004E0759" w:rsidP="004E0759">
      <w:pPr>
        <w:pStyle w:val="ListParagraph"/>
        <w:spacing w:after="120"/>
        <w:ind w:left="567"/>
        <w:rPr>
          <w:rFonts w:ascii="Arial" w:hAnsi="Arial" w:cs="Arial"/>
          <w:iCs/>
          <w:sz w:val="20"/>
          <w:szCs w:val="20"/>
          <w:u w:val="single"/>
        </w:rPr>
      </w:pPr>
      <w:r w:rsidRPr="009C3C67">
        <w:rPr>
          <w:rFonts w:ascii="Arial" w:hAnsi="Arial" w:cs="Arial"/>
          <w:iCs/>
          <w:sz w:val="20"/>
          <w:szCs w:val="20"/>
          <w:u w:val="single"/>
        </w:rPr>
        <w:t xml:space="preserve">13.1 </w:t>
      </w:r>
      <w:r w:rsidR="00696FF5" w:rsidRPr="009C3C67">
        <w:rPr>
          <w:rFonts w:ascii="Arial" w:hAnsi="Arial" w:cs="Arial"/>
          <w:iCs/>
          <w:sz w:val="20"/>
          <w:szCs w:val="20"/>
          <w:u w:val="single"/>
        </w:rPr>
        <w:t>Main assessment methods</w:t>
      </w:r>
    </w:p>
    <w:p w14:paraId="62D6DA4F" w14:textId="73D1AE5A" w:rsidR="007A6245" w:rsidRPr="009C3C67" w:rsidRDefault="009C3C67" w:rsidP="00696FF5">
      <w:pPr>
        <w:spacing w:after="120" w:line="240" w:lineRule="auto"/>
        <w:ind w:left="567" w:right="260"/>
        <w:jc w:val="both"/>
        <w:rPr>
          <w:rFonts w:ascii="Arial" w:hAnsi="Arial" w:cs="Arial"/>
          <w:iCs/>
          <w:sz w:val="20"/>
          <w:szCs w:val="20"/>
        </w:rPr>
      </w:pPr>
      <w:r w:rsidRPr="009C3C67">
        <w:rPr>
          <w:rFonts w:ascii="Arial" w:hAnsi="Arial" w:cs="Arial"/>
          <w:iCs/>
          <w:sz w:val="20"/>
          <w:szCs w:val="20"/>
        </w:rPr>
        <w:t xml:space="preserve">Short essay </w:t>
      </w:r>
      <w:r w:rsidR="00845A1B" w:rsidRPr="009C3C67">
        <w:rPr>
          <w:rFonts w:ascii="Arial" w:hAnsi="Arial" w:cs="Arial"/>
          <w:iCs/>
          <w:sz w:val="20"/>
          <w:szCs w:val="20"/>
        </w:rPr>
        <w:tab/>
        <w:t>1000 words</w:t>
      </w:r>
      <w:r w:rsidR="004E0759" w:rsidRPr="009C3C67">
        <w:rPr>
          <w:rFonts w:ascii="Arial" w:hAnsi="Arial" w:cs="Arial"/>
          <w:iCs/>
          <w:sz w:val="20"/>
          <w:szCs w:val="20"/>
        </w:rPr>
        <w:t xml:space="preserve"> (</w:t>
      </w:r>
      <w:r w:rsidR="00845A1B" w:rsidRPr="009C3C67">
        <w:rPr>
          <w:rFonts w:ascii="Arial" w:hAnsi="Arial" w:cs="Arial"/>
          <w:iCs/>
          <w:sz w:val="20"/>
          <w:szCs w:val="20"/>
        </w:rPr>
        <w:t>10%</w:t>
      </w:r>
      <w:r w:rsidR="004E0759" w:rsidRPr="009C3C67">
        <w:rPr>
          <w:rFonts w:ascii="Arial" w:hAnsi="Arial" w:cs="Arial"/>
          <w:iCs/>
          <w:sz w:val="20"/>
          <w:szCs w:val="20"/>
        </w:rPr>
        <w:t>)</w:t>
      </w:r>
    </w:p>
    <w:p w14:paraId="6781E981" w14:textId="7252FB2E" w:rsidR="00845A1B" w:rsidRPr="009C3C67" w:rsidRDefault="009C3C67" w:rsidP="00696FF5">
      <w:pPr>
        <w:spacing w:after="120" w:line="240" w:lineRule="auto"/>
        <w:ind w:left="567" w:right="260"/>
        <w:jc w:val="both"/>
        <w:rPr>
          <w:rFonts w:ascii="Arial" w:hAnsi="Arial" w:cs="Arial"/>
          <w:b/>
          <w:iCs/>
          <w:sz w:val="20"/>
          <w:szCs w:val="20"/>
        </w:rPr>
      </w:pPr>
      <w:r w:rsidRPr="009C3C67">
        <w:rPr>
          <w:rFonts w:ascii="Arial" w:hAnsi="Arial" w:cs="Arial"/>
          <w:iCs/>
          <w:sz w:val="20"/>
          <w:szCs w:val="20"/>
        </w:rPr>
        <w:t>Long e</w:t>
      </w:r>
      <w:r w:rsidR="00845A1B" w:rsidRPr="009C3C67">
        <w:rPr>
          <w:rFonts w:ascii="Arial" w:hAnsi="Arial" w:cs="Arial"/>
          <w:iCs/>
          <w:sz w:val="20"/>
          <w:szCs w:val="20"/>
        </w:rPr>
        <w:t>ssay</w:t>
      </w:r>
      <w:r w:rsidR="00845A1B" w:rsidRPr="009C3C67">
        <w:rPr>
          <w:rFonts w:ascii="Arial" w:hAnsi="Arial" w:cs="Arial"/>
          <w:iCs/>
          <w:sz w:val="20"/>
          <w:szCs w:val="20"/>
        </w:rPr>
        <w:tab/>
        <w:t>4000 words</w:t>
      </w:r>
      <w:r w:rsidR="004E0759" w:rsidRPr="009C3C67">
        <w:rPr>
          <w:rFonts w:ascii="Arial" w:hAnsi="Arial" w:cs="Arial"/>
          <w:iCs/>
          <w:sz w:val="20"/>
          <w:szCs w:val="20"/>
        </w:rPr>
        <w:t xml:space="preserve"> (</w:t>
      </w:r>
      <w:r w:rsidR="00845A1B" w:rsidRPr="009C3C67">
        <w:rPr>
          <w:rFonts w:ascii="Arial" w:hAnsi="Arial" w:cs="Arial"/>
          <w:iCs/>
          <w:sz w:val="20"/>
          <w:szCs w:val="20"/>
        </w:rPr>
        <w:t>90%</w:t>
      </w:r>
      <w:r w:rsidR="004E0759" w:rsidRPr="009C3C67">
        <w:rPr>
          <w:rFonts w:ascii="Arial" w:hAnsi="Arial" w:cs="Arial"/>
          <w:iCs/>
          <w:sz w:val="20"/>
          <w:szCs w:val="20"/>
        </w:rPr>
        <w:t>)</w:t>
      </w:r>
    </w:p>
    <w:p w14:paraId="407728D8" w14:textId="77777777" w:rsidR="00646092" w:rsidRPr="009C3C67" w:rsidRDefault="00646092" w:rsidP="00646092">
      <w:pPr>
        <w:spacing w:after="120" w:line="240" w:lineRule="auto"/>
        <w:ind w:left="567" w:right="260"/>
        <w:rPr>
          <w:rFonts w:ascii="Arial" w:hAnsi="Arial" w:cs="Arial"/>
          <w:iCs/>
          <w:sz w:val="20"/>
          <w:szCs w:val="20"/>
        </w:rPr>
      </w:pPr>
    </w:p>
    <w:p w14:paraId="3666B67E" w14:textId="371AC0A1" w:rsidR="00696FF5" w:rsidRPr="009C3C67" w:rsidRDefault="004E0759" w:rsidP="004E0759">
      <w:pPr>
        <w:spacing w:after="120"/>
        <w:ind w:left="567"/>
        <w:rPr>
          <w:rFonts w:ascii="Arial" w:hAnsi="Arial" w:cs="Arial"/>
          <w:iCs/>
          <w:sz w:val="20"/>
          <w:szCs w:val="20"/>
          <w:u w:val="single"/>
        </w:rPr>
      </w:pPr>
      <w:r w:rsidRPr="009C3C67">
        <w:rPr>
          <w:rFonts w:ascii="Arial" w:hAnsi="Arial" w:cs="Arial"/>
          <w:iCs/>
          <w:sz w:val="20"/>
          <w:szCs w:val="20"/>
          <w:u w:val="single"/>
        </w:rPr>
        <w:t xml:space="preserve">13.2 </w:t>
      </w:r>
      <w:r w:rsidR="00696FF5" w:rsidRPr="009C3C67">
        <w:rPr>
          <w:rFonts w:ascii="Arial" w:hAnsi="Arial" w:cs="Arial"/>
          <w:iCs/>
          <w:sz w:val="20"/>
          <w:szCs w:val="20"/>
          <w:u w:val="single"/>
        </w:rPr>
        <w:t xml:space="preserve">Reassessment methods </w:t>
      </w:r>
    </w:p>
    <w:p w14:paraId="1D73D951" w14:textId="735C8315" w:rsidR="00C57028" w:rsidRPr="009C3C67" w:rsidRDefault="00717F76" w:rsidP="00C57028">
      <w:pPr>
        <w:spacing w:after="120" w:line="240" w:lineRule="auto"/>
        <w:ind w:left="567" w:right="260"/>
        <w:jc w:val="both"/>
        <w:rPr>
          <w:rFonts w:ascii="Arial" w:hAnsi="Arial" w:cs="Arial"/>
          <w:b/>
          <w:iCs/>
          <w:sz w:val="20"/>
          <w:szCs w:val="20"/>
        </w:rPr>
      </w:pPr>
      <w:r w:rsidRPr="009C3C67">
        <w:rPr>
          <w:rFonts w:ascii="Arial" w:hAnsi="Arial" w:cs="Arial"/>
          <w:iCs/>
          <w:sz w:val="20"/>
          <w:szCs w:val="20"/>
        </w:rPr>
        <w:t>Reassessment Instrument: 100% coursework</w:t>
      </w:r>
      <w:r w:rsidR="00C57028" w:rsidRPr="009C3C67">
        <w:rPr>
          <w:rFonts w:ascii="Arial" w:hAnsi="Arial" w:cs="Arial"/>
          <w:iCs/>
          <w:sz w:val="20"/>
          <w:szCs w:val="20"/>
        </w:rPr>
        <w:t xml:space="preserve"> </w:t>
      </w:r>
    </w:p>
    <w:p w14:paraId="0064AE3A" w14:textId="77777777" w:rsidR="00696FF5" w:rsidRPr="009C3C67" w:rsidRDefault="00696FF5" w:rsidP="00302082">
      <w:pPr>
        <w:spacing w:after="120" w:line="240" w:lineRule="auto"/>
        <w:ind w:left="426" w:right="260"/>
        <w:rPr>
          <w:rFonts w:ascii="Arial" w:hAnsi="Arial" w:cs="Arial"/>
          <w:b/>
          <w:i/>
          <w:iCs/>
          <w:sz w:val="20"/>
          <w:szCs w:val="20"/>
        </w:rPr>
      </w:pPr>
    </w:p>
    <w:p w14:paraId="317CAA95" w14:textId="00D63957" w:rsidR="00274ED7" w:rsidRPr="009C3C67" w:rsidRDefault="006F3F8B" w:rsidP="00696FF5">
      <w:pPr>
        <w:numPr>
          <w:ilvl w:val="0"/>
          <w:numId w:val="1"/>
        </w:numPr>
        <w:spacing w:after="120" w:line="240" w:lineRule="auto"/>
        <w:ind w:left="567" w:right="261" w:hanging="567"/>
        <w:jc w:val="both"/>
        <w:rPr>
          <w:rFonts w:ascii="Arial" w:hAnsi="Arial" w:cs="Arial"/>
          <w:b/>
          <w:iCs/>
          <w:sz w:val="20"/>
          <w:szCs w:val="20"/>
        </w:rPr>
      </w:pPr>
      <w:r w:rsidRPr="009C3C67">
        <w:rPr>
          <w:rFonts w:ascii="Arial" w:hAnsi="Arial" w:cs="Arial"/>
          <w:b/>
          <w:iCs/>
          <w:sz w:val="20"/>
          <w:szCs w:val="20"/>
        </w:rPr>
        <w:t xml:space="preserve">Map of </w:t>
      </w:r>
      <w:r w:rsidR="00883204" w:rsidRPr="009C3C67">
        <w:rPr>
          <w:rFonts w:ascii="Arial" w:hAnsi="Arial" w:cs="Arial"/>
          <w:b/>
          <w:iCs/>
          <w:sz w:val="20"/>
          <w:szCs w:val="20"/>
        </w:rPr>
        <w:t xml:space="preserve">module learning outcomes </w:t>
      </w:r>
      <w:r w:rsidR="00B30E07" w:rsidRPr="009C3C67">
        <w:rPr>
          <w:rFonts w:ascii="Arial" w:hAnsi="Arial" w:cs="Arial"/>
          <w:b/>
          <w:iCs/>
          <w:sz w:val="20"/>
          <w:szCs w:val="20"/>
        </w:rPr>
        <w:t>(sections 8 &amp; 9)</w:t>
      </w:r>
      <w:r w:rsidR="00883204" w:rsidRPr="009C3C67">
        <w:rPr>
          <w:rFonts w:ascii="Arial" w:hAnsi="Arial" w:cs="Arial"/>
          <w:b/>
          <w:iCs/>
          <w:sz w:val="20"/>
          <w:szCs w:val="20"/>
        </w:rPr>
        <w:t xml:space="preserve"> to l</w:t>
      </w:r>
      <w:r w:rsidRPr="009C3C67">
        <w:rPr>
          <w:rFonts w:ascii="Arial" w:hAnsi="Arial" w:cs="Arial"/>
          <w:b/>
          <w:iCs/>
          <w:sz w:val="20"/>
          <w:szCs w:val="20"/>
        </w:rPr>
        <w:t>earning</w:t>
      </w:r>
      <w:r w:rsidR="00B30E07" w:rsidRPr="009C3C67">
        <w:rPr>
          <w:rFonts w:ascii="Arial" w:hAnsi="Arial" w:cs="Arial"/>
          <w:b/>
          <w:iCs/>
          <w:sz w:val="20"/>
          <w:szCs w:val="20"/>
        </w:rPr>
        <w:t xml:space="preserve"> and </w:t>
      </w:r>
      <w:r w:rsidR="00883204" w:rsidRPr="009C3C67">
        <w:rPr>
          <w:rFonts w:ascii="Arial" w:hAnsi="Arial" w:cs="Arial"/>
          <w:b/>
          <w:iCs/>
          <w:sz w:val="20"/>
          <w:szCs w:val="20"/>
        </w:rPr>
        <w:t>teaching m</w:t>
      </w:r>
      <w:r w:rsidR="00B30E07" w:rsidRPr="009C3C67">
        <w:rPr>
          <w:rFonts w:ascii="Arial" w:hAnsi="Arial" w:cs="Arial"/>
          <w:b/>
          <w:iCs/>
          <w:sz w:val="20"/>
          <w:szCs w:val="20"/>
        </w:rPr>
        <w:t>ethods (section</w:t>
      </w:r>
      <w:r w:rsidR="009C3C67">
        <w:rPr>
          <w:rFonts w:ascii="Arial" w:hAnsi="Arial" w:cs="Arial"/>
          <w:b/>
          <w:iCs/>
          <w:sz w:val="20"/>
          <w:szCs w:val="20"/>
        </w:rPr>
        <w:t xml:space="preserve"> </w:t>
      </w:r>
      <w:r w:rsidR="00B30E07" w:rsidRPr="009C3C67">
        <w:rPr>
          <w:rFonts w:ascii="Arial" w:hAnsi="Arial" w:cs="Arial"/>
          <w:b/>
          <w:iCs/>
          <w:sz w:val="20"/>
          <w:szCs w:val="20"/>
        </w:rPr>
        <w:t>12</w:t>
      </w:r>
      <w:r w:rsidRPr="009C3C67">
        <w:rPr>
          <w:rFonts w:ascii="Arial" w:hAnsi="Arial" w:cs="Arial"/>
          <w:b/>
          <w:iCs/>
          <w:sz w:val="20"/>
          <w:szCs w:val="20"/>
        </w:rPr>
        <w:t>) and m</w:t>
      </w:r>
      <w:r w:rsidR="00883204" w:rsidRPr="009C3C67">
        <w:rPr>
          <w:rFonts w:ascii="Arial" w:hAnsi="Arial" w:cs="Arial"/>
          <w:b/>
          <w:iCs/>
          <w:sz w:val="20"/>
          <w:szCs w:val="20"/>
        </w:rPr>
        <w:t>ethods of a</w:t>
      </w:r>
      <w:r w:rsidR="00B30E07" w:rsidRPr="009C3C67">
        <w:rPr>
          <w:rFonts w:ascii="Arial" w:hAnsi="Arial" w:cs="Arial"/>
          <w:b/>
          <w:iCs/>
          <w:sz w:val="20"/>
          <w:szCs w:val="20"/>
        </w:rPr>
        <w:t>ssessment (section 13</w:t>
      </w:r>
      <w:r w:rsidR="00EF4933" w:rsidRPr="009C3C67">
        <w:rPr>
          <w:rFonts w:ascii="Arial" w:hAnsi="Arial" w:cs="Arial"/>
          <w:b/>
          <w:iCs/>
          <w:sz w:val="20"/>
          <w:szCs w:val="20"/>
        </w:rPr>
        <w:t>)</w:t>
      </w:r>
    </w:p>
    <w:p w14:paraId="6813D3C8" w14:textId="29CD7663" w:rsidR="00C57028" w:rsidRPr="009C3C67" w:rsidRDefault="00C57028" w:rsidP="00C57028">
      <w:pPr>
        <w:spacing w:after="120" w:line="240" w:lineRule="auto"/>
        <w:ind w:left="567" w:right="261"/>
        <w:jc w:val="both"/>
        <w:rPr>
          <w:rFonts w:ascii="Arial" w:hAnsi="Arial" w:cs="Arial"/>
          <w:i/>
          <w:iCs/>
          <w:sz w:val="20"/>
          <w:szCs w:val="20"/>
        </w:rPr>
      </w:pPr>
    </w:p>
    <w:tbl>
      <w:tblPr>
        <w:tblStyle w:val="TableGrid"/>
        <w:tblW w:w="8097" w:type="dxa"/>
        <w:jc w:val="center"/>
        <w:tblLayout w:type="fixed"/>
        <w:tblLook w:val="04A0" w:firstRow="1" w:lastRow="0" w:firstColumn="1" w:lastColumn="0" w:noHBand="0" w:noVBand="1"/>
      </w:tblPr>
      <w:tblGrid>
        <w:gridCol w:w="1730"/>
        <w:gridCol w:w="578"/>
        <w:gridCol w:w="579"/>
        <w:gridCol w:w="579"/>
        <w:gridCol w:w="579"/>
        <w:gridCol w:w="579"/>
        <w:gridCol w:w="578"/>
        <w:gridCol w:w="579"/>
        <w:gridCol w:w="579"/>
        <w:gridCol w:w="579"/>
        <w:gridCol w:w="579"/>
        <w:gridCol w:w="579"/>
      </w:tblGrid>
      <w:tr w:rsidR="009C3C67" w:rsidRPr="009C3C67" w14:paraId="46FECF02" w14:textId="77777777" w:rsidTr="009C3C67">
        <w:trPr>
          <w:jc w:val="center"/>
        </w:trPr>
        <w:tc>
          <w:tcPr>
            <w:tcW w:w="1730" w:type="dxa"/>
            <w:shd w:val="clear" w:color="auto" w:fill="D9D9D9" w:themeFill="background1" w:themeFillShade="D9"/>
            <w:vAlign w:val="center"/>
          </w:tcPr>
          <w:p w14:paraId="5BB092E5" w14:textId="77777777" w:rsidR="009C3C67" w:rsidRPr="009C3C67" w:rsidRDefault="009C3C67" w:rsidP="009C3C67">
            <w:pPr>
              <w:spacing w:after="120"/>
              <w:ind w:left="33"/>
              <w:rPr>
                <w:rFonts w:ascii="Arial" w:hAnsi="Arial" w:cs="Arial"/>
                <w:b/>
                <w:sz w:val="20"/>
                <w:szCs w:val="20"/>
              </w:rPr>
            </w:pPr>
            <w:r w:rsidRPr="009C3C67">
              <w:rPr>
                <w:rFonts w:ascii="Arial" w:hAnsi="Arial" w:cs="Arial"/>
                <w:b/>
                <w:sz w:val="20"/>
                <w:szCs w:val="20"/>
              </w:rPr>
              <w:t>Module learning outcome</w:t>
            </w:r>
          </w:p>
        </w:tc>
        <w:tc>
          <w:tcPr>
            <w:tcW w:w="578" w:type="dxa"/>
            <w:vAlign w:val="center"/>
          </w:tcPr>
          <w:p w14:paraId="200042F8"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8.1</w:t>
            </w:r>
          </w:p>
        </w:tc>
        <w:tc>
          <w:tcPr>
            <w:tcW w:w="579" w:type="dxa"/>
            <w:vAlign w:val="center"/>
          </w:tcPr>
          <w:p w14:paraId="4515ED86"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8.2</w:t>
            </w:r>
          </w:p>
        </w:tc>
        <w:tc>
          <w:tcPr>
            <w:tcW w:w="579" w:type="dxa"/>
            <w:vAlign w:val="center"/>
          </w:tcPr>
          <w:p w14:paraId="754607D1"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8.3</w:t>
            </w:r>
          </w:p>
        </w:tc>
        <w:tc>
          <w:tcPr>
            <w:tcW w:w="579" w:type="dxa"/>
            <w:vAlign w:val="center"/>
          </w:tcPr>
          <w:p w14:paraId="1AA6CA79"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8.4</w:t>
            </w:r>
          </w:p>
        </w:tc>
        <w:tc>
          <w:tcPr>
            <w:tcW w:w="579" w:type="dxa"/>
            <w:vAlign w:val="center"/>
          </w:tcPr>
          <w:p w14:paraId="0BB24D04"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8.5</w:t>
            </w:r>
          </w:p>
        </w:tc>
        <w:tc>
          <w:tcPr>
            <w:tcW w:w="578" w:type="dxa"/>
            <w:vAlign w:val="center"/>
          </w:tcPr>
          <w:p w14:paraId="2DB7268A"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9.1</w:t>
            </w:r>
          </w:p>
        </w:tc>
        <w:tc>
          <w:tcPr>
            <w:tcW w:w="579" w:type="dxa"/>
            <w:vAlign w:val="center"/>
          </w:tcPr>
          <w:p w14:paraId="664E432A"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9.2</w:t>
            </w:r>
          </w:p>
        </w:tc>
        <w:tc>
          <w:tcPr>
            <w:tcW w:w="579" w:type="dxa"/>
            <w:vAlign w:val="center"/>
          </w:tcPr>
          <w:p w14:paraId="63738396"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9.3</w:t>
            </w:r>
          </w:p>
        </w:tc>
        <w:tc>
          <w:tcPr>
            <w:tcW w:w="579" w:type="dxa"/>
            <w:vAlign w:val="center"/>
          </w:tcPr>
          <w:p w14:paraId="618C0FD2"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9.4</w:t>
            </w:r>
          </w:p>
        </w:tc>
        <w:tc>
          <w:tcPr>
            <w:tcW w:w="579" w:type="dxa"/>
            <w:vAlign w:val="center"/>
          </w:tcPr>
          <w:p w14:paraId="5547CE91" w14:textId="11E0314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9.5</w:t>
            </w:r>
          </w:p>
        </w:tc>
        <w:tc>
          <w:tcPr>
            <w:tcW w:w="579" w:type="dxa"/>
            <w:vAlign w:val="center"/>
          </w:tcPr>
          <w:p w14:paraId="3ECC845E" w14:textId="2B9CBEB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9.6</w:t>
            </w:r>
          </w:p>
        </w:tc>
      </w:tr>
      <w:tr w:rsidR="009C3C67" w:rsidRPr="009C3C67" w14:paraId="4636CFDE" w14:textId="77777777" w:rsidTr="009C3C67">
        <w:trPr>
          <w:jc w:val="center"/>
        </w:trPr>
        <w:tc>
          <w:tcPr>
            <w:tcW w:w="1730" w:type="dxa"/>
            <w:shd w:val="clear" w:color="auto" w:fill="D9D9D9" w:themeFill="background1" w:themeFillShade="D9"/>
            <w:vAlign w:val="center"/>
          </w:tcPr>
          <w:p w14:paraId="385856CB" w14:textId="77777777" w:rsidR="009C3C67" w:rsidRPr="009C3C67" w:rsidRDefault="009C3C67" w:rsidP="009C3C67">
            <w:pPr>
              <w:spacing w:after="120"/>
              <w:rPr>
                <w:rFonts w:ascii="Arial" w:hAnsi="Arial" w:cs="Arial"/>
                <w:b/>
                <w:sz w:val="20"/>
                <w:szCs w:val="20"/>
              </w:rPr>
            </w:pPr>
            <w:r w:rsidRPr="009C3C67">
              <w:rPr>
                <w:rFonts w:ascii="Arial" w:hAnsi="Arial" w:cs="Arial"/>
                <w:b/>
                <w:sz w:val="20"/>
                <w:szCs w:val="20"/>
              </w:rPr>
              <w:t>Learning/ teaching method</w:t>
            </w:r>
          </w:p>
        </w:tc>
        <w:tc>
          <w:tcPr>
            <w:tcW w:w="578" w:type="dxa"/>
            <w:vAlign w:val="center"/>
          </w:tcPr>
          <w:p w14:paraId="30068622"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05549EC5"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A5BABEF"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9DFA46C"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23B3B0B5" w14:textId="77777777" w:rsidR="009C3C67" w:rsidRPr="009C3C67" w:rsidRDefault="009C3C67" w:rsidP="009C3C67">
            <w:pPr>
              <w:spacing w:after="120"/>
              <w:jc w:val="center"/>
              <w:rPr>
                <w:rFonts w:ascii="Arial" w:hAnsi="Arial" w:cs="Arial"/>
                <w:b/>
                <w:sz w:val="20"/>
                <w:szCs w:val="20"/>
              </w:rPr>
            </w:pPr>
          </w:p>
        </w:tc>
        <w:tc>
          <w:tcPr>
            <w:tcW w:w="578" w:type="dxa"/>
            <w:vAlign w:val="center"/>
          </w:tcPr>
          <w:p w14:paraId="650F4725"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6293A19"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6A69AE3"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0090CD16"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E187791"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BAFE6D2" w14:textId="77777777" w:rsidR="009C3C67" w:rsidRPr="009C3C67" w:rsidRDefault="009C3C67" w:rsidP="009C3C67">
            <w:pPr>
              <w:spacing w:after="120"/>
              <w:jc w:val="center"/>
              <w:rPr>
                <w:rFonts w:ascii="Arial" w:hAnsi="Arial" w:cs="Arial"/>
                <w:b/>
                <w:sz w:val="20"/>
                <w:szCs w:val="20"/>
              </w:rPr>
            </w:pPr>
          </w:p>
        </w:tc>
      </w:tr>
      <w:tr w:rsidR="009C3C67" w:rsidRPr="009C3C67" w14:paraId="154AE8B9" w14:textId="77777777" w:rsidTr="009C3C67">
        <w:trPr>
          <w:jc w:val="center"/>
        </w:trPr>
        <w:tc>
          <w:tcPr>
            <w:tcW w:w="1730" w:type="dxa"/>
            <w:vAlign w:val="center"/>
          </w:tcPr>
          <w:p w14:paraId="3FD15FB9" w14:textId="77777777" w:rsidR="009C3C67" w:rsidRPr="009C3C67" w:rsidRDefault="009C3C67" w:rsidP="009C3C67">
            <w:pPr>
              <w:spacing w:after="120"/>
              <w:rPr>
                <w:rFonts w:ascii="Arial" w:hAnsi="Arial" w:cs="Arial"/>
                <w:sz w:val="20"/>
                <w:szCs w:val="20"/>
              </w:rPr>
            </w:pPr>
            <w:r w:rsidRPr="009C3C67">
              <w:rPr>
                <w:rFonts w:ascii="Arial" w:hAnsi="Arial" w:cs="Arial"/>
                <w:sz w:val="20"/>
                <w:szCs w:val="20"/>
              </w:rPr>
              <w:lastRenderedPageBreak/>
              <w:t>Private Study</w:t>
            </w:r>
          </w:p>
        </w:tc>
        <w:tc>
          <w:tcPr>
            <w:tcW w:w="578" w:type="dxa"/>
            <w:vAlign w:val="center"/>
          </w:tcPr>
          <w:p w14:paraId="5E522182" w14:textId="38F8128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FDC683F" w14:textId="13CB94C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5980192" w14:textId="4F66917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380F8DD" w14:textId="329518C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5D7D9F4" w14:textId="0FD9A76C"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8" w:type="dxa"/>
            <w:vAlign w:val="center"/>
          </w:tcPr>
          <w:p w14:paraId="2763C70D" w14:textId="47752E7B"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9D809A0" w14:textId="04723406"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2FF6190A"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0F2B6D47" w14:textId="3D251375"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00BEBB4" w14:textId="3C693C1E"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45E00A1" w14:textId="58514769"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r w:rsidR="009C3C67" w:rsidRPr="009C3C67" w14:paraId="3AF61FC5" w14:textId="77777777" w:rsidTr="009C3C67">
        <w:trPr>
          <w:jc w:val="center"/>
        </w:trPr>
        <w:tc>
          <w:tcPr>
            <w:tcW w:w="1730" w:type="dxa"/>
            <w:vAlign w:val="center"/>
          </w:tcPr>
          <w:p w14:paraId="75CEB893" w14:textId="19524452" w:rsidR="009C3C67" w:rsidRPr="009C3C67" w:rsidRDefault="009C3C67" w:rsidP="009C3C67">
            <w:pPr>
              <w:spacing w:after="120"/>
              <w:rPr>
                <w:rFonts w:ascii="Arial" w:hAnsi="Arial" w:cs="Arial"/>
                <w:sz w:val="20"/>
                <w:szCs w:val="20"/>
              </w:rPr>
            </w:pPr>
            <w:r w:rsidRPr="009C3C67">
              <w:rPr>
                <w:rFonts w:ascii="Arial" w:hAnsi="Arial" w:cs="Arial"/>
                <w:sz w:val="20"/>
                <w:szCs w:val="20"/>
              </w:rPr>
              <w:t>Lectures</w:t>
            </w:r>
          </w:p>
        </w:tc>
        <w:tc>
          <w:tcPr>
            <w:tcW w:w="578" w:type="dxa"/>
            <w:vAlign w:val="center"/>
          </w:tcPr>
          <w:p w14:paraId="168BE886" w14:textId="22EF7F2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0641FBE" w14:textId="3FD72D66"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C22854D" w14:textId="4865231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360CD8B" w14:textId="752FEAF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3B9F6A2" w14:textId="77777777" w:rsidR="009C3C67" w:rsidRPr="009C3C67" w:rsidRDefault="009C3C67" w:rsidP="009C3C67">
            <w:pPr>
              <w:spacing w:after="120"/>
              <w:jc w:val="center"/>
              <w:rPr>
                <w:rFonts w:ascii="Arial" w:hAnsi="Arial" w:cs="Arial"/>
                <w:sz w:val="20"/>
                <w:szCs w:val="20"/>
              </w:rPr>
            </w:pPr>
          </w:p>
        </w:tc>
        <w:tc>
          <w:tcPr>
            <w:tcW w:w="578" w:type="dxa"/>
            <w:vAlign w:val="center"/>
          </w:tcPr>
          <w:p w14:paraId="6A691077"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5BA98C7B"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127F3E73"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368B8D9B"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22C44642"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5EC8085F" w14:textId="77777777" w:rsidR="009C3C67" w:rsidRPr="009C3C67" w:rsidRDefault="009C3C67" w:rsidP="009C3C67">
            <w:pPr>
              <w:spacing w:after="120"/>
              <w:jc w:val="center"/>
              <w:rPr>
                <w:rFonts w:ascii="Arial" w:hAnsi="Arial" w:cs="Arial"/>
                <w:sz w:val="20"/>
                <w:szCs w:val="20"/>
              </w:rPr>
            </w:pPr>
          </w:p>
        </w:tc>
      </w:tr>
      <w:tr w:rsidR="009C3C67" w:rsidRPr="009C3C67" w14:paraId="69EA4C20" w14:textId="77777777" w:rsidTr="009C3C67">
        <w:trPr>
          <w:jc w:val="center"/>
        </w:trPr>
        <w:tc>
          <w:tcPr>
            <w:tcW w:w="1730" w:type="dxa"/>
            <w:vAlign w:val="center"/>
          </w:tcPr>
          <w:p w14:paraId="0F2D9AB1" w14:textId="1BC977B2" w:rsidR="009C3C67" w:rsidRPr="009C3C67" w:rsidRDefault="009C3C67" w:rsidP="009C3C67">
            <w:pPr>
              <w:spacing w:after="120"/>
              <w:rPr>
                <w:rFonts w:ascii="Arial" w:hAnsi="Arial" w:cs="Arial"/>
                <w:sz w:val="20"/>
                <w:szCs w:val="20"/>
              </w:rPr>
            </w:pPr>
            <w:r w:rsidRPr="009C3C67">
              <w:rPr>
                <w:rFonts w:ascii="Arial" w:hAnsi="Arial" w:cs="Arial"/>
                <w:sz w:val="20"/>
                <w:szCs w:val="20"/>
              </w:rPr>
              <w:t>Seminars</w:t>
            </w:r>
          </w:p>
        </w:tc>
        <w:tc>
          <w:tcPr>
            <w:tcW w:w="578" w:type="dxa"/>
            <w:vAlign w:val="center"/>
          </w:tcPr>
          <w:p w14:paraId="63942EC6" w14:textId="2611EC53"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6D33DCB" w14:textId="1B2D323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0F662BF" w14:textId="2AD5EB4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77371698" w14:textId="0C75848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76AC3ED" w14:textId="7AB5E19C"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8" w:type="dxa"/>
            <w:vAlign w:val="center"/>
          </w:tcPr>
          <w:p w14:paraId="5680E4BA" w14:textId="4392D08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29D39CB2" w14:textId="1E1404F9"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62F2C6F" w14:textId="46306E3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AC87B03" w14:textId="5176BFF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823F005" w14:textId="45E2B1D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5BB9FB2" w14:textId="785EB2C2"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r w:rsidR="009C3C67" w:rsidRPr="009C3C67" w14:paraId="039F1B26" w14:textId="77777777" w:rsidTr="009C3C67">
        <w:trPr>
          <w:jc w:val="center"/>
        </w:trPr>
        <w:tc>
          <w:tcPr>
            <w:tcW w:w="1730" w:type="dxa"/>
            <w:shd w:val="clear" w:color="auto" w:fill="D9D9D9" w:themeFill="background1" w:themeFillShade="D9"/>
            <w:vAlign w:val="center"/>
          </w:tcPr>
          <w:p w14:paraId="16A98FEB" w14:textId="77777777" w:rsidR="009C3C67" w:rsidRPr="009C3C67" w:rsidRDefault="009C3C67" w:rsidP="009C3C67">
            <w:pPr>
              <w:spacing w:after="120"/>
              <w:rPr>
                <w:rFonts w:ascii="Arial" w:hAnsi="Arial" w:cs="Arial"/>
                <w:b/>
                <w:sz w:val="20"/>
                <w:szCs w:val="20"/>
              </w:rPr>
            </w:pPr>
            <w:r w:rsidRPr="009C3C67">
              <w:rPr>
                <w:rFonts w:ascii="Arial" w:hAnsi="Arial" w:cs="Arial"/>
                <w:b/>
                <w:sz w:val="20"/>
                <w:szCs w:val="20"/>
              </w:rPr>
              <w:t>Assessment method</w:t>
            </w:r>
          </w:p>
        </w:tc>
        <w:tc>
          <w:tcPr>
            <w:tcW w:w="578" w:type="dxa"/>
            <w:vAlign w:val="center"/>
          </w:tcPr>
          <w:p w14:paraId="0202E678"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45030A2"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536682AE"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EB03729"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6940F396" w14:textId="77777777" w:rsidR="009C3C67" w:rsidRPr="009C3C67" w:rsidRDefault="009C3C67" w:rsidP="009C3C67">
            <w:pPr>
              <w:spacing w:after="120"/>
              <w:jc w:val="center"/>
              <w:rPr>
                <w:rFonts w:ascii="Arial" w:hAnsi="Arial" w:cs="Arial"/>
                <w:b/>
                <w:sz w:val="20"/>
                <w:szCs w:val="20"/>
              </w:rPr>
            </w:pPr>
          </w:p>
        </w:tc>
        <w:tc>
          <w:tcPr>
            <w:tcW w:w="578" w:type="dxa"/>
            <w:vAlign w:val="center"/>
          </w:tcPr>
          <w:p w14:paraId="1EEE8274"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3F0F4BB8"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8D8B8CC"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3D36339D"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6366EF24"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7EF12180" w14:textId="77777777" w:rsidR="009C3C67" w:rsidRPr="009C3C67" w:rsidRDefault="009C3C67" w:rsidP="009C3C67">
            <w:pPr>
              <w:spacing w:after="120"/>
              <w:jc w:val="center"/>
              <w:rPr>
                <w:rFonts w:ascii="Arial" w:hAnsi="Arial" w:cs="Arial"/>
                <w:b/>
                <w:sz w:val="20"/>
                <w:szCs w:val="20"/>
              </w:rPr>
            </w:pPr>
          </w:p>
        </w:tc>
      </w:tr>
      <w:tr w:rsidR="009C3C67" w:rsidRPr="009C3C67" w14:paraId="3B26624E" w14:textId="77777777" w:rsidTr="009C3C67">
        <w:trPr>
          <w:jc w:val="center"/>
        </w:trPr>
        <w:tc>
          <w:tcPr>
            <w:tcW w:w="1730" w:type="dxa"/>
            <w:vAlign w:val="center"/>
          </w:tcPr>
          <w:p w14:paraId="09E126CC" w14:textId="01A23B26" w:rsidR="009C3C67" w:rsidRPr="009C3C67" w:rsidRDefault="009C3C67" w:rsidP="009C3C67">
            <w:pPr>
              <w:spacing w:after="120"/>
              <w:rPr>
                <w:rFonts w:ascii="Arial" w:hAnsi="Arial" w:cs="Arial"/>
                <w:sz w:val="20"/>
                <w:szCs w:val="20"/>
              </w:rPr>
            </w:pPr>
            <w:r>
              <w:rPr>
                <w:rFonts w:ascii="Arial" w:hAnsi="Arial" w:cs="Arial"/>
                <w:sz w:val="20"/>
                <w:szCs w:val="20"/>
              </w:rPr>
              <w:t xml:space="preserve">Short </w:t>
            </w:r>
            <w:r w:rsidRPr="009C3C67">
              <w:rPr>
                <w:rFonts w:ascii="Arial" w:hAnsi="Arial" w:cs="Arial"/>
                <w:sz w:val="20"/>
                <w:szCs w:val="20"/>
              </w:rPr>
              <w:t>Essay</w:t>
            </w:r>
          </w:p>
        </w:tc>
        <w:tc>
          <w:tcPr>
            <w:tcW w:w="578" w:type="dxa"/>
            <w:vAlign w:val="center"/>
          </w:tcPr>
          <w:p w14:paraId="1D9A171C" w14:textId="4BC1E01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B754D16" w14:textId="668E154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E1B1C83" w14:textId="64BF3D4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1218710"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4E473080" w14:textId="77777777" w:rsidR="009C3C67" w:rsidRPr="009C3C67" w:rsidRDefault="009C3C67" w:rsidP="009C3C67">
            <w:pPr>
              <w:spacing w:after="120"/>
              <w:jc w:val="center"/>
              <w:rPr>
                <w:rFonts w:ascii="Arial" w:hAnsi="Arial" w:cs="Arial"/>
                <w:sz w:val="20"/>
                <w:szCs w:val="20"/>
              </w:rPr>
            </w:pPr>
          </w:p>
        </w:tc>
        <w:tc>
          <w:tcPr>
            <w:tcW w:w="578" w:type="dxa"/>
            <w:vAlign w:val="center"/>
          </w:tcPr>
          <w:p w14:paraId="0D861928" w14:textId="2C4E8A80"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C7FD218" w14:textId="271FF12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7EABD641"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21477F6A" w14:textId="218BAE06"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EEFCC77" w14:textId="23D87560"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083CB98" w14:textId="7BA2047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r w:rsidR="009C3C67" w:rsidRPr="009C3C67" w14:paraId="781C2BC8" w14:textId="77777777" w:rsidTr="009C3C67">
        <w:trPr>
          <w:jc w:val="center"/>
        </w:trPr>
        <w:tc>
          <w:tcPr>
            <w:tcW w:w="1730" w:type="dxa"/>
            <w:vAlign w:val="center"/>
          </w:tcPr>
          <w:p w14:paraId="4A962D3E" w14:textId="5BE8FA76" w:rsidR="009C3C67" w:rsidRPr="009C3C67" w:rsidRDefault="009C3C67" w:rsidP="009C3C67">
            <w:pPr>
              <w:spacing w:after="120"/>
              <w:rPr>
                <w:rFonts w:ascii="Arial" w:hAnsi="Arial" w:cs="Arial"/>
                <w:sz w:val="20"/>
                <w:szCs w:val="20"/>
              </w:rPr>
            </w:pPr>
            <w:r>
              <w:rPr>
                <w:rFonts w:ascii="Arial" w:hAnsi="Arial" w:cs="Arial"/>
                <w:sz w:val="20"/>
                <w:szCs w:val="20"/>
              </w:rPr>
              <w:t>Long Essay</w:t>
            </w:r>
          </w:p>
        </w:tc>
        <w:tc>
          <w:tcPr>
            <w:tcW w:w="578" w:type="dxa"/>
            <w:vAlign w:val="center"/>
          </w:tcPr>
          <w:p w14:paraId="7E52745E" w14:textId="1FF2D5F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C4739FA" w14:textId="0C1B926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388012B" w14:textId="1FBD57A2"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3A17DD3" w14:textId="7D21B4A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564F220" w14:textId="1A700A6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8" w:type="dxa"/>
            <w:vAlign w:val="center"/>
          </w:tcPr>
          <w:p w14:paraId="20957288" w14:textId="67469B4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2057A014" w14:textId="3D913C98"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5CA4DC7B" w14:textId="274FBF4C"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BAB43E2" w14:textId="07E9BDE8"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4580FD7" w14:textId="5602E783"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16483AC" w14:textId="7A86719B"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bl>
    <w:p w14:paraId="4EE8F87E" w14:textId="77777777" w:rsidR="007A6245" w:rsidRPr="009C3C67" w:rsidRDefault="007A6245" w:rsidP="00302082">
      <w:pPr>
        <w:spacing w:after="120" w:line="240" w:lineRule="auto"/>
        <w:ind w:left="426" w:right="260"/>
        <w:rPr>
          <w:rFonts w:ascii="Arial" w:hAnsi="Arial" w:cs="Arial"/>
          <w:b/>
          <w:iCs/>
          <w:sz w:val="20"/>
          <w:szCs w:val="20"/>
        </w:rPr>
      </w:pPr>
    </w:p>
    <w:p w14:paraId="5A91DC01" w14:textId="77777777" w:rsidR="00883204" w:rsidRPr="009C3C67" w:rsidRDefault="00883204" w:rsidP="00696FF5">
      <w:pPr>
        <w:numPr>
          <w:ilvl w:val="0"/>
          <w:numId w:val="1"/>
        </w:numPr>
        <w:spacing w:after="120" w:line="240" w:lineRule="auto"/>
        <w:ind w:left="567" w:right="260" w:hanging="567"/>
        <w:jc w:val="both"/>
        <w:rPr>
          <w:rFonts w:ascii="Arial" w:hAnsi="Arial" w:cs="Arial"/>
          <w:iCs/>
          <w:sz w:val="20"/>
          <w:szCs w:val="20"/>
        </w:rPr>
      </w:pPr>
      <w:r w:rsidRPr="009C3C67">
        <w:rPr>
          <w:rFonts w:ascii="Arial" w:hAnsi="Arial" w:cs="Arial"/>
          <w:b/>
          <w:bCs/>
          <w:sz w:val="20"/>
          <w:szCs w:val="20"/>
        </w:rPr>
        <w:t xml:space="preserve">Inclusive module design </w:t>
      </w:r>
    </w:p>
    <w:p w14:paraId="01D6B79F" w14:textId="77777777" w:rsidR="009C3C67" w:rsidRDefault="00883204" w:rsidP="009C3C67">
      <w:pPr>
        <w:spacing w:after="120" w:line="240" w:lineRule="auto"/>
        <w:ind w:left="567" w:right="260"/>
        <w:jc w:val="both"/>
        <w:rPr>
          <w:rFonts w:ascii="Arial" w:hAnsi="Arial" w:cs="Arial"/>
          <w:sz w:val="20"/>
          <w:szCs w:val="20"/>
        </w:rPr>
      </w:pPr>
      <w:r w:rsidRPr="009C3C67">
        <w:rPr>
          <w:rFonts w:ascii="Arial" w:hAnsi="Arial" w:cs="Arial"/>
          <w:sz w:val="20"/>
          <w:szCs w:val="20"/>
        </w:rPr>
        <w:t xml:space="preserve">The </w:t>
      </w:r>
      <w:proofErr w:type="gramStart"/>
      <w:r w:rsidR="009C3C67" w:rsidRPr="009C3C67">
        <w:rPr>
          <w:rFonts w:ascii="Arial" w:hAnsi="Arial" w:cs="Arial"/>
          <w:sz w:val="20"/>
          <w:szCs w:val="20"/>
        </w:rPr>
        <w:t>School</w:t>
      </w:r>
      <w:proofErr w:type="gramEnd"/>
      <w:r w:rsidR="009C3C67" w:rsidRPr="009C3C67">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E8E25C" w14:textId="77777777" w:rsidR="009C3C67" w:rsidRPr="009C3C67" w:rsidRDefault="009C3C67" w:rsidP="009C3C67">
      <w:pPr>
        <w:spacing w:after="120" w:line="240" w:lineRule="auto"/>
        <w:ind w:left="567" w:right="260"/>
        <w:jc w:val="both"/>
        <w:rPr>
          <w:rFonts w:ascii="Arial" w:hAnsi="Arial" w:cs="Arial"/>
          <w:sz w:val="20"/>
          <w:szCs w:val="20"/>
        </w:rPr>
      </w:pPr>
      <w:r w:rsidRPr="009C3C67">
        <w:rPr>
          <w:rFonts w:ascii="Arial" w:hAnsi="Arial" w:cs="Arial"/>
          <w:sz w:val="20"/>
          <w:szCs w:val="20"/>
        </w:rPr>
        <w:t xml:space="preserve">The inclusive practices in the guidance (see Annex B Appendix A) have been considered </w:t>
      </w:r>
      <w:proofErr w:type="gramStart"/>
      <w:r w:rsidRPr="009C3C67">
        <w:rPr>
          <w:rFonts w:ascii="Arial" w:hAnsi="Arial" w:cs="Arial"/>
          <w:sz w:val="20"/>
          <w:szCs w:val="20"/>
        </w:rPr>
        <w:t>in order to</w:t>
      </w:r>
      <w:proofErr w:type="gramEnd"/>
      <w:r w:rsidRPr="009C3C67">
        <w:rPr>
          <w:rFonts w:ascii="Arial" w:hAnsi="Arial" w:cs="Arial"/>
          <w:sz w:val="20"/>
          <w:szCs w:val="20"/>
        </w:rPr>
        <w:t xml:space="preserve"> support all students in the following areas:</w:t>
      </w:r>
    </w:p>
    <w:p w14:paraId="744093BF" w14:textId="77777777" w:rsidR="009C3C67" w:rsidRPr="009C3C67" w:rsidRDefault="009C3C67" w:rsidP="009C3C67">
      <w:pPr>
        <w:spacing w:after="120" w:line="240" w:lineRule="auto"/>
        <w:ind w:left="567" w:right="260"/>
        <w:jc w:val="both"/>
        <w:rPr>
          <w:rFonts w:ascii="Arial" w:hAnsi="Arial" w:cs="Arial"/>
          <w:b/>
          <w:sz w:val="20"/>
          <w:szCs w:val="20"/>
        </w:rPr>
      </w:pPr>
      <w:r w:rsidRPr="009C3C67">
        <w:rPr>
          <w:rFonts w:ascii="Arial" w:hAnsi="Arial" w:cs="Arial"/>
          <w:sz w:val="20"/>
          <w:szCs w:val="20"/>
        </w:rPr>
        <w:br/>
      </w:r>
      <w:r w:rsidRPr="009C3C67">
        <w:rPr>
          <w:rFonts w:ascii="Arial" w:hAnsi="Arial" w:cs="Arial"/>
          <w:b/>
          <w:sz w:val="20"/>
          <w:szCs w:val="20"/>
        </w:rPr>
        <w:t>a) Accessible resources and curriculum</w:t>
      </w:r>
    </w:p>
    <w:p w14:paraId="6C710CA8"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Preference will be given to electronic resources that meet minimum accessibility standards and support the use of assistive technologies.</w:t>
      </w:r>
    </w:p>
    <w:p w14:paraId="47FF760D"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 xml:space="preserve">Module outlines will be made accessible at least four weeks before the module starts. </w:t>
      </w:r>
    </w:p>
    <w:p w14:paraId="2E60B5A7"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F2594D8"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FCBFFC0" w14:textId="6569DA87" w:rsidR="009C3C67" w:rsidRDefault="005B7146" w:rsidP="005B7146">
      <w:pPr>
        <w:pStyle w:val="ListParagraph"/>
        <w:numPr>
          <w:ilvl w:val="0"/>
          <w:numId w:val="13"/>
        </w:numPr>
        <w:spacing w:after="120" w:line="240" w:lineRule="auto"/>
        <w:ind w:right="260"/>
        <w:jc w:val="both"/>
        <w:rPr>
          <w:rFonts w:ascii="Arial" w:hAnsi="Arial" w:cs="Arial"/>
          <w:sz w:val="20"/>
          <w:szCs w:val="20"/>
        </w:rPr>
      </w:pPr>
      <w:r w:rsidRPr="005B7146">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28F15CB0" w14:textId="77777777" w:rsidR="00823D22" w:rsidRPr="009C3C67" w:rsidRDefault="00823D22" w:rsidP="00823D22">
      <w:pPr>
        <w:pStyle w:val="ListParagraph"/>
        <w:spacing w:after="120" w:line="240" w:lineRule="auto"/>
        <w:ind w:left="1080" w:right="260"/>
        <w:jc w:val="both"/>
        <w:rPr>
          <w:rFonts w:ascii="Arial" w:hAnsi="Arial" w:cs="Arial"/>
          <w:sz w:val="20"/>
          <w:szCs w:val="20"/>
        </w:rPr>
      </w:pPr>
    </w:p>
    <w:p w14:paraId="001F6E6D" w14:textId="77777777" w:rsidR="009C3C67" w:rsidRPr="009C3C67" w:rsidRDefault="009C3C67" w:rsidP="009C3C67">
      <w:pPr>
        <w:spacing w:after="120" w:line="240" w:lineRule="auto"/>
        <w:ind w:left="567" w:right="260"/>
        <w:jc w:val="both"/>
        <w:rPr>
          <w:rFonts w:ascii="Arial" w:hAnsi="Arial" w:cs="Arial"/>
          <w:b/>
          <w:sz w:val="20"/>
          <w:szCs w:val="20"/>
        </w:rPr>
      </w:pPr>
      <w:r w:rsidRPr="009C3C67">
        <w:rPr>
          <w:rFonts w:ascii="Arial" w:hAnsi="Arial" w:cs="Arial"/>
          <w:b/>
          <w:sz w:val="20"/>
          <w:szCs w:val="20"/>
        </w:rPr>
        <w:t>b) Learning, teaching and assessment methods</w:t>
      </w:r>
    </w:p>
    <w:p w14:paraId="2AE3ED93" w14:textId="7E208603" w:rsidR="009C3C67" w:rsidRPr="009C3C67" w:rsidRDefault="009C3C67" w:rsidP="009C3C67">
      <w:pPr>
        <w:autoSpaceDE w:val="0"/>
        <w:autoSpaceDN w:val="0"/>
        <w:adjustRightInd w:val="0"/>
        <w:spacing w:after="120" w:line="240" w:lineRule="auto"/>
        <w:ind w:left="567" w:right="260"/>
        <w:jc w:val="both"/>
        <w:rPr>
          <w:rFonts w:ascii="Arial" w:hAnsi="Arial" w:cs="Arial"/>
          <w:iCs/>
          <w:sz w:val="20"/>
          <w:szCs w:val="20"/>
        </w:rPr>
      </w:pPr>
      <w:r w:rsidRPr="009C3C67">
        <w:rPr>
          <w:rFonts w:ascii="Arial" w:hAnsi="Arial" w:cs="Arial"/>
          <w:iCs/>
          <w:sz w:val="20"/>
          <w:szCs w:val="20"/>
        </w:rPr>
        <w:t>The inclusive practices in the guidance (Annex B Appendix A, section b</w:t>
      </w:r>
      <w:r w:rsidR="005B7146">
        <w:rPr>
          <w:rFonts w:ascii="Arial" w:hAnsi="Arial" w:cs="Arial"/>
          <w:iCs/>
          <w:sz w:val="20"/>
          <w:szCs w:val="20"/>
        </w:rPr>
        <w:t xml:space="preserve"> </w:t>
      </w:r>
      <w:r w:rsidRPr="009C3C67">
        <w:rPr>
          <w:rFonts w:ascii="Arial" w:hAnsi="Arial" w:cs="Arial"/>
          <w:iCs/>
          <w:sz w:val="20"/>
          <w:szCs w:val="20"/>
        </w:rPr>
        <w:t xml:space="preserve">(1) and (2)) have all been considered </w:t>
      </w:r>
      <w:proofErr w:type="gramStart"/>
      <w:r w:rsidRPr="009C3C67">
        <w:rPr>
          <w:rFonts w:ascii="Arial" w:hAnsi="Arial" w:cs="Arial"/>
          <w:iCs/>
          <w:sz w:val="20"/>
          <w:szCs w:val="20"/>
        </w:rPr>
        <w:t>in order to</w:t>
      </w:r>
      <w:proofErr w:type="gramEnd"/>
      <w:r w:rsidRPr="009C3C67">
        <w:rPr>
          <w:rFonts w:ascii="Arial" w:hAnsi="Arial" w:cs="Arial"/>
          <w:iCs/>
          <w:sz w:val="20"/>
          <w:szCs w:val="20"/>
        </w:rPr>
        <w:t xml:space="preserve"> support all students in their assessments on this module.</w:t>
      </w:r>
    </w:p>
    <w:p w14:paraId="2C376EE0" w14:textId="5F1E7B78" w:rsidR="00096DA4" w:rsidRPr="009C3C67" w:rsidRDefault="00096DA4" w:rsidP="009C3C67">
      <w:pPr>
        <w:autoSpaceDE w:val="0"/>
        <w:autoSpaceDN w:val="0"/>
        <w:adjustRightInd w:val="0"/>
        <w:spacing w:after="120" w:line="240" w:lineRule="auto"/>
        <w:ind w:left="567" w:right="260"/>
        <w:jc w:val="both"/>
        <w:rPr>
          <w:rFonts w:ascii="Arial" w:hAnsi="Arial" w:cs="Arial"/>
          <w:i/>
          <w:iCs/>
          <w:sz w:val="20"/>
          <w:szCs w:val="20"/>
        </w:rPr>
      </w:pPr>
    </w:p>
    <w:p w14:paraId="65A553E0" w14:textId="77777777" w:rsidR="009A2D37" w:rsidRPr="009C3C67" w:rsidRDefault="00883204" w:rsidP="00823D22">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Campus(es) or c</w:t>
      </w:r>
      <w:r w:rsidR="009A2D37" w:rsidRPr="009C3C67">
        <w:rPr>
          <w:rFonts w:ascii="Arial" w:hAnsi="Arial" w:cs="Arial"/>
          <w:b/>
          <w:sz w:val="20"/>
          <w:szCs w:val="20"/>
        </w:rPr>
        <w:t>entre(s)</w:t>
      </w:r>
      <w:r w:rsidRPr="009C3C67">
        <w:rPr>
          <w:rFonts w:ascii="Arial" w:hAnsi="Arial" w:cs="Arial"/>
          <w:b/>
          <w:sz w:val="20"/>
          <w:szCs w:val="20"/>
        </w:rPr>
        <w:t xml:space="preserve"> where module will be delivered</w:t>
      </w:r>
    </w:p>
    <w:p w14:paraId="128FA3AD" w14:textId="6F80116C" w:rsidR="009A2D37" w:rsidRPr="009C3C67" w:rsidRDefault="0076160B" w:rsidP="00823D22">
      <w:pPr>
        <w:spacing w:after="120" w:line="240" w:lineRule="auto"/>
        <w:ind w:left="567" w:right="260"/>
        <w:jc w:val="both"/>
        <w:rPr>
          <w:rFonts w:ascii="Arial" w:hAnsi="Arial" w:cs="Arial"/>
          <w:b/>
          <w:sz w:val="20"/>
          <w:szCs w:val="20"/>
        </w:rPr>
      </w:pPr>
      <w:r w:rsidRPr="009C3C67">
        <w:rPr>
          <w:rFonts w:ascii="Arial" w:hAnsi="Arial" w:cs="Arial"/>
          <w:sz w:val="20"/>
          <w:szCs w:val="20"/>
        </w:rPr>
        <w:t>Canterbury and Brussels</w:t>
      </w:r>
    </w:p>
    <w:p w14:paraId="2B86DB85" w14:textId="77777777" w:rsidR="009A2D37" w:rsidRPr="009C3C67" w:rsidRDefault="009A2D37" w:rsidP="00823D22">
      <w:pPr>
        <w:spacing w:after="120" w:line="240" w:lineRule="auto"/>
        <w:ind w:left="426" w:right="260"/>
        <w:jc w:val="both"/>
        <w:rPr>
          <w:rFonts w:ascii="Arial" w:hAnsi="Arial" w:cs="Arial"/>
          <w:i/>
          <w:iCs/>
          <w:sz w:val="20"/>
          <w:szCs w:val="20"/>
        </w:rPr>
      </w:pPr>
    </w:p>
    <w:p w14:paraId="6FA05594" w14:textId="77777777" w:rsidR="00883204" w:rsidRPr="009C3C67" w:rsidRDefault="00883204" w:rsidP="00823D22">
      <w:pPr>
        <w:numPr>
          <w:ilvl w:val="0"/>
          <w:numId w:val="1"/>
        </w:numPr>
        <w:spacing w:after="120" w:line="240" w:lineRule="auto"/>
        <w:ind w:left="567" w:right="261" w:hanging="568"/>
        <w:jc w:val="both"/>
        <w:rPr>
          <w:rFonts w:ascii="Arial" w:hAnsi="Arial" w:cs="Arial"/>
          <w:b/>
          <w:sz w:val="20"/>
          <w:szCs w:val="20"/>
        </w:rPr>
      </w:pPr>
      <w:r w:rsidRPr="009C3C67">
        <w:rPr>
          <w:rFonts w:ascii="Arial" w:hAnsi="Arial" w:cs="Arial"/>
          <w:b/>
          <w:sz w:val="20"/>
          <w:szCs w:val="20"/>
        </w:rPr>
        <w:t xml:space="preserve">Internationalisation </w:t>
      </w:r>
    </w:p>
    <w:p w14:paraId="724D6F7A" w14:textId="44B68B59" w:rsidR="009C3C67" w:rsidRDefault="005A743B" w:rsidP="00823D22">
      <w:pPr>
        <w:spacing w:after="120" w:line="240" w:lineRule="auto"/>
        <w:ind w:left="567" w:right="260"/>
        <w:jc w:val="both"/>
        <w:rPr>
          <w:rFonts w:ascii="Arial" w:hAnsi="Arial" w:cs="Arial"/>
          <w:i/>
          <w:iCs/>
          <w:sz w:val="20"/>
          <w:szCs w:val="20"/>
        </w:rPr>
      </w:pPr>
      <w:r>
        <w:rPr>
          <w:rFonts w:ascii="Arial" w:hAnsi="Arial" w:cs="Arial"/>
          <w:sz w:val="20"/>
          <w:szCs w:val="20"/>
        </w:rPr>
        <w:t>The module, by its nature, is an internationalised subject as</w:t>
      </w:r>
      <w:r w:rsidRPr="005A743B">
        <w:t xml:space="preserve"> </w:t>
      </w:r>
      <w:r>
        <w:t xml:space="preserve">it </w:t>
      </w:r>
      <w:r w:rsidRPr="005A743B">
        <w:rPr>
          <w:rFonts w:ascii="Arial" w:hAnsi="Arial" w:cs="Arial"/>
          <w:sz w:val="20"/>
          <w:szCs w:val="20"/>
        </w:rPr>
        <w:t>focuses on the foundational rules, principles and doctrines underpinning the constitutional and institutional legal framework of the European Union</w:t>
      </w:r>
      <w:r>
        <w:rPr>
          <w:rFonts w:ascii="Arial" w:hAnsi="Arial" w:cs="Arial"/>
          <w:sz w:val="20"/>
          <w:szCs w:val="20"/>
        </w:rPr>
        <w:t xml:space="preserve">. </w:t>
      </w:r>
    </w:p>
    <w:p w14:paraId="3A40AF35" w14:textId="67EA4859" w:rsidR="005A743B" w:rsidRDefault="005A743B">
      <w:pPr>
        <w:rPr>
          <w:rFonts w:ascii="Arial" w:hAnsi="Arial" w:cs="Arial"/>
          <w:i/>
          <w:iCs/>
          <w:sz w:val="20"/>
          <w:szCs w:val="20"/>
        </w:rPr>
      </w:pPr>
      <w:r>
        <w:rPr>
          <w:rFonts w:ascii="Arial" w:hAnsi="Arial" w:cs="Arial"/>
          <w:i/>
          <w:iCs/>
          <w:sz w:val="20"/>
          <w:szCs w:val="20"/>
        </w:rPr>
        <w:br w:type="page"/>
      </w:r>
    </w:p>
    <w:p w14:paraId="245211F7" w14:textId="77777777" w:rsidR="00441E76" w:rsidRPr="009C3C67" w:rsidRDefault="00422B69" w:rsidP="00302082">
      <w:pPr>
        <w:spacing w:after="120" w:line="240" w:lineRule="auto"/>
        <w:ind w:right="260"/>
        <w:rPr>
          <w:rFonts w:ascii="Arial" w:hAnsi="Arial" w:cs="Arial"/>
          <w:b/>
          <w:sz w:val="20"/>
          <w:szCs w:val="20"/>
        </w:rPr>
      </w:pPr>
      <w:r w:rsidRPr="009C3C67">
        <w:rPr>
          <w:rFonts w:ascii="Arial" w:hAnsi="Arial" w:cs="Arial"/>
          <w:b/>
          <w:sz w:val="20"/>
          <w:szCs w:val="20"/>
        </w:rPr>
        <w:lastRenderedPageBreak/>
        <w:t>FACULTIES SUPPORT OFFICE</w:t>
      </w:r>
      <w:r w:rsidR="00441E76" w:rsidRPr="009C3C67">
        <w:rPr>
          <w:rFonts w:ascii="Arial" w:hAnsi="Arial" w:cs="Arial"/>
          <w:b/>
          <w:sz w:val="20"/>
          <w:szCs w:val="20"/>
        </w:rPr>
        <w:t xml:space="preserve"> USE ONLY</w:t>
      </w:r>
      <w:r w:rsidR="00C612A8" w:rsidRPr="009C3C67">
        <w:rPr>
          <w:rFonts w:ascii="Arial" w:hAnsi="Arial" w:cs="Arial"/>
          <w:b/>
          <w:sz w:val="20"/>
          <w:szCs w:val="20"/>
        </w:rPr>
        <w:t xml:space="preserve"> </w:t>
      </w:r>
    </w:p>
    <w:p w14:paraId="7B880386" w14:textId="77777777" w:rsidR="00D83563" w:rsidRPr="009C3C67" w:rsidRDefault="00D83563" w:rsidP="00302082">
      <w:pPr>
        <w:spacing w:after="120" w:line="240" w:lineRule="auto"/>
        <w:ind w:right="260"/>
        <w:rPr>
          <w:rFonts w:ascii="Arial" w:hAnsi="Arial" w:cs="Arial"/>
          <w:b/>
          <w:sz w:val="20"/>
          <w:szCs w:val="20"/>
        </w:rPr>
      </w:pPr>
      <w:r w:rsidRPr="009C3C67">
        <w:rPr>
          <w:rFonts w:ascii="Arial" w:hAnsi="Arial" w:cs="Arial"/>
          <w:b/>
          <w:sz w:val="20"/>
          <w:szCs w:val="20"/>
        </w:rPr>
        <w:t>Revision record – all revisions must be recorded in the grid and full details of the change retained in the appropriate committee records.</w:t>
      </w:r>
    </w:p>
    <w:p w14:paraId="2BFC20DE" w14:textId="77777777" w:rsidR="00422B69" w:rsidRPr="009C3C67" w:rsidRDefault="00422B69" w:rsidP="00302082">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C3C67" w14:paraId="510B970B" w14:textId="77777777" w:rsidTr="00694309">
        <w:trPr>
          <w:trHeight w:val="317"/>
        </w:trPr>
        <w:tc>
          <w:tcPr>
            <w:tcW w:w="1526" w:type="dxa"/>
          </w:tcPr>
          <w:p w14:paraId="0285C1CA" w14:textId="77777777" w:rsidR="00422B69" w:rsidRPr="009C3C67" w:rsidRDefault="00422B69" w:rsidP="00302082">
            <w:pPr>
              <w:spacing w:after="120"/>
              <w:ind w:right="-330"/>
              <w:rPr>
                <w:rFonts w:ascii="Arial" w:hAnsi="Arial" w:cs="Arial"/>
                <w:sz w:val="20"/>
                <w:szCs w:val="20"/>
              </w:rPr>
            </w:pPr>
            <w:r w:rsidRPr="009C3C67">
              <w:rPr>
                <w:rFonts w:ascii="Arial" w:hAnsi="Arial" w:cs="Arial"/>
                <w:sz w:val="20"/>
                <w:szCs w:val="20"/>
              </w:rPr>
              <w:t>Date approved</w:t>
            </w:r>
          </w:p>
        </w:tc>
        <w:tc>
          <w:tcPr>
            <w:tcW w:w="1701" w:type="dxa"/>
          </w:tcPr>
          <w:p w14:paraId="60680D64" w14:textId="77777777" w:rsidR="00422B69" w:rsidRPr="009C3C67" w:rsidRDefault="00422B69" w:rsidP="00302082">
            <w:pPr>
              <w:spacing w:after="120"/>
              <w:rPr>
                <w:rFonts w:ascii="Arial" w:hAnsi="Arial" w:cs="Arial"/>
                <w:sz w:val="20"/>
                <w:szCs w:val="20"/>
              </w:rPr>
            </w:pPr>
            <w:r w:rsidRPr="009C3C67">
              <w:rPr>
                <w:rFonts w:ascii="Arial" w:hAnsi="Arial" w:cs="Arial"/>
                <w:sz w:val="20"/>
                <w:szCs w:val="20"/>
              </w:rPr>
              <w:t>Major/minor revision</w:t>
            </w:r>
          </w:p>
        </w:tc>
        <w:tc>
          <w:tcPr>
            <w:tcW w:w="2410" w:type="dxa"/>
          </w:tcPr>
          <w:p w14:paraId="12D69937" w14:textId="77777777" w:rsidR="00422B69" w:rsidRPr="009C3C67" w:rsidRDefault="00422B69" w:rsidP="00302082">
            <w:pPr>
              <w:spacing w:after="120"/>
              <w:ind w:right="-34"/>
              <w:rPr>
                <w:rFonts w:ascii="Arial" w:hAnsi="Arial" w:cs="Arial"/>
                <w:sz w:val="20"/>
                <w:szCs w:val="20"/>
              </w:rPr>
            </w:pPr>
            <w:r w:rsidRPr="009C3C67">
              <w:rPr>
                <w:rFonts w:ascii="Arial" w:hAnsi="Arial" w:cs="Arial"/>
                <w:sz w:val="20"/>
                <w:szCs w:val="20"/>
              </w:rPr>
              <w:t xml:space="preserve">Start date of the delivery </w:t>
            </w:r>
            <w:proofErr w:type="gramStart"/>
            <w:r w:rsidRPr="009C3C67">
              <w:rPr>
                <w:rFonts w:ascii="Arial" w:hAnsi="Arial" w:cs="Arial"/>
                <w:sz w:val="20"/>
                <w:szCs w:val="20"/>
              </w:rPr>
              <w:t>of  revised</w:t>
            </w:r>
            <w:proofErr w:type="gramEnd"/>
            <w:r w:rsidRPr="009C3C67">
              <w:rPr>
                <w:rFonts w:ascii="Arial" w:hAnsi="Arial" w:cs="Arial"/>
                <w:sz w:val="20"/>
                <w:szCs w:val="20"/>
              </w:rPr>
              <w:t xml:space="preserve"> version</w:t>
            </w:r>
          </w:p>
        </w:tc>
        <w:tc>
          <w:tcPr>
            <w:tcW w:w="2448" w:type="dxa"/>
          </w:tcPr>
          <w:p w14:paraId="4DC07BF7" w14:textId="77777777" w:rsidR="00422B69" w:rsidRPr="009C3C67" w:rsidRDefault="00422B69" w:rsidP="00302082">
            <w:pPr>
              <w:spacing w:after="120"/>
              <w:ind w:right="-330"/>
              <w:rPr>
                <w:rFonts w:ascii="Arial" w:hAnsi="Arial" w:cs="Arial"/>
                <w:sz w:val="20"/>
                <w:szCs w:val="20"/>
              </w:rPr>
            </w:pPr>
            <w:r w:rsidRPr="009C3C67">
              <w:rPr>
                <w:rFonts w:ascii="Arial" w:hAnsi="Arial" w:cs="Arial"/>
                <w:sz w:val="20"/>
                <w:szCs w:val="20"/>
              </w:rPr>
              <w:t>Section revised</w:t>
            </w:r>
          </w:p>
        </w:tc>
        <w:tc>
          <w:tcPr>
            <w:tcW w:w="2597" w:type="dxa"/>
          </w:tcPr>
          <w:p w14:paraId="6C609A47" w14:textId="77777777" w:rsidR="00422B69" w:rsidRPr="009C3C67" w:rsidRDefault="00422B69" w:rsidP="00302082">
            <w:pPr>
              <w:spacing w:after="120"/>
              <w:ind w:right="-330"/>
              <w:rPr>
                <w:rFonts w:ascii="Arial" w:hAnsi="Arial" w:cs="Arial"/>
                <w:sz w:val="20"/>
                <w:szCs w:val="20"/>
              </w:rPr>
            </w:pPr>
            <w:r w:rsidRPr="009C3C67">
              <w:rPr>
                <w:rFonts w:ascii="Arial" w:hAnsi="Arial" w:cs="Arial"/>
                <w:sz w:val="20"/>
                <w:szCs w:val="20"/>
              </w:rPr>
              <w:t>Impacts PLOs</w:t>
            </w:r>
            <w:r w:rsidR="00694309" w:rsidRPr="009C3C67">
              <w:rPr>
                <w:rFonts w:ascii="Arial" w:hAnsi="Arial" w:cs="Arial"/>
                <w:sz w:val="20"/>
                <w:szCs w:val="20"/>
              </w:rPr>
              <w:t xml:space="preserve"> (</w:t>
            </w:r>
            <w:r w:rsidR="001A425B" w:rsidRPr="009C3C67">
              <w:rPr>
                <w:rFonts w:ascii="Arial" w:hAnsi="Arial" w:cs="Arial"/>
                <w:sz w:val="20"/>
                <w:szCs w:val="20"/>
              </w:rPr>
              <w:t>Q6&amp;7 cover sheet)</w:t>
            </w:r>
          </w:p>
        </w:tc>
      </w:tr>
      <w:tr w:rsidR="00302082" w:rsidRPr="009C3C67" w14:paraId="131E0D43" w14:textId="77777777" w:rsidTr="00694309">
        <w:trPr>
          <w:trHeight w:val="305"/>
        </w:trPr>
        <w:tc>
          <w:tcPr>
            <w:tcW w:w="1526" w:type="dxa"/>
          </w:tcPr>
          <w:p w14:paraId="44AE6793" w14:textId="14AAE7E7" w:rsidR="00422B69" w:rsidRPr="009C3C67" w:rsidRDefault="00CB5C4F" w:rsidP="00302082">
            <w:pPr>
              <w:spacing w:after="120"/>
              <w:ind w:right="-330"/>
              <w:rPr>
                <w:rFonts w:ascii="Arial" w:hAnsi="Arial" w:cs="Arial"/>
                <w:sz w:val="20"/>
                <w:szCs w:val="20"/>
              </w:rPr>
            </w:pPr>
            <w:r>
              <w:rPr>
                <w:rFonts w:ascii="Arial" w:hAnsi="Arial" w:cs="Arial"/>
                <w:sz w:val="20"/>
                <w:szCs w:val="20"/>
              </w:rPr>
              <w:t>06/1/2020</w:t>
            </w:r>
          </w:p>
        </w:tc>
        <w:tc>
          <w:tcPr>
            <w:tcW w:w="1701" w:type="dxa"/>
          </w:tcPr>
          <w:p w14:paraId="71C83F6D" w14:textId="4D02C087" w:rsidR="00422B69" w:rsidRPr="009C3C67" w:rsidRDefault="00CB5C4F"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2A362E50" w14:textId="01175F45" w:rsidR="00422B69" w:rsidRPr="009C3C67" w:rsidRDefault="00CB5C4F" w:rsidP="00302082">
            <w:pPr>
              <w:spacing w:after="120"/>
              <w:ind w:right="-330"/>
              <w:rPr>
                <w:rFonts w:ascii="Arial" w:hAnsi="Arial" w:cs="Arial"/>
                <w:sz w:val="20"/>
                <w:szCs w:val="20"/>
              </w:rPr>
            </w:pPr>
            <w:r>
              <w:rPr>
                <w:rFonts w:ascii="Arial" w:hAnsi="Arial" w:cs="Arial"/>
                <w:sz w:val="20"/>
                <w:szCs w:val="20"/>
              </w:rPr>
              <w:t>September 2020</w:t>
            </w:r>
          </w:p>
        </w:tc>
        <w:tc>
          <w:tcPr>
            <w:tcW w:w="2448" w:type="dxa"/>
          </w:tcPr>
          <w:p w14:paraId="7B9B7452" w14:textId="7135C096" w:rsidR="00422B69" w:rsidRPr="009C3C67" w:rsidRDefault="00CB5C4F" w:rsidP="00302082">
            <w:pPr>
              <w:spacing w:after="120"/>
              <w:ind w:right="-330"/>
              <w:rPr>
                <w:rFonts w:ascii="Arial" w:hAnsi="Arial" w:cs="Arial"/>
                <w:sz w:val="20"/>
                <w:szCs w:val="20"/>
              </w:rPr>
            </w:pPr>
            <w:r>
              <w:rPr>
                <w:rFonts w:ascii="Arial" w:hAnsi="Arial" w:cs="Arial"/>
                <w:sz w:val="20"/>
                <w:szCs w:val="20"/>
              </w:rPr>
              <w:t>15</w:t>
            </w:r>
          </w:p>
        </w:tc>
        <w:tc>
          <w:tcPr>
            <w:tcW w:w="2597" w:type="dxa"/>
          </w:tcPr>
          <w:p w14:paraId="15CA7603" w14:textId="7035F4EC" w:rsidR="00422B69" w:rsidRPr="009C3C67" w:rsidRDefault="00CB5C4F" w:rsidP="00302082">
            <w:pPr>
              <w:spacing w:after="120"/>
              <w:ind w:right="-330"/>
              <w:rPr>
                <w:rFonts w:ascii="Arial" w:hAnsi="Arial" w:cs="Arial"/>
                <w:sz w:val="20"/>
                <w:szCs w:val="20"/>
              </w:rPr>
            </w:pPr>
            <w:r>
              <w:rPr>
                <w:rFonts w:ascii="Arial" w:hAnsi="Arial" w:cs="Arial"/>
                <w:sz w:val="20"/>
                <w:szCs w:val="20"/>
              </w:rPr>
              <w:t>No</w:t>
            </w:r>
          </w:p>
        </w:tc>
      </w:tr>
      <w:tr w:rsidR="00302082" w:rsidRPr="009C3C67" w14:paraId="5CA458C1" w14:textId="77777777" w:rsidTr="00694309">
        <w:trPr>
          <w:trHeight w:val="305"/>
        </w:trPr>
        <w:tc>
          <w:tcPr>
            <w:tcW w:w="1526" w:type="dxa"/>
          </w:tcPr>
          <w:p w14:paraId="02EF715A" w14:textId="77777777" w:rsidR="00422B69" w:rsidRPr="009C3C67" w:rsidRDefault="00422B69" w:rsidP="00302082">
            <w:pPr>
              <w:spacing w:after="120"/>
              <w:ind w:right="-330"/>
              <w:rPr>
                <w:rFonts w:ascii="Arial" w:hAnsi="Arial" w:cs="Arial"/>
                <w:sz w:val="20"/>
                <w:szCs w:val="20"/>
              </w:rPr>
            </w:pPr>
          </w:p>
        </w:tc>
        <w:tc>
          <w:tcPr>
            <w:tcW w:w="1701" w:type="dxa"/>
          </w:tcPr>
          <w:p w14:paraId="36DC2B0A" w14:textId="77777777" w:rsidR="00422B69" w:rsidRPr="009C3C67" w:rsidRDefault="00422B69" w:rsidP="00302082">
            <w:pPr>
              <w:spacing w:after="120"/>
              <w:ind w:right="-330"/>
              <w:rPr>
                <w:rFonts w:ascii="Arial" w:hAnsi="Arial" w:cs="Arial"/>
                <w:sz w:val="20"/>
                <w:szCs w:val="20"/>
              </w:rPr>
            </w:pPr>
          </w:p>
        </w:tc>
        <w:tc>
          <w:tcPr>
            <w:tcW w:w="2410" w:type="dxa"/>
          </w:tcPr>
          <w:p w14:paraId="376BF1F5" w14:textId="77777777" w:rsidR="00422B69" w:rsidRPr="009C3C67" w:rsidRDefault="00422B69" w:rsidP="00302082">
            <w:pPr>
              <w:spacing w:after="120"/>
              <w:ind w:right="-330"/>
              <w:rPr>
                <w:rFonts w:ascii="Arial" w:hAnsi="Arial" w:cs="Arial"/>
                <w:sz w:val="20"/>
                <w:szCs w:val="20"/>
              </w:rPr>
            </w:pPr>
          </w:p>
        </w:tc>
        <w:tc>
          <w:tcPr>
            <w:tcW w:w="2448" w:type="dxa"/>
          </w:tcPr>
          <w:p w14:paraId="432E0DE2" w14:textId="77777777" w:rsidR="00422B69" w:rsidRPr="009C3C67" w:rsidRDefault="00422B69" w:rsidP="00302082">
            <w:pPr>
              <w:spacing w:after="120"/>
              <w:ind w:right="-330"/>
              <w:rPr>
                <w:rFonts w:ascii="Arial" w:hAnsi="Arial" w:cs="Arial"/>
                <w:sz w:val="20"/>
                <w:szCs w:val="20"/>
              </w:rPr>
            </w:pPr>
          </w:p>
        </w:tc>
        <w:tc>
          <w:tcPr>
            <w:tcW w:w="2597" w:type="dxa"/>
          </w:tcPr>
          <w:p w14:paraId="58D774B0" w14:textId="77777777" w:rsidR="00422B69" w:rsidRPr="009C3C67" w:rsidRDefault="00422B69" w:rsidP="00302082">
            <w:pPr>
              <w:spacing w:after="120"/>
              <w:ind w:right="-330"/>
              <w:rPr>
                <w:rFonts w:ascii="Arial" w:hAnsi="Arial" w:cs="Arial"/>
                <w:sz w:val="20"/>
                <w:szCs w:val="20"/>
              </w:rPr>
            </w:pPr>
          </w:p>
        </w:tc>
      </w:tr>
    </w:tbl>
    <w:p w14:paraId="27EDD5A2" w14:textId="77777777" w:rsidR="00D83563" w:rsidRPr="009C3C67" w:rsidRDefault="00D83563" w:rsidP="00302082">
      <w:pPr>
        <w:spacing w:after="120" w:line="240" w:lineRule="auto"/>
        <w:ind w:right="-330"/>
        <w:rPr>
          <w:rFonts w:ascii="Arial" w:hAnsi="Arial" w:cs="Arial"/>
          <w:sz w:val="20"/>
          <w:szCs w:val="20"/>
        </w:rPr>
      </w:pPr>
    </w:p>
    <w:p w14:paraId="6A296271" w14:textId="77777777" w:rsidR="00C57028" w:rsidRPr="009C3C67" w:rsidRDefault="00C57028" w:rsidP="004E0759">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sz w:val="20"/>
          <w:szCs w:val="20"/>
        </w:rPr>
      </w:pPr>
      <w:r w:rsidRPr="009C3C67">
        <w:rPr>
          <w:rFonts w:ascii="Arial" w:hAnsi="Arial" w:cs="Arial"/>
          <w:sz w:val="20"/>
          <w:szCs w:val="20"/>
        </w:rPr>
        <w:t>Revised FSO Jan 2018</w:t>
      </w:r>
    </w:p>
    <w:sectPr w:rsidR="00C57028" w:rsidRPr="009C3C67" w:rsidSect="009C3C67">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8870" w14:textId="77777777" w:rsidR="00BB01E0" w:rsidRDefault="00BB01E0" w:rsidP="009A2D37">
      <w:pPr>
        <w:spacing w:after="0" w:line="240" w:lineRule="auto"/>
      </w:pPr>
      <w:r>
        <w:separator/>
      </w:r>
    </w:p>
  </w:endnote>
  <w:endnote w:type="continuationSeparator" w:id="0">
    <w:p w14:paraId="6F466304" w14:textId="77777777" w:rsidR="00BB01E0" w:rsidRDefault="00BB01E0" w:rsidP="009A2D37">
      <w:pPr>
        <w:spacing w:after="0" w:line="240" w:lineRule="auto"/>
      </w:pPr>
      <w:r>
        <w:continuationSeparator/>
      </w:r>
    </w:p>
  </w:endnote>
  <w:endnote w:type="continuationNotice" w:id="1">
    <w:p w14:paraId="2552985A" w14:textId="77777777" w:rsidR="00BB01E0" w:rsidRDefault="00BB0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FFD0" w14:textId="77777777" w:rsidR="009C3C67" w:rsidRDefault="009C3C67" w:rsidP="009A2D37">
    <w:pPr>
      <w:pStyle w:val="Footer"/>
      <w:jc w:val="center"/>
    </w:pPr>
  </w:p>
  <w:p w14:paraId="6A69E046" w14:textId="76714A9E" w:rsidR="008B2543" w:rsidRDefault="00823D22"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54EC3">
          <w:rPr>
            <w:noProof/>
          </w:rPr>
          <w:t>3</w:t>
        </w:r>
        <w:r w:rsidR="0019787E">
          <w:rPr>
            <w:noProof/>
          </w:rPr>
          <w:fldChar w:fldCharType="end"/>
        </w:r>
      </w:sdtContent>
    </w:sdt>
  </w:p>
  <w:p w14:paraId="7ACDBE4F" w14:textId="7E9AC96C" w:rsidR="008B2543" w:rsidRPr="009C3C67" w:rsidRDefault="009C3C67" w:rsidP="009C3C67">
    <w:pPr>
      <w:pStyle w:val="Footer"/>
      <w:spacing w:after="120"/>
      <w:jc w:val="center"/>
      <w:rPr>
        <w:rFonts w:ascii="Arial" w:hAnsi="Arial"/>
        <w:sz w:val="18"/>
      </w:rPr>
    </w:pPr>
    <w:r w:rsidRPr="009C3C67">
      <w:rPr>
        <w:rFonts w:ascii="Arial" w:hAnsi="Arial"/>
        <w:sz w:val="18"/>
      </w:rPr>
      <w:t>LAWS8150</w:t>
    </w:r>
    <w:r w:rsidR="00823D22">
      <w:rPr>
        <w:rFonts w:ascii="Arial" w:hAnsi="Arial"/>
        <w:sz w:val="18"/>
      </w:rPr>
      <w:t xml:space="preserve"> </w:t>
    </w:r>
    <w:r w:rsidR="005B7146">
      <w:rPr>
        <w:rFonts w:ascii="Arial" w:hAnsi="Arial"/>
        <w:sz w:val="18"/>
      </w:rPr>
      <w:t>/</w:t>
    </w:r>
    <w:r w:rsidR="00823D22">
      <w:rPr>
        <w:rFonts w:ascii="Arial" w:hAnsi="Arial"/>
        <w:sz w:val="18"/>
      </w:rPr>
      <w:t xml:space="preserve"> </w:t>
    </w:r>
    <w:r w:rsidR="005B7146">
      <w:rPr>
        <w:rFonts w:ascii="Arial" w:hAnsi="Arial"/>
        <w:sz w:val="18"/>
      </w:rPr>
      <w:t>LAWS8151</w:t>
    </w:r>
    <w:r w:rsidRPr="009C3C67">
      <w:rPr>
        <w:rFonts w:ascii="Arial" w:hAnsi="Arial"/>
        <w:sz w:val="18"/>
      </w:rPr>
      <w:t xml:space="preserve"> (LW815) - EU Constitutional and Institutional Law</w:t>
    </w:r>
    <w:r>
      <w:rPr>
        <w:rFonts w:ascii="Arial" w:hAnsi="Arial"/>
        <w:sz w:val="18"/>
      </w:rPr>
      <w:t xml:space="preserve"> – Sept. 20</w:t>
    </w:r>
    <w:r w:rsidR="005B7146">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81B8" w14:textId="77777777" w:rsidR="00BB01E0" w:rsidRDefault="00BB01E0" w:rsidP="009A2D37">
      <w:pPr>
        <w:spacing w:after="0" w:line="240" w:lineRule="auto"/>
      </w:pPr>
      <w:r>
        <w:separator/>
      </w:r>
    </w:p>
  </w:footnote>
  <w:footnote w:type="continuationSeparator" w:id="0">
    <w:p w14:paraId="0AB7089E" w14:textId="77777777" w:rsidR="00BB01E0" w:rsidRDefault="00BB01E0" w:rsidP="009A2D37">
      <w:pPr>
        <w:spacing w:after="0" w:line="240" w:lineRule="auto"/>
      </w:pPr>
      <w:r>
        <w:continuationSeparator/>
      </w:r>
    </w:p>
  </w:footnote>
  <w:footnote w:type="continuationNotice" w:id="1">
    <w:p w14:paraId="62F18C23" w14:textId="77777777" w:rsidR="00BB01E0" w:rsidRDefault="00BB0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AE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C6C60" wp14:editId="15E669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A70B36" w14:textId="206C4C92" w:rsidR="008B2543" w:rsidRDefault="008B2543">
    <w:pPr>
      <w:pStyle w:val="Header"/>
    </w:pPr>
  </w:p>
  <w:p w14:paraId="75C23FB9" w14:textId="77777777" w:rsidR="00823D22" w:rsidRDefault="00823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72F005" wp14:editId="2B6EB5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442B0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516737"/>
    <w:multiLevelType w:val="hybridMultilevel"/>
    <w:tmpl w:val="C7B4ED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AB00A1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D2440"/>
    <w:multiLevelType w:val="hybridMultilevel"/>
    <w:tmpl w:val="B5F650E2"/>
    <w:lvl w:ilvl="0" w:tplc="38CEBAB2">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4373C1"/>
    <w:multiLevelType w:val="hybridMultilevel"/>
    <w:tmpl w:val="2B248EB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7"/>
  </w:num>
  <w:num w:numId="10">
    <w:abstractNumId w:val="8"/>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8D"/>
    <w:rsid w:val="00000C8C"/>
    <w:rsid w:val="000017F2"/>
    <w:rsid w:val="0000456B"/>
    <w:rsid w:val="00005661"/>
    <w:rsid w:val="00010A16"/>
    <w:rsid w:val="000114A5"/>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B57"/>
    <w:rsid w:val="001402AD"/>
    <w:rsid w:val="001540CE"/>
    <w:rsid w:val="00154EC3"/>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337"/>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5739D"/>
    <w:rsid w:val="00460925"/>
    <w:rsid w:val="004643A0"/>
    <w:rsid w:val="00471C6C"/>
    <w:rsid w:val="00472023"/>
    <w:rsid w:val="00486993"/>
    <w:rsid w:val="00492DA4"/>
    <w:rsid w:val="00496AA3"/>
    <w:rsid w:val="00497C98"/>
    <w:rsid w:val="004A39D7"/>
    <w:rsid w:val="004A55FA"/>
    <w:rsid w:val="004B5D03"/>
    <w:rsid w:val="004C1EC4"/>
    <w:rsid w:val="004D035C"/>
    <w:rsid w:val="004E0759"/>
    <w:rsid w:val="004F3C18"/>
    <w:rsid w:val="004F4328"/>
    <w:rsid w:val="005005E4"/>
    <w:rsid w:val="00513689"/>
    <w:rsid w:val="0051375A"/>
    <w:rsid w:val="00521097"/>
    <w:rsid w:val="0053059E"/>
    <w:rsid w:val="00532F6F"/>
    <w:rsid w:val="00533663"/>
    <w:rsid w:val="005460C2"/>
    <w:rsid w:val="005526FB"/>
    <w:rsid w:val="0055280A"/>
    <w:rsid w:val="00553BD5"/>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A743B"/>
    <w:rsid w:val="005B5A98"/>
    <w:rsid w:val="005B7146"/>
    <w:rsid w:val="005C1A4F"/>
    <w:rsid w:val="005C27D7"/>
    <w:rsid w:val="005C7588"/>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09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F76"/>
    <w:rsid w:val="00720270"/>
    <w:rsid w:val="00724362"/>
    <w:rsid w:val="00727780"/>
    <w:rsid w:val="0073792C"/>
    <w:rsid w:val="00754069"/>
    <w:rsid w:val="0076160B"/>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D22"/>
    <w:rsid w:val="00827FFD"/>
    <w:rsid w:val="0083074C"/>
    <w:rsid w:val="00845A1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8F216E"/>
    <w:rsid w:val="00903DF6"/>
    <w:rsid w:val="00921CF6"/>
    <w:rsid w:val="00922E9E"/>
    <w:rsid w:val="00924EF0"/>
    <w:rsid w:val="00934D7B"/>
    <w:rsid w:val="009447E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C67"/>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0F6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282"/>
    <w:rsid w:val="00B52FF5"/>
    <w:rsid w:val="00B5498B"/>
    <w:rsid w:val="00B56200"/>
    <w:rsid w:val="00B57219"/>
    <w:rsid w:val="00B658A3"/>
    <w:rsid w:val="00B746A8"/>
    <w:rsid w:val="00B7664D"/>
    <w:rsid w:val="00B80989"/>
    <w:rsid w:val="00B9109B"/>
    <w:rsid w:val="00B927AE"/>
    <w:rsid w:val="00B93721"/>
    <w:rsid w:val="00B937B1"/>
    <w:rsid w:val="00BA453C"/>
    <w:rsid w:val="00BA4E02"/>
    <w:rsid w:val="00BB01E0"/>
    <w:rsid w:val="00BB2045"/>
    <w:rsid w:val="00BB2A6D"/>
    <w:rsid w:val="00BB3DAE"/>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870"/>
    <w:rsid w:val="00CA3254"/>
    <w:rsid w:val="00CB0747"/>
    <w:rsid w:val="00CB11CE"/>
    <w:rsid w:val="00CB5C4F"/>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11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48D"/>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63B4E"/>
  <w15:docId w15:val="{95D854DC-A426-4BB7-9685-CB4D125A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F5337"/>
    <w:pPr>
      <w:spacing w:after="0" w:line="240" w:lineRule="auto"/>
    </w:pPr>
    <w:rPr>
      <w:rFonts w:eastAsiaTheme="minorEastAsia"/>
      <w:lang w:eastAsia="en-GB"/>
    </w:rPr>
  </w:style>
  <w:style w:type="table" w:styleId="LightList">
    <w:name w:val="Light List"/>
    <w:basedOn w:val="TableNormal"/>
    <w:uiPriority w:val="61"/>
    <w:rsid w:val="00AC0F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5A251-23E4-4ECA-BF09-98D178C249D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97808203-4664-4FE9-AE5D-AE2A3AE2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8BF98-392E-45DC-AF2C-7057982D9670}"/>
</file>

<file path=customXml/itemProps4.xml><?xml version="1.0" encoding="utf-8"?>
<ds:datastoreItem xmlns:ds="http://schemas.openxmlformats.org/officeDocument/2006/customXml" ds:itemID="{E4AAFF62-A2C8-4696-8DD3-404C8A94722D}">
  <ds:schemaRefs>
    <ds:schemaRef ds:uri="http://schemas.openxmlformats.org/officeDocument/2006/bibliography"/>
  </ds:schemaRefs>
</ds:datastoreItem>
</file>

<file path=customXml/itemProps5.xml><?xml version="1.0" encoding="utf-8"?>
<ds:datastoreItem xmlns:ds="http://schemas.openxmlformats.org/officeDocument/2006/customXml" ds:itemID="{CEAC5DA3-D81D-4F8B-B76F-BB79D8872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2020-01-15T12:05:00Z</dcterms:created>
  <dcterms:modified xsi:type="dcterms:W3CDTF">2022-03-22T16:02:00Z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099b5bcb-90c4-43c1-b332-2217cecf9873</vt:lpwstr>
  </property>
  <property fmtid="{D5CDD505-2E9C-101B-9397-08002B2CF9AE}" pid="3" name="ContentTypeId">
    <vt:lpwstr>0x01010042FF863D45A9CB4BA9540D2BC5DB9BE0</vt:lpwstr>
  </property>
  <property fmtid="{D5CDD505-2E9C-101B-9397-08002B2CF9AE}" pid="4" name="Order">
    <vt:r8>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