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7435" w14:textId="783FDCAE" w:rsidR="009A2D37" w:rsidRPr="008F3834" w:rsidRDefault="00C07A56"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T</w:t>
      </w:r>
      <w:r w:rsidR="009A2D37" w:rsidRPr="008F3834">
        <w:rPr>
          <w:rFonts w:ascii="Arial" w:hAnsi="Arial"/>
          <w:b/>
          <w:sz w:val="20"/>
        </w:rPr>
        <w:t>itle of the module</w:t>
      </w:r>
    </w:p>
    <w:p w14:paraId="2FECECB2" w14:textId="426EAAE4" w:rsidR="009A2D37" w:rsidRPr="004E362D" w:rsidRDefault="004E362D" w:rsidP="008F3834">
      <w:pPr>
        <w:spacing w:after="120" w:line="240" w:lineRule="auto"/>
        <w:ind w:left="426" w:right="260"/>
        <w:rPr>
          <w:rFonts w:ascii="Arial" w:hAnsi="Arial"/>
          <w:i/>
          <w:sz w:val="20"/>
        </w:rPr>
      </w:pPr>
      <w:r>
        <w:rPr>
          <w:rFonts w:ascii="Arial" w:hAnsi="Arial"/>
          <w:sz w:val="20"/>
        </w:rPr>
        <w:t>LAWS8100</w:t>
      </w:r>
      <w:r w:rsidR="006F2745">
        <w:rPr>
          <w:rFonts w:ascii="Arial" w:hAnsi="Arial"/>
          <w:sz w:val="20"/>
        </w:rPr>
        <w:t xml:space="preserve"> / LAWS8101</w:t>
      </w:r>
      <w:r w:rsidRPr="008F3834">
        <w:rPr>
          <w:rFonts w:ascii="Arial" w:hAnsi="Arial"/>
          <w:sz w:val="20"/>
        </w:rPr>
        <w:t xml:space="preserve"> (LW810)</w:t>
      </w:r>
      <w:r>
        <w:rPr>
          <w:rFonts w:ascii="Arial" w:hAnsi="Arial"/>
          <w:sz w:val="20"/>
        </w:rPr>
        <w:t xml:space="preserve"> </w:t>
      </w:r>
      <w:r w:rsidR="00C66C46" w:rsidRPr="008F3834">
        <w:rPr>
          <w:rFonts w:ascii="Arial" w:hAnsi="Arial"/>
          <w:sz w:val="20"/>
        </w:rPr>
        <w:t>The International Law on Foreign Investment</w:t>
      </w:r>
      <w:r>
        <w:rPr>
          <w:rFonts w:ascii="Arial" w:hAnsi="Arial"/>
          <w:sz w:val="20"/>
        </w:rPr>
        <w:t xml:space="preserve"> </w:t>
      </w:r>
    </w:p>
    <w:p w14:paraId="7F954429" w14:textId="77777777" w:rsidR="004E362D" w:rsidRPr="004E362D" w:rsidRDefault="004E362D" w:rsidP="004E362D">
      <w:pPr>
        <w:spacing w:after="120" w:line="240" w:lineRule="auto"/>
        <w:ind w:left="426" w:right="260"/>
        <w:jc w:val="both"/>
        <w:rPr>
          <w:rFonts w:ascii="Arial" w:hAnsi="Arial"/>
          <w:i/>
          <w:sz w:val="20"/>
        </w:rPr>
      </w:pPr>
    </w:p>
    <w:p w14:paraId="757BC237"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School or partner institution which will be responsible for management of the module</w:t>
      </w:r>
    </w:p>
    <w:p w14:paraId="27D6A095" w14:textId="77777777" w:rsidR="009A2D37" w:rsidRPr="008F3834" w:rsidRDefault="00380EAE" w:rsidP="008F3834">
      <w:pPr>
        <w:spacing w:after="120" w:line="240" w:lineRule="auto"/>
        <w:ind w:left="426" w:right="260"/>
        <w:rPr>
          <w:rFonts w:ascii="Arial" w:hAnsi="Arial"/>
          <w:sz w:val="20"/>
        </w:rPr>
      </w:pPr>
      <w:r w:rsidRPr="008F3834">
        <w:rPr>
          <w:rFonts w:ascii="Arial" w:hAnsi="Arial"/>
          <w:sz w:val="20"/>
        </w:rPr>
        <w:t>Kent Law School</w:t>
      </w:r>
    </w:p>
    <w:p w14:paraId="6FDB3D7B" w14:textId="77777777" w:rsidR="00C07A56" w:rsidRPr="008F3834" w:rsidRDefault="00C07A56" w:rsidP="008F3834">
      <w:pPr>
        <w:spacing w:after="120" w:line="240" w:lineRule="auto"/>
        <w:ind w:left="426" w:right="260"/>
        <w:rPr>
          <w:rFonts w:ascii="Arial" w:hAnsi="Arial"/>
          <w:sz w:val="20"/>
        </w:rPr>
      </w:pPr>
    </w:p>
    <w:p w14:paraId="48D29138"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 xml:space="preserve">The level of the module </w:t>
      </w:r>
      <w:r w:rsidRPr="00373ACB">
        <w:rPr>
          <w:rFonts w:ascii="Arial" w:hAnsi="Arial" w:cs="Arial"/>
          <w:b/>
          <w:sz w:val="20"/>
          <w:szCs w:val="20"/>
        </w:rPr>
        <w:t>(</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119DCCC" w14:textId="77777777" w:rsidR="009A2D37" w:rsidRPr="00373ACB" w:rsidRDefault="00C66C46"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68385493" w14:textId="77777777" w:rsidR="00C07A56" w:rsidRPr="008F3834" w:rsidRDefault="00C07A56" w:rsidP="008F3834">
      <w:pPr>
        <w:spacing w:after="120" w:line="240" w:lineRule="auto"/>
        <w:ind w:left="426" w:right="260"/>
        <w:rPr>
          <w:rFonts w:ascii="Arial" w:hAnsi="Arial"/>
          <w:sz w:val="20"/>
        </w:rPr>
      </w:pPr>
    </w:p>
    <w:p w14:paraId="54117CC5"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 xml:space="preserve">The number of credits and the ECTS value which the module represents </w:t>
      </w:r>
    </w:p>
    <w:p w14:paraId="3DEC6496" w14:textId="77777777" w:rsidR="00BC1D37" w:rsidRPr="008F3834" w:rsidRDefault="00C66C46" w:rsidP="008F3834">
      <w:pPr>
        <w:spacing w:after="120" w:line="240" w:lineRule="auto"/>
        <w:ind w:left="426" w:right="260"/>
        <w:rPr>
          <w:rFonts w:ascii="Arial" w:hAnsi="Arial"/>
          <w:sz w:val="20"/>
        </w:rPr>
      </w:pPr>
      <w:r w:rsidRPr="008F3834">
        <w:rPr>
          <w:rFonts w:ascii="Arial" w:hAnsi="Arial"/>
          <w:sz w:val="20"/>
        </w:rPr>
        <w:t>20</w:t>
      </w:r>
      <w:r w:rsidR="00BC1D37" w:rsidRPr="008F3834">
        <w:rPr>
          <w:rFonts w:ascii="Arial" w:hAnsi="Arial"/>
          <w:sz w:val="20"/>
        </w:rPr>
        <w:t xml:space="preserve"> credits (</w:t>
      </w:r>
      <w:r w:rsidRPr="008F3834">
        <w:rPr>
          <w:rFonts w:ascii="Arial" w:hAnsi="Arial"/>
          <w:sz w:val="20"/>
        </w:rPr>
        <w:t>10</w:t>
      </w:r>
      <w:r w:rsidR="00BC1D37" w:rsidRPr="008F3834">
        <w:rPr>
          <w:rFonts w:ascii="Arial" w:hAnsi="Arial"/>
          <w:sz w:val="20"/>
        </w:rPr>
        <w:t xml:space="preserve"> ECTS</w:t>
      </w:r>
      <w:r w:rsidR="00BC1D37">
        <w:rPr>
          <w:rFonts w:ascii="Arial" w:hAnsi="Arial" w:cs="Arial"/>
          <w:sz w:val="20"/>
          <w:szCs w:val="20"/>
        </w:rPr>
        <w:t xml:space="preserve"> Credits</w:t>
      </w:r>
      <w:r w:rsidR="00BC1D37" w:rsidRPr="008F3834">
        <w:rPr>
          <w:rFonts w:ascii="Arial" w:hAnsi="Arial"/>
          <w:sz w:val="20"/>
        </w:rPr>
        <w:t>)</w:t>
      </w:r>
    </w:p>
    <w:p w14:paraId="30DBB239" w14:textId="77777777" w:rsidR="00C07A56" w:rsidRPr="008F3834" w:rsidRDefault="00C07A56" w:rsidP="008F3834">
      <w:pPr>
        <w:spacing w:after="120" w:line="240" w:lineRule="auto"/>
        <w:ind w:left="426" w:right="260"/>
        <w:rPr>
          <w:rFonts w:ascii="Arial" w:hAnsi="Arial"/>
          <w:sz w:val="20"/>
        </w:rPr>
      </w:pPr>
    </w:p>
    <w:p w14:paraId="7751057A"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Which term(s) the module is to be taught in (or other teaching pattern)</w:t>
      </w:r>
    </w:p>
    <w:p w14:paraId="7A4C122D" w14:textId="74449526" w:rsidR="00BC1D37" w:rsidRPr="008F3834" w:rsidRDefault="00C66C46" w:rsidP="008F3834">
      <w:pPr>
        <w:spacing w:line="240" w:lineRule="auto"/>
        <w:ind w:left="426"/>
        <w:rPr>
          <w:rFonts w:ascii="Arial" w:hAnsi="Arial"/>
          <w:sz w:val="20"/>
        </w:rPr>
      </w:pPr>
      <w:r w:rsidRPr="008F3834">
        <w:rPr>
          <w:rFonts w:ascii="Arial" w:hAnsi="Arial"/>
          <w:sz w:val="20"/>
        </w:rPr>
        <w:t xml:space="preserve">Autumn or </w:t>
      </w:r>
      <w:r>
        <w:rPr>
          <w:rFonts w:ascii="Arial" w:hAnsi="Arial" w:cs="Arial"/>
          <w:sz w:val="20"/>
          <w:szCs w:val="20"/>
        </w:rPr>
        <w:t>Spring</w:t>
      </w:r>
    </w:p>
    <w:p w14:paraId="53624819" w14:textId="77777777" w:rsidR="00C07A56" w:rsidRPr="008F3834" w:rsidRDefault="00C07A56" w:rsidP="008F3834">
      <w:pPr>
        <w:spacing w:line="240" w:lineRule="auto"/>
        <w:ind w:left="426"/>
        <w:rPr>
          <w:rFonts w:ascii="Arial" w:hAnsi="Arial"/>
          <w:b/>
          <w:sz w:val="20"/>
        </w:rPr>
      </w:pPr>
    </w:p>
    <w:p w14:paraId="7C74DBBE" w14:textId="77777777" w:rsidR="00B2615F" w:rsidRPr="008F3834" w:rsidRDefault="00B2615F"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Prerequisite and co-requisite modules</w:t>
      </w:r>
    </w:p>
    <w:p w14:paraId="2A1F011C" w14:textId="77777777" w:rsidR="005E3FA7" w:rsidRPr="008F3834" w:rsidRDefault="00C66C46" w:rsidP="00346354">
      <w:pPr>
        <w:spacing w:after="120" w:line="240" w:lineRule="auto"/>
        <w:ind w:left="426" w:right="260"/>
        <w:jc w:val="both"/>
        <w:rPr>
          <w:rFonts w:ascii="Arial" w:hAnsi="Arial"/>
          <w:sz w:val="20"/>
        </w:rPr>
      </w:pPr>
      <w:r w:rsidRPr="008F3834">
        <w:rPr>
          <w:rFonts w:ascii="Arial" w:hAnsi="Arial"/>
          <w:sz w:val="20"/>
        </w:rPr>
        <w:t>None. The course however assumes that the students will have studied Public International Law at the undergraduate level.</w:t>
      </w:r>
    </w:p>
    <w:p w14:paraId="027A5708" w14:textId="77777777" w:rsidR="005E3FA7" w:rsidRPr="008F3834" w:rsidRDefault="005E3FA7" w:rsidP="008F3834">
      <w:pPr>
        <w:spacing w:after="120" w:line="240" w:lineRule="auto"/>
        <w:ind w:left="426" w:right="260"/>
        <w:rPr>
          <w:rFonts w:ascii="Arial" w:hAnsi="Arial"/>
          <w:b/>
          <w:sz w:val="20"/>
        </w:rPr>
      </w:pPr>
    </w:p>
    <w:p w14:paraId="2A6988CD"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The programmes of study to which the module contributes</w:t>
      </w:r>
    </w:p>
    <w:p w14:paraId="2DB1F179" w14:textId="2C510ABD" w:rsidR="009A2D37" w:rsidRPr="008F3834" w:rsidRDefault="00C66C46" w:rsidP="00346354">
      <w:pPr>
        <w:spacing w:after="120" w:line="240" w:lineRule="auto"/>
        <w:ind w:left="426" w:right="260"/>
        <w:jc w:val="both"/>
        <w:rPr>
          <w:rFonts w:ascii="Arial" w:hAnsi="Arial"/>
          <w:sz w:val="20"/>
        </w:rPr>
      </w:pPr>
      <w:r w:rsidRPr="008F3834">
        <w:rPr>
          <w:rFonts w:ascii="Arial" w:hAnsi="Arial"/>
          <w:sz w:val="20"/>
        </w:rPr>
        <w:t xml:space="preserve">LLM in (Specialisation); </w:t>
      </w:r>
      <w:r w:rsidR="0014683C">
        <w:rPr>
          <w:rFonts w:ascii="Arial" w:hAnsi="Arial"/>
          <w:sz w:val="20"/>
        </w:rPr>
        <w:t xml:space="preserve">LLM Law; </w:t>
      </w:r>
      <w:r w:rsidRPr="008F3834">
        <w:rPr>
          <w:rFonts w:ascii="Arial" w:hAnsi="Arial"/>
          <w:sz w:val="20"/>
        </w:rPr>
        <w:t>PG Diploma in (Specialisation); PG Certificate in Law</w:t>
      </w:r>
      <w:r>
        <w:rPr>
          <w:rFonts w:ascii="Arial" w:hAnsi="Arial" w:cs="Arial"/>
          <w:iCs/>
          <w:sz w:val="20"/>
          <w:szCs w:val="20"/>
        </w:rPr>
        <w:t xml:space="preserve">; </w:t>
      </w:r>
      <w:r w:rsidRPr="00C66C46">
        <w:rPr>
          <w:rFonts w:ascii="Arial" w:hAnsi="Arial" w:cs="Arial"/>
          <w:iCs/>
          <w:sz w:val="20"/>
          <w:szCs w:val="20"/>
        </w:rPr>
        <w:t>P</w:t>
      </w:r>
      <w:r>
        <w:rPr>
          <w:rFonts w:ascii="Arial" w:hAnsi="Arial" w:cs="Arial"/>
          <w:iCs/>
          <w:sz w:val="20"/>
          <w:szCs w:val="20"/>
        </w:rPr>
        <w:t>G</w:t>
      </w:r>
      <w:r w:rsidRPr="00C66C46">
        <w:rPr>
          <w:rFonts w:ascii="Arial" w:hAnsi="Arial" w:cs="Arial"/>
          <w:iCs/>
          <w:sz w:val="20"/>
          <w:szCs w:val="20"/>
        </w:rPr>
        <w:t>Dip/LLM in (Specialisation) Brussels</w:t>
      </w:r>
    </w:p>
    <w:p w14:paraId="1E898700" w14:textId="77777777" w:rsidR="00C07A56" w:rsidRPr="008F3834" w:rsidRDefault="00C07A56" w:rsidP="008F3834">
      <w:pPr>
        <w:spacing w:after="120" w:line="240" w:lineRule="auto"/>
        <w:ind w:left="426" w:right="260"/>
        <w:rPr>
          <w:rFonts w:ascii="Arial" w:hAnsi="Arial"/>
          <w:sz w:val="20"/>
        </w:rPr>
      </w:pPr>
    </w:p>
    <w:p w14:paraId="1D0CCEE3" w14:textId="7CE68801" w:rsidR="009A2D37" w:rsidRPr="008F3834" w:rsidRDefault="009A2D37" w:rsidP="008F3834">
      <w:pPr>
        <w:numPr>
          <w:ilvl w:val="0"/>
          <w:numId w:val="1"/>
        </w:numPr>
        <w:spacing w:after="120" w:line="240" w:lineRule="auto"/>
        <w:ind w:left="426" w:right="260" w:hanging="426"/>
        <w:rPr>
          <w:rFonts w:ascii="Arial" w:hAnsi="Arial"/>
          <w:b/>
          <w:sz w:val="20"/>
        </w:rPr>
      </w:pPr>
      <w:r w:rsidRPr="008F3834">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r w:rsidR="00C66C46">
        <w:rPr>
          <w:rFonts w:ascii="Arial" w:hAnsi="Arial" w:cs="Arial"/>
          <w:b/>
          <w:sz w:val="20"/>
          <w:szCs w:val="20"/>
        </w:rPr>
        <w:t xml:space="preserve"> demonstrate</w:t>
      </w:r>
      <w:r w:rsidR="00C729D7" w:rsidRPr="00373ACB">
        <w:rPr>
          <w:rFonts w:ascii="Arial" w:hAnsi="Arial" w:cs="Arial"/>
          <w:b/>
          <w:sz w:val="20"/>
          <w:szCs w:val="20"/>
        </w:rPr>
        <w:t>:</w:t>
      </w:r>
    </w:p>
    <w:p w14:paraId="0F69A3AC" w14:textId="32FC9862" w:rsidR="00380EAE" w:rsidRPr="00373ACB" w:rsidRDefault="00380EAE" w:rsidP="0066061A">
      <w:pPr>
        <w:spacing w:after="120" w:line="240" w:lineRule="auto"/>
        <w:ind w:left="426" w:right="260"/>
        <w:rPr>
          <w:rFonts w:ascii="Arial" w:hAnsi="Arial" w:cs="Arial"/>
          <w:b/>
          <w:sz w:val="20"/>
          <w:szCs w:val="20"/>
        </w:rPr>
      </w:pPr>
    </w:p>
    <w:p w14:paraId="62B8C2B7" w14:textId="77777777"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 xml:space="preserve">An ability to systematically evaluate the substantive, analytical, </w:t>
      </w:r>
      <w:proofErr w:type="gramStart"/>
      <w:r w:rsidRPr="008F3834">
        <w:rPr>
          <w:rFonts w:ascii="Arial" w:hAnsi="Arial"/>
          <w:sz w:val="20"/>
        </w:rPr>
        <w:t>normative</w:t>
      </w:r>
      <w:proofErr w:type="gramEnd"/>
      <w:r w:rsidRPr="008F3834">
        <w:rPr>
          <w:rFonts w:ascii="Arial" w:hAnsi="Arial"/>
          <w:sz w:val="20"/>
        </w:rPr>
        <w:t xml:space="preserve"> and empirical characteristics of international law of foreign investment as field of study and practice.</w:t>
      </w:r>
    </w:p>
    <w:p w14:paraId="6512E063" w14:textId="061AC05B"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A practical understanding of how established techniques of research and enquiry are used to create and interpret knowledge in the field and an ability to critically analyse those techniques.</w:t>
      </w:r>
    </w:p>
    <w:p w14:paraId="2037241D" w14:textId="77777777"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 xml:space="preserve">A critical awareness of historical and contemporary theoretical and policy problems around the world that have generated, and continue to inform, the international law of foreign investment. </w:t>
      </w:r>
    </w:p>
    <w:p w14:paraId="7E712075" w14:textId="749E7923" w:rsidR="008A4BCA"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Originality in the application and synthesis of the above knowledge and understanding.</w:t>
      </w:r>
    </w:p>
    <w:p w14:paraId="54F723FC"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282C6193" w14:textId="7E9A2AC6" w:rsidR="00380EAE" w:rsidRPr="008F3834" w:rsidRDefault="009A2D37" w:rsidP="008F3834">
      <w:pPr>
        <w:numPr>
          <w:ilvl w:val="0"/>
          <w:numId w:val="1"/>
        </w:numPr>
        <w:spacing w:after="120" w:line="240" w:lineRule="auto"/>
        <w:ind w:left="426" w:right="260" w:hanging="426"/>
        <w:rPr>
          <w:rFonts w:ascii="Arial" w:hAnsi="Arial"/>
          <w:b/>
          <w:sz w:val="20"/>
        </w:rPr>
      </w:pPr>
      <w:r w:rsidRPr="008F3834">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49A814E0" w14:textId="7B67DFE4" w:rsidR="00380EAE" w:rsidRPr="00380EAE" w:rsidRDefault="00380EAE" w:rsidP="0066061A">
      <w:pPr>
        <w:spacing w:after="120" w:line="240" w:lineRule="auto"/>
        <w:ind w:left="426" w:right="260"/>
        <w:rPr>
          <w:rFonts w:ascii="Arial" w:hAnsi="Arial" w:cs="Arial"/>
          <w:b/>
          <w:sz w:val="20"/>
          <w:szCs w:val="20"/>
        </w:rPr>
      </w:pPr>
    </w:p>
    <w:p w14:paraId="5035B25C" w14:textId="77777777"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Present relevant knowledge and understanding in the form of an integrated, reasoned argument through seminar discussion and written assessment.</w:t>
      </w:r>
    </w:p>
    <w:p w14:paraId="37085D39" w14:textId="464D60E4"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 xml:space="preserve">Identify and evaluate complex legal and policy problems according to their historical, </w:t>
      </w:r>
      <w:proofErr w:type="gramStart"/>
      <w:r w:rsidRPr="008F3834">
        <w:rPr>
          <w:rFonts w:ascii="Arial" w:hAnsi="Arial"/>
          <w:sz w:val="20"/>
        </w:rPr>
        <w:t>political</w:t>
      </w:r>
      <w:proofErr w:type="gramEnd"/>
      <w:r w:rsidRPr="008F3834">
        <w:rPr>
          <w:rFonts w:ascii="Arial" w:hAnsi="Arial"/>
          <w:sz w:val="20"/>
        </w:rPr>
        <w:t xml:space="preserve"> and legal context.</w:t>
      </w:r>
    </w:p>
    <w:p w14:paraId="56ED1977" w14:textId="218AE2CC"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Carry out independent further research, synthesising material from a variety of sources to inform a sustained and detailed argument.</w:t>
      </w:r>
    </w:p>
    <w:p w14:paraId="017E819E" w14:textId="6648100F" w:rsidR="00C66C46" w:rsidRPr="0034635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Ability to summarise detailed historical and conceptual material, recognising different positions that arise in the literature surveyed.</w:t>
      </w:r>
    </w:p>
    <w:p w14:paraId="766AD118" w14:textId="6468FEDE" w:rsidR="00C66C46"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lastRenderedPageBreak/>
        <w:t>Appreciate, and critically analyse the implications of, the fact that legal forms arise and operate within complex historical and political conditions.</w:t>
      </w:r>
    </w:p>
    <w:p w14:paraId="7AE488FD" w14:textId="2B0675DF" w:rsidR="00373ACB" w:rsidRPr="008F3834" w:rsidRDefault="00C66C46" w:rsidP="00346354">
      <w:pPr>
        <w:pStyle w:val="ListParagraph"/>
        <w:numPr>
          <w:ilvl w:val="1"/>
          <w:numId w:val="1"/>
        </w:numPr>
        <w:spacing w:after="120" w:line="240" w:lineRule="auto"/>
        <w:ind w:left="851" w:right="260" w:hanging="425"/>
        <w:jc w:val="both"/>
        <w:rPr>
          <w:rFonts w:ascii="Arial" w:hAnsi="Arial"/>
          <w:sz w:val="20"/>
        </w:rPr>
      </w:pPr>
      <w:r w:rsidRPr="008F3834">
        <w:rPr>
          <w:rFonts w:ascii="Arial" w:hAnsi="Arial"/>
          <w:sz w:val="20"/>
        </w:rPr>
        <w:t>Develop an awareness of, and an ability to critically analyse, the economic, political and/or social implications of legal forms and remedies</w:t>
      </w:r>
      <w:r>
        <w:rPr>
          <w:rFonts w:ascii="Arial" w:hAnsi="Arial" w:cs="Arial"/>
          <w:sz w:val="20"/>
          <w:szCs w:val="20"/>
        </w:rPr>
        <w:t>.</w:t>
      </w:r>
    </w:p>
    <w:p w14:paraId="2C685B1B" w14:textId="77777777" w:rsidR="00373ACB" w:rsidRPr="008F3834" w:rsidRDefault="00373ACB" w:rsidP="008F3834">
      <w:pPr>
        <w:pStyle w:val="Default"/>
        <w:spacing w:after="120"/>
        <w:ind w:right="260"/>
        <w:rPr>
          <w:color w:val="auto"/>
          <w:sz w:val="20"/>
        </w:rPr>
      </w:pPr>
    </w:p>
    <w:p w14:paraId="3A7BE4C3" w14:textId="77777777" w:rsidR="009A2D37" w:rsidRPr="008F3834" w:rsidRDefault="009A2D37" w:rsidP="008F3834">
      <w:pPr>
        <w:numPr>
          <w:ilvl w:val="0"/>
          <w:numId w:val="1"/>
        </w:numPr>
        <w:spacing w:after="120" w:line="240" w:lineRule="auto"/>
        <w:ind w:left="426" w:right="260" w:hanging="426"/>
        <w:jc w:val="both"/>
        <w:rPr>
          <w:rFonts w:ascii="Arial" w:hAnsi="Arial"/>
          <w:b/>
          <w:sz w:val="20"/>
        </w:rPr>
      </w:pPr>
      <w:r w:rsidRPr="008F3834">
        <w:rPr>
          <w:rFonts w:ascii="Arial" w:hAnsi="Arial"/>
          <w:b/>
          <w:sz w:val="20"/>
        </w:rPr>
        <w:t>A synopsis of the curriculum</w:t>
      </w:r>
    </w:p>
    <w:p w14:paraId="3E03F165" w14:textId="54F46B3E" w:rsidR="00C66C46" w:rsidRDefault="00C66C46" w:rsidP="00346354">
      <w:pPr>
        <w:spacing w:after="120" w:line="240" w:lineRule="auto"/>
        <w:ind w:left="426" w:right="260"/>
        <w:jc w:val="both"/>
        <w:rPr>
          <w:rFonts w:ascii="Arial" w:hAnsi="Arial"/>
          <w:sz w:val="20"/>
        </w:rPr>
      </w:pPr>
      <w:r w:rsidRPr="008F3834">
        <w:rPr>
          <w:rFonts w:ascii="Arial" w:hAnsi="Arial"/>
          <w:sz w:val="20"/>
        </w:rPr>
        <w:t xml:space="preserve">This module explores the legal implications (practical and theoretical) of foreign direct investment. Attention is paid to the perspectives of states, investors, civil society actors and theorists; and to placing legal implications in their economic, social, </w:t>
      </w:r>
      <w:proofErr w:type="gramStart"/>
      <w:r w:rsidRPr="008F3834">
        <w:rPr>
          <w:rFonts w:ascii="Arial" w:hAnsi="Arial"/>
          <w:sz w:val="20"/>
        </w:rPr>
        <w:t>political</w:t>
      </w:r>
      <w:proofErr w:type="gramEnd"/>
      <w:r w:rsidRPr="008F3834">
        <w:rPr>
          <w:rFonts w:ascii="Arial" w:hAnsi="Arial"/>
          <w:sz w:val="20"/>
        </w:rPr>
        <w:t xml:space="preserve"> and historical context. Questions considered include: </w:t>
      </w:r>
    </w:p>
    <w:p w14:paraId="3FC30B9B" w14:textId="77777777" w:rsidR="00346354" w:rsidRPr="008F3834" w:rsidRDefault="00346354" w:rsidP="00346354">
      <w:pPr>
        <w:spacing w:after="120" w:line="240" w:lineRule="auto"/>
        <w:ind w:left="426" w:right="260"/>
        <w:jc w:val="both"/>
        <w:rPr>
          <w:rFonts w:ascii="Arial" w:hAnsi="Arial"/>
          <w:sz w:val="20"/>
        </w:rPr>
      </w:pPr>
    </w:p>
    <w:p w14:paraId="38508064"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What political, </w:t>
      </w:r>
      <w:proofErr w:type="gramStart"/>
      <w:r w:rsidRPr="008F3834">
        <w:rPr>
          <w:rFonts w:ascii="Arial" w:hAnsi="Arial"/>
          <w:sz w:val="20"/>
        </w:rPr>
        <w:t>economic</w:t>
      </w:r>
      <w:proofErr w:type="gramEnd"/>
      <w:r w:rsidRPr="008F3834">
        <w:rPr>
          <w:rFonts w:ascii="Arial" w:hAnsi="Arial"/>
          <w:sz w:val="20"/>
        </w:rPr>
        <w:t xml:space="preserve"> and legal actors and factors have shaped the international law on foreign investment?</w:t>
      </w:r>
    </w:p>
    <w:p w14:paraId="035A47DC"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are the legal implications of the fact that most foreign investments are made by corporations?</w:t>
      </w:r>
    </w:p>
    <w:p w14:paraId="398379FF"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roles can host state legal systems play in attracting and regulating foreign investments?</w:t>
      </w:r>
    </w:p>
    <w:p w14:paraId="03EBF286"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international legal mechanisms are used to enable foreign investment?</w:t>
      </w:r>
    </w:p>
    <w:p w14:paraId="0DC3ABB7" w14:textId="77777777" w:rsidR="00373ACB"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What challenges do current concerns with corruption and tax evasion pose to existing international law on foreign investment?</w:t>
      </w:r>
    </w:p>
    <w:p w14:paraId="269F4554" w14:textId="77777777" w:rsidR="00C66C46" w:rsidRPr="008F3834" w:rsidRDefault="00C66C46" w:rsidP="008F3834">
      <w:pPr>
        <w:spacing w:after="120" w:line="240" w:lineRule="auto"/>
        <w:ind w:right="260"/>
        <w:rPr>
          <w:rFonts w:ascii="Arial" w:hAnsi="Arial"/>
          <w:sz w:val="20"/>
        </w:rPr>
      </w:pPr>
    </w:p>
    <w:p w14:paraId="473363AF" w14:textId="5B0538AB"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198404F2" w14:textId="77777777" w:rsidR="00C66C46" w:rsidRPr="008F3834" w:rsidRDefault="00C66C46" w:rsidP="008F3834">
      <w:pPr>
        <w:spacing w:after="120" w:line="240" w:lineRule="auto"/>
        <w:ind w:left="426" w:right="260"/>
        <w:rPr>
          <w:rFonts w:ascii="Arial" w:hAnsi="Arial"/>
          <w:sz w:val="20"/>
        </w:rPr>
      </w:pPr>
    </w:p>
    <w:p w14:paraId="78BE7F9E" w14:textId="77777777" w:rsidR="00C66C46" w:rsidRPr="008F3834" w:rsidRDefault="00C66C46" w:rsidP="008F3834">
      <w:pPr>
        <w:spacing w:after="120" w:line="240" w:lineRule="auto"/>
        <w:ind w:left="426" w:right="260"/>
        <w:rPr>
          <w:rFonts w:ascii="Arial" w:hAnsi="Arial"/>
          <w:b/>
          <w:sz w:val="20"/>
        </w:rPr>
      </w:pPr>
      <w:r w:rsidRPr="008F3834">
        <w:rPr>
          <w:rFonts w:ascii="Arial" w:hAnsi="Arial"/>
          <w:b/>
          <w:sz w:val="20"/>
        </w:rPr>
        <w:t>Textbook</w:t>
      </w:r>
    </w:p>
    <w:p w14:paraId="3F32CA15" w14:textId="77777777" w:rsidR="00C66C46" w:rsidRPr="008F3834" w:rsidRDefault="00C66C46" w:rsidP="008F3834">
      <w:pPr>
        <w:spacing w:after="120" w:line="240" w:lineRule="auto"/>
        <w:ind w:left="426" w:right="260"/>
        <w:rPr>
          <w:rFonts w:ascii="Arial" w:hAnsi="Arial"/>
          <w:sz w:val="20"/>
        </w:rPr>
      </w:pPr>
    </w:p>
    <w:p w14:paraId="1A7F60DF" w14:textId="77777777" w:rsidR="00C66C46" w:rsidRPr="008F3834" w:rsidRDefault="00C66C46" w:rsidP="008F3834">
      <w:pPr>
        <w:pStyle w:val="ListParagraph"/>
        <w:numPr>
          <w:ilvl w:val="3"/>
          <w:numId w:val="1"/>
        </w:numPr>
        <w:spacing w:after="120" w:line="240" w:lineRule="auto"/>
        <w:ind w:left="993" w:right="260" w:hanging="187"/>
        <w:rPr>
          <w:rFonts w:ascii="Arial" w:hAnsi="Arial"/>
          <w:sz w:val="20"/>
        </w:rPr>
      </w:pPr>
      <w:r w:rsidRPr="008F3834">
        <w:rPr>
          <w:rFonts w:ascii="Arial" w:hAnsi="Arial"/>
          <w:sz w:val="20"/>
        </w:rPr>
        <w:t xml:space="preserve">M. </w:t>
      </w:r>
      <w:proofErr w:type="spellStart"/>
      <w:r w:rsidRPr="008F3834">
        <w:rPr>
          <w:rFonts w:ascii="Arial" w:hAnsi="Arial"/>
          <w:sz w:val="20"/>
        </w:rPr>
        <w:t>Sornarajah</w:t>
      </w:r>
      <w:proofErr w:type="spellEnd"/>
      <w:r w:rsidRPr="008F3834">
        <w:rPr>
          <w:rFonts w:ascii="Arial" w:hAnsi="Arial"/>
          <w:sz w:val="20"/>
        </w:rPr>
        <w:t xml:space="preserve"> (2010) ‘The shaping factors’ in The International Law on Foreign Investment, CUP</w:t>
      </w:r>
    </w:p>
    <w:p w14:paraId="23B40B4D" w14:textId="77777777" w:rsidR="00C66C46" w:rsidRPr="008F3834" w:rsidRDefault="00C66C46" w:rsidP="008F3834">
      <w:pPr>
        <w:spacing w:after="120" w:line="240" w:lineRule="auto"/>
        <w:ind w:left="426" w:right="260"/>
        <w:rPr>
          <w:rFonts w:ascii="Arial" w:hAnsi="Arial"/>
          <w:sz w:val="20"/>
        </w:rPr>
      </w:pPr>
    </w:p>
    <w:p w14:paraId="4D225CF7" w14:textId="77777777" w:rsidR="00C66C46" w:rsidRPr="008F3834" w:rsidRDefault="00C66C46" w:rsidP="008F3834">
      <w:pPr>
        <w:spacing w:after="120" w:line="240" w:lineRule="auto"/>
        <w:ind w:left="426" w:right="260"/>
        <w:rPr>
          <w:rFonts w:ascii="Arial" w:hAnsi="Arial"/>
          <w:b/>
          <w:sz w:val="20"/>
        </w:rPr>
      </w:pPr>
      <w:r w:rsidRPr="008F3834">
        <w:rPr>
          <w:rFonts w:ascii="Arial" w:hAnsi="Arial"/>
          <w:b/>
          <w:sz w:val="20"/>
        </w:rPr>
        <w:t>Other sources</w:t>
      </w:r>
      <w:r w:rsidRPr="00C66C46">
        <w:rPr>
          <w:rFonts w:ascii="Arial" w:hAnsi="Arial" w:cs="Arial"/>
          <w:b/>
          <w:sz w:val="20"/>
          <w:szCs w:val="20"/>
        </w:rPr>
        <w:br/>
      </w:r>
    </w:p>
    <w:p w14:paraId="3A556153"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A. Perry-Kessaris (2008) Global Business, Local Law: </w:t>
      </w:r>
      <w:proofErr w:type="gramStart"/>
      <w:r w:rsidRPr="008F3834">
        <w:rPr>
          <w:rFonts w:ascii="Arial" w:hAnsi="Arial"/>
          <w:sz w:val="20"/>
        </w:rPr>
        <w:t>the</w:t>
      </w:r>
      <w:proofErr w:type="gramEnd"/>
      <w:r w:rsidRPr="008F3834">
        <w:rPr>
          <w:rFonts w:ascii="Arial" w:hAnsi="Arial"/>
          <w:sz w:val="20"/>
        </w:rPr>
        <w:t xml:space="preserve"> Indian legal system as a communal resource in foreign investment relations </w:t>
      </w:r>
    </w:p>
    <w:p w14:paraId="78836EB6"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A. Perry-Kessaris ed. (2010) Socio-legal approaches to international economic law: Text, context, subtext Routledge.</w:t>
      </w:r>
    </w:p>
    <w:p w14:paraId="653B39D8"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P. Dicken (2011) ‘Global Shift.</w:t>
      </w:r>
    </w:p>
    <w:p w14:paraId="2C270BE1"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A. </w:t>
      </w:r>
      <w:proofErr w:type="spellStart"/>
      <w:r w:rsidRPr="008F3834">
        <w:rPr>
          <w:rFonts w:ascii="Arial" w:hAnsi="Arial"/>
          <w:sz w:val="20"/>
        </w:rPr>
        <w:t>Lowenfeld</w:t>
      </w:r>
      <w:proofErr w:type="spellEnd"/>
      <w:r w:rsidRPr="008F3834">
        <w:rPr>
          <w:rFonts w:ascii="Arial" w:hAnsi="Arial"/>
          <w:sz w:val="20"/>
        </w:rPr>
        <w:t xml:space="preserve"> (2008) International Economic Law </w:t>
      </w:r>
    </w:p>
    <w:p w14:paraId="70FF8C9A"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M. </w:t>
      </w:r>
      <w:proofErr w:type="spellStart"/>
      <w:r w:rsidRPr="008F3834">
        <w:rPr>
          <w:rFonts w:ascii="Arial" w:hAnsi="Arial"/>
          <w:sz w:val="20"/>
        </w:rPr>
        <w:t>Herdegen</w:t>
      </w:r>
      <w:proofErr w:type="spellEnd"/>
      <w:r w:rsidRPr="008F3834">
        <w:rPr>
          <w:rFonts w:ascii="Arial" w:hAnsi="Arial"/>
          <w:sz w:val="20"/>
        </w:rPr>
        <w:t xml:space="preserve"> (2013) Principles of International Economic Law Chapter</w:t>
      </w:r>
    </w:p>
    <w:p w14:paraId="16C1F64B"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P. </w:t>
      </w:r>
      <w:proofErr w:type="spellStart"/>
      <w:r w:rsidRPr="008F3834">
        <w:rPr>
          <w:rFonts w:ascii="Arial" w:hAnsi="Arial"/>
          <w:sz w:val="20"/>
        </w:rPr>
        <w:t>Muchlinski</w:t>
      </w:r>
      <w:proofErr w:type="spellEnd"/>
      <w:r w:rsidRPr="008F3834">
        <w:rPr>
          <w:rFonts w:ascii="Arial" w:hAnsi="Arial"/>
          <w:sz w:val="20"/>
        </w:rPr>
        <w:t xml:space="preserve"> (2007) Multinational Enterprises and the Law </w:t>
      </w:r>
    </w:p>
    <w:p w14:paraId="2A1268F3" w14:textId="77777777" w:rsidR="00C66C46" w:rsidRPr="008F3834" w:rsidRDefault="00C66C46" w:rsidP="00346354">
      <w:pPr>
        <w:pStyle w:val="ListParagraph"/>
        <w:numPr>
          <w:ilvl w:val="3"/>
          <w:numId w:val="1"/>
        </w:numPr>
        <w:spacing w:after="120" w:line="240" w:lineRule="auto"/>
        <w:ind w:left="993" w:right="260" w:hanging="187"/>
        <w:jc w:val="both"/>
        <w:rPr>
          <w:rFonts w:ascii="Arial" w:hAnsi="Arial"/>
          <w:sz w:val="20"/>
        </w:rPr>
      </w:pPr>
      <w:r w:rsidRPr="008F3834">
        <w:rPr>
          <w:rFonts w:ascii="Arial" w:hAnsi="Arial"/>
          <w:sz w:val="20"/>
        </w:rPr>
        <w:t xml:space="preserve">J. </w:t>
      </w:r>
      <w:proofErr w:type="spellStart"/>
      <w:r w:rsidRPr="008F3834">
        <w:rPr>
          <w:rFonts w:ascii="Arial" w:hAnsi="Arial"/>
          <w:sz w:val="20"/>
        </w:rPr>
        <w:t>Bakan</w:t>
      </w:r>
      <w:proofErr w:type="spellEnd"/>
      <w:r w:rsidRPr="008F3834">
        <w:rPr>
          <w:rFonts w:ascii="Arial" w:hAnsi="Arial"/>
          <w:sz w:val="20"/>
        </w:rPr>
        <w:t xml:space="preserve"> (2005) The Corporation Constable.</w:t>
      </w:r>
    </w:p>
    <w:p w14:paraId="1F50F39E" w14:textId="3C704871" w:rsidR="00DE4F08" w:rsidRPr="008F3834" w:rsidRDefault="00C66C46" w:rsidP="00346354">
      <w:pPr>
        <w:pStyle w:val="ListParagraph"/>
        <w:numPr>
          <w:ilvl w:val="3"/>
          <w:numId w:val="1"/>
        </w:numPr>
        <w:spacing w:after="120" w:line="240" w:lineRule="auto"/>
        <w:ind w:left="993" w:right="260" w:hanging="187"/>
        <w:rPr>
          <w:rFonts w:ascii="Arial" w:hAnsi="Arial"/>
          <w:sz w:val="20"/>
        </w:rPr>
      </w:pPr>
      <w:r w:rsidRPr="008F3834">
        <w:rPr>
          <w:rFonts w:ascii="Arial" w:hAnsi="Arial"/>
          <w:sz w:val="20"/>
        </w:rPr>
        <w:t xml:space="preserve">J. </w:t>
      </w:r>
      <w:proofErr w:type="spellStart"/>
      <w:r w:rsidRPr="008F3834">
        <w:rPr>
          <w:rFonts w:ascii="Arial" w:hAnsi="Arial"/>
          <w:sz w:val="20"/>
        </w:rPr>
        <w:t>Salacuse</w:t>
      </w:r>
      <w:proofErr w:type="spellEnd"/>
      <w:r w:rsidRPr="008F3834">
        <w:rPr>
          <w:rFonts w:ascii="Arial" w:hAnsi="Arial"/>
          <w:sz w:val="20"/>
        </w:rPr>
        <w:t xml:space="preserve"> (2010) The</w:t>
      </w:r>
      <w:r w:rsidRPr="00C66C46">
        <w:rPr>
          <w:rFonts w:ascii="Arial" w:hAnsi="Arial" w:cs="Arial"/>
          <w:iCs/>
          <w:sz w:val="20"/>
          <w:szCs w:val="20"/>
        </w:rPr>
        <w:t xml:space="preserve"> </w:t>
      </w:r>
      <w:r w:rsidRPr="008F3834">
        <w:rPr>
          <w:rFonts w:ascii="Arial" w:hAnsi="Arial"/>
          <w:sz w:val="20"/>
        </w:rPr>
        <w:t>Law of Investment Treaties</w:t>
      </w:r>
      <w:r>
        <w:rPr>
          <w:rFonts w:ascii="Arial" w:hAnsi="Arial" w:cs="Arial"/>
          <w:iCs/>
          <w:sz w:val="20"/>
          <w:szCs w:val="20"/>
        </w:rPr>
        <w:br/>
      </w:r>
    </w:p>
    <w:p w14:paraId="7F9EB6DB"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14:paraId="4AF7A44B" w14:textId="77777777" w:rsidR="00C22EEF" w:rsidRDefault="0014683C" w:rsidP="008F3834">
      <w:pPr>
        <w:spacing w:after="120" w:line="240" w:lineRule="auto"/>
        <w:ind w:left="426" w:right="260"/>
        <w:rPr>
          <w:rFonts w:ascii="Arial" w:hAnsi="Arial"/>
          <w:sz w:val="20"/>
        </w:rPr>
      </w:pPr>
      <w:r>
        <w:rPr>
          <w:rFonts w:ascii="Arial" w:hAnsi="Arial"/>
          <w:sz w:val="20"/>
        </w:rPr>
        <w:t xml:space="preserve">Contact hours: </w:t>
      </w:r>
      <w:r w:rsidR="00C22EEF">
        <w:rPr>
          <w:rFonts w:ascii="Arial" w:hAnsi="Arial"/>
          <w:sz w:val="20"/>
        </w:rPr>
        <w:t>18</w:t>
      </w:r>
    </w:p>
    <w:p w14:paraId="174884D1" w14:textId="437B496C" w:rsidR="00373ACB" w:rsidRPr="008F3834" w:rsidRDefault="00C22EEF" w:rsidP="00C22EEF">
      <w:pPr>
        <w:spacing w:after="120" w:line="240" w:lineRule="auto"/>
        <w:ind w:left="426" w:right="260"/>
        <w:rPr>
          <w:rFonts w:ascii="Arial" w:hAnsi="Arial"/>
          <w:sz w:val="20"/>
        </w:rPr>
      </w:pPr>
      <w:r>
        <w:rPr>
          <w:rFonts w:ascii="Arial" w:hAnsi="Arial"/>
          <w:sz w:val="20"/>
        </w:rPr>
        <w:t>Private study hours: 182</w:t>
      </w:r>
    </w:p>
    <w:p w14:paraId="29B0CC2E" w14:textId="77777777" w:rsidR="004E362D" w:rsidRDefault="004E362D" w:rsidP="004E362D">
      <w:pPr>
        <w:spacing w:after="120" w:line="240" w:lineRule="auto"/>
        <w:ind w:left="426" w:right="260"/>
        <w:rPr>
          <w:rFonts w:ascii="Arial" w:hAnsi="Arial"/>
          <w:sz w:val="20"/>
        </w:rPr>
      </w:pPr>
      <w:r>
        <w:rPr>
          <w:rFonts w:ascii="Arial" w:hAnsi="Arial"/>
          <w:sz w:val="20"/>
        </w:rPr>
        <w:t>Total study hours: 200</w:t>
      </w:r>
    </w:p>
    <w:p w14:paraId="541C0E88" w14:textId="77777777" w:rsidR="00C66C46" w:rsidRPr="008F3834" w:rsidRDefault="00C66C46" w:rsidP="008F3834">
      <w:pPr>
        <w:spacing w:after="120" w:line="240" w:lineRule="auto"/>
        <w:ind w:right="260"/>
        <w:rPr>
          <w:rFonts w:ascii="Arial" w:hAnsi="Arial"/>
          <w:sz w:val="20"/>
        </w:rPr>
      </w:pPr>
    </w:p>
    <w:p w14:paraId="5366519E" w14:textId="79D0EE44" w:rsidR="00373ACB" w:rsidRDefault="00EF4933" w:rsidP="0066061A">
      <w:pPr>
        <w:numPr>
          <w:ilvl w:val="0"/>
          <w:numId w:val="1"/>
        </w:numPr>
        <w:spacing w:after="120" w:line="240" w:lineRule="auto"/>
        <w:ind w:left="426" w:right="260" w:hanging="426"/>
        <w:rPr>
          <w:rFonts w:ascii="Arial" w:hAnsi="Arial" w:cs="Arial"/>
          <w:b/>
          <w:i/>
          <w:iCs/>
          <w:sz w:val="20"/>
          <w:szCs w:val="20"/>
        </w:rPr>
      </w:pPr>
      <w:r w:rsidRPr="008F3834">
        <w:rPr>
          <w:rFonts w:ascii="Arial" w:hAnsi="Arial"/>
          <w:b/>
          <w:sz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04124DBE" w14:textId="4D3D377B" w:rsidR="00C22EEF" w:rsidRPr="00C22EEF" w:rsidRDefault="00C22EEF" w:rsidP="00C22EEF">
      <w:pPr>
        <w:spacing w:after="120" w:line="240" w:lineRule="auto"/>
        <w:ind w:left="426" w:right="260"/>
        <w:rPr>
          <w:rFonts w:ascii="Arial" w:hAnsi="Arial" w:cs="Arial"/>
          <w:iCs/>
          <w:sz w:val="20"/>
          <w:szCs w:val="20"/>
          <w:u w:val="single"/>
        </w:rPr>
      </w:pPr>
      <w:r w:rsidRPr="00C22EEF">
        <w:rPr>
          <w:rFonts w:ascii="Arial" w:hAnsi="Arial" w:cs="Arial"/>
          <w:iCs/>
          <w:sz w:val="20"/>
          <w:szCs w:val="20"/>
          <w:u w:val="single"/>
        </w:rPr>
        <w:t>13.1 Main assessment methods</w:t>
      </w:r>
    </w:p>
    <w:p w14:paraId="40865222" w14:textId="1B33B7DC" w:rsidR="00C22EEF" w:rsidRDefault="004E362D" w:rsidP="00346354">
      <w:pPr>
        <w:spacing w:after="120" w:line="240" w:lineRule="auto"/>
        <w:ind w:left="426" w:right="260"/>
        <w:jc w:val="both"/>
        <w:rPr>
          <w:rFonts w:ascii="Arial" w:hAnsi="Arial"/>
          <w:sz w:val="20"/>
        </w:rPr>
      </w:pPr>
      <w:r>
        <w:rPr>
          <w:rFonts w:ascii="Arial" w:hAnsi="Arial" w:cs="Arial"/>
          <w:iCs/>
          <w:sz w:val="20"/>
          <w:szCs w:val="20"/>
        </w:rPr>
        <w:t>W</w:t>
      </w:r>
      <w:r w:rsidR="00C66C46" w:rsidRPr="008F3834">
        <w:rPr>
          <w:rFonts w:ascii="Arial" w:hAnsi="Arial"/>
          <w:sz w:val="20"/>
        </w:rPr>
        <w:t xml:space="preserve">ritten essay of </w:t>
      </w:r>
      <w:r w:rsidR="00C66C46">
        <w:rPr>
          <w:rFonts w:ascii="Arial" w:hAnsi="Arial" w:cs="Arial"/>
          <w:iCs/>
          <w:sz w:val="20"/>
          <w:szCs w:val="20"/>
        </w:rPr>
        <w:t xml:space="preserve">no more than </w:t>
      </w:r>
      <w:r>
        <w:rPr>
          <w:rFonts w:ascii="Arial" w:hAnsi="Arial"/>
          <w:sz w:val="20"/>
        </w:rPr>
        <w:t>5,000 words (100%)</w:t>
      </w:r>
    </w:p>
    <w:p w14:paraId="1DB627C4" w14:textId="77777777" w:rsidR="00C22EEF" w:rsidRDefault="00C22EEF" w:rsidP="00C22EEF">
      <w:pPr>
        <w:spacing w:after="120" w:line="240" w:lineRule="auto"/>
        <w:ind w:left="426" w:right="260"/>
        <w:rPr>
          <w:rFonts w:ascii="Arial" w:hAnsi="Arial"/>
          <w:sz w:val="20"/>
        </w:rPr>
      </w:pPr>
    </w:p>
    <w:p w14:paraId="702054C1" w14:textId="77777777" w:rsidR="00C22EEF" w:rsidRPr="00C22EEF" w:rsidRDefault="00C22EEF" w:rsidP="00C22EEF">
      <w:pPr>
        <w:spacing w:after="120" w:line="240" w:lineRule="auto"/>
        <w:ind w:left="426" w:right="260"/>
        <w:rPr>
          <w:rFonts w:ascii="Arial" w:hAnsi="Arial"/>
          <w:sz w:val="20"/>
          <w:u w:val="single"/>
        </w:rPr>
      </w:pPr>
      <w:r w:rsidRPr="00C22EEF">
        <w:rPr>
          <w:rFonts w:ascii="Arial" w:hAnsi="Arial"/>
          <w:sz w:val="20"/>
          <w:u w:val="single"/>
        </w:rPr>
        <w:t>13.2 Reassessment methods</w:t>
      </w:r>
    </w:p>
    <w:p w14:paraId="62109AD8" w14:textId="0313CAC2" w:rsidR="0066061A" w:rsidRPr="008F3834" w:rsidRDefault="00C22EEF" w:rsidP="00C22EEF">
      <w:pPr>
        <w:spacing w:after="120" w:line="240" w:lineRule="auto"/>
        <w:ind w:left="426" w:right="260"/>
        <w:rPr>
          <w:rFonts w:ascii="Arial" w:hAnsi="Arial"/>
          <w:sz w:val="20"/>
        </w:rPr>
      </w:pPr>
      <w:r>
        <w:rPr>
          <w:rFonts w:ascii="Arial" w:hAnsi="Arial"/>
          <w:sz w:val="20"/>
        </w:rPr>
        <w:t>Reassessment instrument: 100% coursework</w:t>
      </w:r>
    </w:p>
    <w:p w14:paraId="321130FA" w14:textId="77777777" w:rsidR="00373ACB" w:rsidRPr="008F3834" w:rsidRDefault="00373ACB" w:rsidP="008F3834">
      <w:pPr>
        <w:spacing w:after="120" w:line="240" w:lineRule="auto"/>
        <w:ind w:left="426" w:right="260"/>
        <w:rPr>
          <w:rFonts w:ascii="Arial" w:hAnsi="Arial"/>
          <w:b/>
          <w:i/>
          <w:sz w:val="20"/>
        </w:rPr>
      </w:pPr>
    </w:p>
    <w:p w14:paraId="5890BEDC" w14:textId="77777777" w:rsidR="00274ED7" w:rsidRPr="00346354" w:rsidRDefault="006F3F8B" w:rsidP="0066061A">
      <w:pPr>
        <w:numPr>
          <w:ilvl w:val="0"/>
          <w:numId w:val="1"/>
        </w:numPr>
        <w:spacing w:after="120" w:line="240" w:lineRule="auto"/>
        <w:ind w:left="426" w:right="260" w:hanging="426"/>
        <w:rPr>
          <w:rFonts w:ascii="Arial" w:hAnsi="Arial" w:cs="Arial"/>
          <w:b/>
          <w:iCs/>
          <w:sz w:val="20"/>
          <w:szCs w:val="20"/>
        </w:rPr>
      </w:pPr>
      <w:r w:rsidRPr="00346354">
        <w:rPr>
          <w:rFonts w:ascii="Arial" w:hAnsi="Arial" w:cs="Arial"/>
          <w:b/>
          <w:iCs/>
          <w:sz w:val="20"/>
          <w:szCs w:val="20"/>
        </w:rPr>
        <w:t>Map of Module Learning Outcomes</w:t>
      </w:r>
      <w:r w:rsidR="00B30E07" w:rsidRPr="00346354">
        <w:rPr>
          <w:rFonts w:ascii="Arial" w:hAnsi="Arial" w:cs="Arial"/>
          <w:b/>
          <w:iCs/>
          <w:sz w:val="20"/>
          <w:szCs w:val="20"/>
        </w:rPr>
        <w:t xml:space="preserve"> (sections 8 &amp; 9)</w:t>
      </w:r>
      <w:r w:rsidRPr="00346354">
        <w:rPr>
          <w:rFonts w:ascii="Arial" w:hAnsi="Arial" w:cs="Arial"/>
          <w:b/>
          <w:iCs/>
          <w:sz w:val="20"/>
          <w:szCs w:val="20"/>
        </w:rPr>
        <w:t xml:space="preserve"> to Learning</w:t>
      </w:r>
      <w:r w:rsidR="00B30E07" w:rsidRPr="00346354">
        <w:rPr>
          <w:rFonts w:ascii="Arial" w:hAnsi="Arial" w:cs="Arial"/>
          <w:b/>
          <w:iCs/>
          <w:sz w:val="20"/>
          <w:szCs w:val="20"/>
        </w:rPr>
        <w:t xml:space="preserve"> and Teaching Methods (section</w:t>
      </w:r>
      <w:r w:rsidR="0066061A" w:rsidRPr="00346354">
        <w:rPr>
          <w:rFonts w:ascii="Arial" w:hAnsi="Arial" w:cs="Arial"/>
          <w:b/>
          <w:iCs/>
          <w:sz w:val="20"/>
          <w:szCs w:val="20"/>
        </w:rPr>
        <w:t xml:space="preserve"> </w:t>
      </w:r>
      <w:r w:rsidR="00B30E07" w:rsidRPr="00346354">
        <w:rPr>
          <w:rFonts w:ascii="Arial" w:hAnsi="Arial" w:cs="Arial"/>
          <w:b/>
          <w:iCs/>
          <w:sz w:val="20"/>
          <w:szCs w:val="20"/>
        </w:rPr>
        <w:t>12</w:t>
      </w:r>
      <w:r w:rsidRPr="00346354">
        <w:rPr>
          <w:rFonts w:ascii="Arial" w:hAnsi="Arial" w:cs="Arial"/>
          <w:b/>
          <w:iCs/>
          <w:sz w:val="20"/>
          <w:szCs w:val="20"/>
        </w:rPr>
        <w:t>) and m</w:t>
      </w:r>
      <w:r w:rsidR="00B30E07" w:rsidRPr="00346354">
        <w:rPr>
          <w:rFonts w:ascii="Arial" w:hAnsi="Arial" w:cs="Arial"/>
          <w:b/>
          <w:iCs/>
          <w:sz w:val="20"/>
          <w:szCs w:val="20"/>
        </w:rPr>
        <w:t>ethods of Assessment (section 13</w:t>
      </w:r>
      <w:r w:rsidR="00EF4933" w:rsidRPr="00346354">
        <w:rPr>
          <w:rFonts w:ascii="Arial" w:hAnsi="Arial" w:cs="Arial"/>
          <w:b/>
          <w:iCs/>
          <w:sz w:val="20"/>
          <w:szCs w:val="20"/>
        </w:rPr>
        <w:t>)</w:t>
      </w:r>
    </w:p>
    <w:p w14:paraId="43F6E82C"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794" w:type="pct"/>
        <w:jc w:val="center"/>
        <w:tblLayout w:type="fixed"/>
        <w:tblLook w:val="04A0" w:firstRow="1" w:lastRow="0" w:firstColumn="1" w:lastColumn="0" w:noHBand="0" w:noVBand="1"/>
      </w:tblPr>
      <w:tblGrid>
        <w:gridCol w:w="2335"/>
        <w:gridCol w:w="560"/>
        <w:gridCol w:w="560"/>
        <w:gridCol w:w="560"/>
        <w:gridCol w:w="560"/>
        <w:gridCol w:w="560"/>
        <w:gridCol w:w="560"/>
        <w:gridCol w:w="560"/>
        <w:gridCol w:w="560"/>
        <w:gridCol w:w="560"/>
        <w:gridCol w:w="559"/>
      </w:tblGrid>
      <w:tr w:rsidR="00C22EEF" w:rsidRPr="00373ACB" w14:paraId="6796C3D1" w14:textId="77777777" w:rsidTr="00C22EEF">
        <w:trPr>
          <w:trHeight w:val="397"/>
          <w:jc w:val="center"/>
        </w:trPr>
        <w:tc>
          <w:tcPr>
            <w:tcW w:w="1471" w:type="pct"/>
            <w:shd w:val="clear" w:color="auto" w:fill="D9D9D9" w:themeFill="background1" w:themeFillShade="D9"/>
            <w:vAlign w:val="center"/>
          </w:tcPr>
          <w:p w14:paraId="7235A930" w14:textId="77777777" w:rsidR="00C22EEF" w:rsidRPr="00373ACB" w:rsidRDefault="00C22EEF" w:rsidP="0066061A">
            <w:pPr>
              <w:spacing w:after="120"/>
              <w:rPr>
                <w:rFonts w:ascii="Arial" w:hAnsi="Arial" w:cs="Arial"/>
                <w:i/>
                <w:sz w:val="20"/>
                <w:szCs w:val="20"/>
              </w:rPr>
            </w:pPr>
            <w:r w:rsidRPr="00373ACB">
              <w:rPr>
                <w:rFonts w:ascii="Arial" w:hAnsi="Arial" w:cs="Arial"/>
                <w:b/>
                <w:sz w:val="20"/>
                <w:szCs w:val="20"/>
              </w:rPr>
              <w:t>Module learning outcome</w:t>
            </w:r>
          </w:p>
        </w:tc>
        <w:tc>
          <w:tcPr>
            <w:tcW w:w="353" w:type="pct"/>
            <w:vAlign w:val="center"/>
          </w:tcPr>
          <w:p w14:paraId="0FA8820A" w14:textId="1B851BF7" w:rsidR="00C22EEF" w:rsidRPr="007103E4" w:rsidRDefault="00C22EEF" w:rsidP="0066061A">
            <w:pPr>
              <w:spacing w:after="120"/>
              <w:rPr>
                <w:rFonts w:ascii="Arial" w:hAnsi="Arial" w:cs="Arial"/>
                <w:sz w:val="20"/>
                <w:szCs w:val="20"/>
              </w:rPr>
            </w:pPr>
            <w:r>
              <w:rPr>
                <w:rFonts w:ascii="Arial" w:hAnsi="Arial" w:cs="Arial"/>
                <w:sz w:val="20"/>
                <w:szCs w:val="20"/>
              </w:rPr>
              <w:t>8.1</w:t>
            </w:r>
          </w:p>
        </w:tc>
        <w:tc>
          <w:tcPr>
            <w:tcW w:w="353" w:type="pct"/>
            <w:vAlign w:val="center"/>
          </w:tcPr>
          <w:p w14:paraId="4E9166D0" w14:textId="77777777" w:rsidR="00C22EEF" w:rsidRPr="007103E4" w:rsidRDefault="00C22EEF" w:rsidP="0066061A">
            <w:pPr>
              <w:spacing w:after="120"/>
              <w:rPr>
                <w:rFonts w:ascii="Arial" w:hAnsi="Arial" w:cs="Arial"/>
                <w:sz w:val="20"/>
                <w:szCs w:val="20"/>
              </w:rPr>
            </w:pPr>
            <w:r>
              <w:rPr>
                <w:rFonts w:ascii="Arial" w:hAnsi="Arial" w:cs="Arial"/>
                <w:sz w:val="20"/>
                <w:szCs w:val="20"/>
              </w:rPr>
              <w:t>8.2</w:t>
            </w:r>
          </w:p>
        </w:tc>
        <w:tc>
          <w:tcPr>
            <w:tcW w:w="353" w:type="pct"/>
            <w:vAlign w:val="center"/>
          </w:tcPr>
          <w:p w14:paraId="3B2227B5" w14:textId="77777777" w:rsidR="00C22EEF" w:rsidRPr="007103E4" w:rsidRDefault="00C22EEF" w:rsidP="0066061A">
            <w:pPr>
              <w:spacing w:after="120"/>
              <w:rPr>
                <w:rFonts w:ascii="Arial" w:hAnsi="Arial" w:cs="Arial"/>
                <w:sz w:val="20"/>
                <w:szCs w:val="20"/>
              </w:rPr>
            </w:pPr>
            <w:r>
              <w:rPr>
                <w:rFonts w:ascii="Arial" w:hAnsi="Arial" w:cs="Arial"/>
                <w:sz w:val="20"/>
                <w:szCs w:val="20"/>
              </w:rPr>
              <w:t>8.3</w:t>
            </w:r>
          </w:p>
        </w:tc>
        <w:tc>
          <w:tcPr>
            <w:tcW w:w="353" w:type="pct"/>
            <w:vAlign w:val="center"/>
          </w:tcPr>
          <w:p w14:paraId="285A250B" w14:textId="77777777" w:rsidR="00C22EEF" w:rsidRPr="007103E4" w:rsidRDefault="00C22EEF" w:rsidP="0066061A">
            <w:pPr>
              <w:spacing w:after="120"/>
              <w:rPr>
                <w:rFonts w:ascii="Arial" w:hAnsi="Arial" w:cs="Arial"/>
                <w:sz w:val="20"/>
                <w:szCs w:val="20"/>
              </w:rPr>
            </w:pPr>
            <w:r>
              <w:rPr>
                <w:rFonts w:ascii="Arial" w:hAnsi="Arial" w:cs="Arial"/>
                <w:sz w:val="20"/>
                <w:szCs w:val="20"/>
              </w:rPr>
              <w:t>8.4</w:t>
            </w:r>
          </w:p>
        </w:tc>
        <w:tc>
          <w:tcPr>
            <w:tcW w:w="353" w:type="pct"/>
            <w:vAlign w:val="center"/>
          </w:tcPr>
          <w:p w14:paraId="254BEC1E" w14:textId="77777777" w:rsidR="00C22EEF" w:rsidRPr="007103E4" w:rsidRDefault="00C22EEF" w:rsidP="0066061A">
            <w:pPr>
              <w:spacing w:after="120"/>
              <w:rPr>
                <w:rFonts w:ascii="Arial" w:hAnsi="Arial" w:cs="Arial"/>
                <w:sz w:val="20"/>
                <w:szCs w:val="20"/>
              </w:rPr>
            </w:pPr>
            <w:r>
              <w:rPr>
                <w:rFonts w:ascii="Arial" w:hAnsi="Arial" w:cs="Arial"/>
                <w:sz w:val="20"/>
                <w:szCs w:val="20"/>
              </w:rPr>
              <w:t>9.1</w:t>
            </w:r>
          </w:p>
        </w:tc>
        <w:tc>
          <w:tcPr>
            <w:tcW w:w="353" w:type="pct"/>
            <w:vAlign w:val="center"/>
          </w:tcPr>
          <w:p w14:paraId="6CADFB8F" w14:textId="77777777" w:rsidR="00C22EEF" w:rsidRPr="007103E4" w:rsidRDefault="00C22EEF" w:rsidP="0066061A">
            <w:pPr>
              <w:spacing w:after="120"/>
              <w:rPr>
                <w:rFonts w:ascii="Arial" w:hAnsi="Arial" w:cs="Arial"/>
                <w:sz w:val="20"/>
                <w:szCs w:val="20"/>
              </w:rPr>
            </w:pPr>
            <w:r>
              <w:rPr>
                <w:rFonts w:ascii="Arial" w:hAnsi="Arial" w:cs="Arial"/>
                <w:sz w:val="20"/>
                <w:szCs w:val="20"/>
              </w:rPr>
              <w:t>9.2</w:t>
            </w:r>
          </w:p>
        </w:tc>
        <w:tc>
          <w:tcPr>
            <w:tcW w:w="353" w:type="pct"/>
            <w:vAlign w:val="center"/>
          </w:tcPr>
          <w:p w14:paraId="699893C9" w14:textId="77777777" w:rsidR="00C22EEF" w:rsidRPr="007103E4" w:rsidRDefault="00C22EEF" w:rsidP="0066061A">
            <w:pPr>
              <w:spacing w:after="120"/>
              <w:rPr>
                <w:rFonts w:ascii="Arial" w:hAnsi="Arial" w:cs="Arial"/>
                <w:sz w:val="20"/>
                <w:szCs w:val="20"/>
              </w:rPr>
            </w:pPr>
            <w:r>
              <w:rPr>
                <w:rFonts w:ascii="Arial" w:hAnsi="Arial" w:cs="Arial"/>
                <w:sz w:val="20"/>
                <w:szCs w:val="20"/>
              </w:rPr>
              <w:t>9.3</w:t>
            </w:r>
          </w:p>
        </w:tc>
        <w:tc>
          <w:tcPr>
            <w:tcW w:w="353" w:type="pct"/>
            <w:vAlign w:val="center"/>
          </w:tcPr>
          <w:p w14:paraId="1D6A6328" w14:textId="77777777" w:rsidR="00C22EEF" w:rsidRPr="007103E4" w:rsidRDefault="00C22EEF" w:rsidP="0066061A">
            <w:pPr>
              <w:spacing w:after="120"/>
              <w:rPr>
                <w:rFonts w:ascii="Arial" w:hAnsi="Arial" w:cs="Arial"/>
                <w:sz w:val="20"/>
                <w:szCs w:val="20"/>
              </w:rPr>
            </w:pPr>
            <w:r>
              <w:rPr>
                <w:rFonts w:ascii="Arial" w:hAnsi="Arial" w:cs="Arial"/>
                <w:sz w:val="20"/>
                <w:szCs w:val="20"/>
              </w:rPr>
              <w:t>9.4</w:t>
            </w:r>
          </w:p>
        </w:tc>
        <w:tc>
          <w:tcPr>
            <w:tcW w:w="353" w:type="pct"/>
            <w:vAlign w:val="center"/>
          </w:tcPr>
          <w:p w14:paraId="156AC6E8" w14:textId="77777777" w:rsidR="00C22EEF" w:rsidRPr="007103E4" w:rsidRDefault="00C22EEF" w:rsidP="0066061A">
            <w:pPr>
              <w:spacing w:after="120"/>
              <w:rPr>
                <w:rFonts w:ascii="Arial" w:hAnsi="Arial" w:cs="Arial"/>
                <w:sz w:val="20"/>
                <w:szCs w:val="20"/>
              </w:rPr>
            </w:pPr>
            <w:r>
              <w:rPr>
                <w:rFonts w:ascii="Arial" w:hAnsi="Arial" w:cs="Arial"/>
                <w:sz w:val="20"/>
                <w:szCs w:val="20"/>
              </w:rPr>
              <w:t>9.5</w:t>
            </w:r>
          </w:p>
        </w:tc>
        <w:tc>
          <w:tcPr>
            <w:tcW w:w="353" w:type="pct"/>
            <w:vAlign w:val="center"/>
          </w:tcPr>
          <w:p w14:paraId="3C5D6FCC" w14:textId="77777777" w:rsidR="00C22EEF" w:rsidRPr="007103E4" w:rsidRDefault="00C22EEF" w:rsidP="0066061A">
            <w:pPr>
              <w:spacing w:after="120"/>
              <w:rPr>
                <w:rFonts w:ascii="Arial" w:hAnsi="Arial" w:cs="Arial"/>
                <w:sz w:val="20"/>
                <w:szCs w:val="20"/>
              </w:rPr>
            </w:pPr>
            <w:r>
              <w:rPr>
                <w:rFonts w:ascii="Arial" w:hAnsi="Arial" w:cs="Arial"/>
                <w:sz w:val="20"/>
                <w:szCs w:val="20"/>
              </w:rPr>
              <w:t>9.6</w:t>
            </w:r>
          </w:p>
        </w:tc>
      </w:tr>
      <w:tr w:rsidR="00C22EEF" w:rsidRPr="00373ACB" w14:paraId="1BDBA49B" w14:textId="77777777" w:rsidTr="00C22EEF">
        <w:trPr>
          <w:trHeight w:val="397"/>
          <w:jc w:val="center"/>
        </w:trPr>
        <w:tc>
          <w:tcPr>
            <w:tcW w:w="1471" w:type="pct"/>
            <w:shd w:val="clear" w:color="auto" w:fill="D9D9D9" w:themeFill="background1" w:themeFillShade="D9"/>
            <w:vAlign w:val="center"/>
          </w:tcPr>
          <w:p w14:paraId="1DE3198C" w14:textId="77777777" w:rsidR="00C22EEF" w:rsidRPr="00373ACB" w:rsidRDefault="00C22EEF"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53" w:type="pct"/>
            <w:vAlign w:val="center"/>
          </w:tcPr>
          <w:p w14:paraId="3DF62B87" w14:textId="77777777" w:rsidR="00C22EEF" w:rsidRPr="007103E4" w:rsidRDefault="00C22EEF" w:rsidP="0066061A">
            <w:pPr>
              <w:spacing w:after="120"/>
              <w:rPr>
                <w:rFonts w:ascii="Arial" w:hAnsi="Arial" w:cs="Arial"/>
                <w:b/>
                <w:sz w:val="20"/>
                <w:szCs w:val="20"/>
              </w:rPr>
            </w:pPr>
          </w:p>
        </w:tc>
        <w:tc>
          <w:tcPr>
            <w:tcW w:w="353" w:type="pct"/>
            <w:vAlign w:val="center"/>
          </w:tcPr>
          <w:p w14:paraId="27F0A712" w14:textId="77777777" w:rsidR="00C22EEF" w:rsidRPr="007103E4" w:rsidRDefault="00C22EEF" w:rsidP="0066061A">
            <w:pPr>
              <w:spacing w:after="120"/>
              <w:rPr>
                <w:rFonts w:ascii="Arial" w:hAnsi="Arial" w:cs="Arial"/>
                <w:b/>
                <w:sz w:val="20"/>
                <w:szCs w:val="20"/>
              </w:rPr>
            </w:pPr>
          </w:p>
        </w:tc>
        <w:tc>
          <w:tcPr>
            <w:tcW w:w="353" w:type="pct"/>
            <w:vAlign w:val="center"/>
          </w:tcPr>
          <w:p w14:paraId="56462CE3" w14:textId="77777777" w:rsidR="00C22EEF" w:rsidRPr="007103E4" w:rsidRDefault="00C22EEF" w:rsidP="0066061A">
            <w:pPr>
              <w:spacing w:after="120"/>
              <w:rPr>
                <w:rFonts w:ascii="Arial" w:hAnsi="Arial" w:cs="Arial"/>
                <w:b/>
                <w:sz w:val="20"/>
                <w:szCs w:val="20"/>
              </w:rPr>
            </w:pPr>
          </w:p>
        </w:tc>
        <w:tc>
          <w:tcPr>
            <w:tcW w:w="353" w:type="pct"/>
            <w:vAlign w:val="center"/>
          </w:tcPr>
          <w:p w14:paraId="5D34E804" w14:textId="77777777" w:rsidR="00C22EEF" w:rsidRPr="007103E4" w:rsidRDefault="00C22EEF" w:rsidP="0066061A">
            <w:pPr>
              <w:spacing w:after="120"/>
              <w:rPr>
                <w:rFonts w:ascii="Arial" w:hAnsi="Arial" w:cs="Arial"/>
                <w:b/>
                <w:sz w:val="20"/>
                <w:szCs w:val="20"/>
              </w:rPr>
            </w:pPr>
          </w:p>
        </w:tc>
        <w:tc>
          <w:tcPr>
            <w:tcW w:w="353" w:type="pct"/>
            <w:vAlign w:val="center"/>
          </w:tcPr>
          <w:p w14:paraId="51B5BC57" w14:textId="77777777" w:rsidR="00C22EEF" w:rsidRPr="007103E4" w:rsidRDefault="00C22EEF" w:rsidP="0066061A">
            <w:pPr>
              <w:spacing w:after="120"/>
              <w:rPr>
                <w:rFonts w:ascii="Arial" w:hAnsi="Arial" w:cs="Arial"/>
                <w:b/>
                <w:sz w:val="20"/>
                <w:szCs w:val="20"/>
              </w:rPr>
            </w:pPr>
          </w:p>
        </w:tc>
        <w:tc>
          <w:tcPr>
            <w:tcW w:w="353" w:type="pct"/>
            <w:vAlign w:val="center"/>
          </w:tcPr>
          <w:p w14:paraId="44073C1C" w14:textId="77777777" w:rsidR="00C22EEF" w:rsidRPr="007103E4" w:rsidRDefault="00C22EEF" w:rsidP="0066061A">
            <w:pPr>
              <w:spacing w:after="120"/>
              <w:rPr>
                <w:rFonts w:ascii="Arial" w:hAnsi="Arial" w:cs="Arial"/>
                <w:b/>
                <w:sz w:val="20"/>
                <w:szCs w:val="20"/>
              </w:rPr>
            </w:pPr>
          </w:p>
        </w:tc>
        <w:tc>
          <w:tcPr>
            <w:tcW w:w="353" w:type="pct"/>
            <w:vAlign w:val="center"/>
          </w:tcPr>
          <w:p w14:paraId="6499C43A" w14:textId="77777777" w:rsidR="00C22EEF" w:rsidRPr="007103E4" w:rsidRDefault="00C22EEF" w:rsidP="0066061A">
            <w:pPr>
              <w:spacing w:after="120"/>
              <w:rPr>
                <w:rFonts w:ascii="Arial" w:hAnsi="Arial" w:cs="Arial"/>
                <w:b/>
                <w:sz w:val="20"/>
                <w:szCs w:val="20"/>
              </w:rPr>
            </w:pPr>
          </w:p>
        </w:tc>
        <w:tc>
          <w:tcPr>
            <w:tcW w:w="353" w:type="pct"/>
            <w:vAlign w:val="center"/>
          </w:tcPr>
          <w:p w14:paraId="7A09DEE7" w14:textId="77777777" w:rsidR="00C22EEF" w:rsidRPr="007103E4" w:rsidRDefault="00C22EEF" w:rsidP="0066061A">
            <w:pPr>
              <w:spacing w:after="120"/>
              <w:rPr>
                <w:rFonts w:ascii="Arial" w:hAnsi="Arial" w:cs="Arial"/>
                <w:b/>
                <w:sz w:val="20"/>
                <w:szCs w:val="20"/>
              </w:rPr>
            </w:pPr>
          </w:p>
        </w:tc>
        <w:tc>
          <w:tcPr>
            <w:tcW w:w="353" w:type="pct"/>
            <w:vAlign w:val="center"/>
          </w:tcPr>
          <w:p w14:paraId="67B92B18" w14:textId="77777777" w:rsidR="00C22EEF" w:rsidRPr="007103E4" w:rsidRDefault="00C22EEF" w:rsidP="0066061A">
            <w:pPr>
              <w:spacing w:after="120"/>
              <w:rPr>
                <w:rFonts w:ascii="Arial" w:hAnsi="Arial" w:cs="Arial"/>
                <w:b/>
                <w:sz w:val="20"/>
                <w:szCs w:val="20"/>
              </w:rPr>
            </w:pPr>
          </w:p>
        </w:tc>
        <w:tc>
          <w:tcPr>
            <w:tcW w:w="353" w:type="pct"/>
            <w:vAlign w:val="center"/>
          </w:tcPr>
          <w:p w14:paraId="45B71634" w14:textId="77777777" w:rsidR="00C22EEF" w:rsidRPr="007103E4" w:rsidRDefault="00C22EEF" w:rsidP="0066061A">
            <w:pPr>
              <w:spacing w:after="120"/>
              <w:rPr>
                <w:rFonts w:ascii="Arial" w:hAnsi="Arial" w:cs="Arial"/>
                <w:b/>
                <w:sz w:val="20"/>
                <w:szCs w:val="20"/>
              </w:rPr>
            </w:pPr>
          </w:p>
        </w:tc>
      </w:tr>
      <w:tr w:rsidR="00C22EEF" w:rsidRPr="00373ACB" w14:paraId="59CA0971" w14:textId="77777777" w:rsidTr="00C22EEF">
        <w:trPr>
          <w:trHeight w:val="397"/>
          <w:jc w:val="center"/>
        </w:trPr>
        <w:tc>
          <w:tcPr>
            <w:tcW w:w="1471" w:type="pct"/>
            <w:vAlign w:val="center"/>
          </w:tcPr>
          <w:p w14:paraId="54468E5F" w14:textId="77777777" w:rsidR="00C22EEF" w:rsidRPr="007103E4" w:rsidRDefault="00C22EEF" w:rsidP="0066061A">
            <w:pPr>
              <w:spacing w:after="120"/>
              <w:rPr>
                <w:rFonts w:ascii="Arial" w:hAnsi="Arial" w:cs="Arial"/>
                <w:sz w:val="20"/>
                <w:szCs w:val="20"/>
              </w:rPr>
            </w:pPr>
            <w:r>
              <w:rPr>
                <w:rFonts w:ascii="Arial" w:hAnsi="Arial" w:cs="Arial"/>
                <w:sz w:val="20"/>
                <w:szCs w:val="20"/>
              </w:rPr>
              <w:t xml:space="preserve">Combined </w:t>
            </w:r>
            <w:r w:rsidRPr="007103E4">
              <w:rPr>
                <w:rFonts w:ascii="Arial" w:hAnsi="Arial" w:cs="Arial"/>
                <w:sz w:val="20"/>
                <w:szCs w:val="20"/>
              </w:rPr>
              <w:t>Lectures</w:t>
            </w:r>
            <w:r>
              <w:rPr>
                <w:rFonts w:ascii="Arial" w:hAnsi="Arial" w:cs="Arial"/>
                <w:sz w:val="20"/>
                <w:szCs w:val="20"/>
              </w:rPr>
              <w:t>/Seminars</w:t>
            </w:r>
          </w:p>
        </w:tc>
        <w:tc>
          <w:tcPr>
            <w:tcW w:w="353" w:type="pct"/>
            <w:vAlign w:val="center"/>
          </w:tcPr>
          <w:p w14:paraId="2F2E5653"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1FB26E98"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1B4978CA"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CABA05E"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0F341ED4"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D8F550D"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EBEA9BD" w14:textId="77777777" w:rsidR="00C22EEF" w:rsidRPr="007103E4" w:rsidRDefault="00C22EEF" w:rsidP="0066061A">
            <w:pPr>
              <w:spacing w:after="120"/>
              <w:rPr>
                <w:rFonts w:ascii="Arial" w:hAnsi="Arial" w:cs="Arial"/>
                <w:sz w:val="20"/>
                <w:szCs w:val="20"/>
              </w:rPr>
            </w:pPr>
          </w:p>
        </w:tc>
        <w:tc>
          <w:tcPr>
            <w:tcW w:w="353" w:type="pct"/>
            <w:vAlign w:val="center"/>
          </w:tcPr>
          <w:p w14:paraId="5382A594"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6170A83"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4CFB2512"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r>
      <w:tr w:rsidR="00C22EEF" w:rsidRPr="00373ACB" w14:paraId="1F363CF9" w14:textId="77777777" w:rsidTr="00C22EEF">
        <w:trPr>
          <w:trHeight w:val="397"/>
          <w:jc w:val="center"/>
        </w:trPr>
        <w:tc>
          <w:tcPr>
            <w:tcW w:w="1471" w:type="pct"/>
            <w:vAlign w:val="center"/>
          </w:tcPr>
          <w:p w14:paraId="36D90F17" w14:textId="77777777" w:rsidR="00C22EEF" w:rsidRPr="007103E4" w:rsidRDefault="00C22EEF" w:rsidP="0066061A">
            <w:pPr>
              <w:spacing w:after="120"/>
              <w:rPr>
                <w:rFonts w:ascii="Arial" w:hAnsi="Arial" w:cs="Arial"/>
                <w:sz w:val="20"/>
                <w:szCs w:val="20"/>
              </w:rPr>
            </w:pPr>
            <w:r>
              <w:rPr>
                <w:rFonts w:ascii="Arial" w:hAnsi="Arial" w:cs="Arial"/>
                <w:sz w:val="20"/>
                <w:szCs w:val="20"/>
              </w:rPr>
              <w:t>Private Study</w:t>
            </w:r>
          </w:p>
        </w:tc>
        <w:tc>
          <w:tcPr>
            <w:tcW w:w="353" w:type="pct"/>
            <w:vAlign w:val="center"/>
          </w:tcPr>
          <w:p w14:paraId="5B046724"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2F5A44C"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4ACD7BE"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5DD6F95"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7B0EA5FB"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7C027BE0"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06573D96"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BE244AF"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1271D953"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4AB0046"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r>
      <w:tr w:rsidR="00C22EEF" w:rsidRPr="00373ACB" w14:paraId="1F9D6D91" w14:textId="77777777" w:rsidTr="00C22EEF">
        <w:trPr>
          <w:trHeight w:val="397"/>
          <w:jc w:val="center"/>
        </w:trPr>
        <w:tc>
          <w:tcPr>
            <w:tcW w:w="1471" w:type="pct"/>
            <w:shd w:val="clear" w:color="auto" w:fill="D9D9D9" w:themeFill="background1" w:themeFillShade="D9"/>
            <w:vAlign w:val="center"/>
          </w:tcPr>
          <w:p w14:paraId="7ECDD121" w14:textId="77777777" w:rsidR="00C22EEF" w:rsidRPr="00373ACB" w:rsidRDefault="00C22EEF" w:rsidP="0066061A">
            <w:pPr>
              <w:spacing w:after="120"/>
              <w:rPr>
                <w:rFonts w:ascii="Arial" w:hAnsi="Arial" w:cs="Arial"/>
                <w:b/>
                <w:sz w:val="20"/>
                <w:szCs w:val="20"/>
              </w:rPr>
            </w:pPr>
            <w:r w:rsidRPr="00373ACB">
              <w:rPr>
                <w:rFonts w:ascii="Arial" w:hAnsi="Arial" w:cs="Arial"/>
                <w:b/>
                <w:sz w:val="20"/>
                <w:szCs w:val="20"/>
              </w:rPr>
              <w:t>Assessment method</w:t>
            </w:r>
          </w:p>
        </w:tc>
        <w:tc>
          <w:tcPr>
            <w:tcW w:w="353" w:type="pct"/>
            <w:vAlign w:val="center"/>
          </w:tcPr>
          <w:p w14:paraId="0AA7E0EE" w14:textId="77777777" w:rsidR="00C22EEF" w:rsidRPr="007103E4" w:rsidRDefault="00C22EEF" w:rsidP="0066061A">
            <w:pPr>
              <w:spacing w:after="120"/>
              <w:rPr>
                <w:rFonts w:ascii="Arial" w:hAnsi="Arial" w:cs="Arial"/>
                <w:b/>
                <w:sz w:val="20"/>
                <w:szCs w:val="20"/>
              </w:rPr>
            </w:pPr>
          </w:p>
        </w:tc>
        <w:tc>
          <w:tcPr>
            <w:tcW w:w="353" w:type="pct"/>
            <w:vAlign w:val="center"/>
          </w:tcPr>
          <w:p w14:paraId="656CC640" w14:textId="77777777" w:rsidR="00C22EEF" w:rsidRPr="007103E4" w:rsidRDefault="00C22EEF" w:rsidP="0066061A">
            <w:pPr>
              <w:spacing w:after="120"/>
              <w:rPr>
                <w:rFonts w:ascii="Arial" w:hAnsi="Arial" w:cs="Arial"/>
                <w:b/>
                <w:sz w:val="20"/>
                <w:szCs w:val="20"/>
              </w:rPr>
            </w:pPr>
          </w:p>
        </w:tc>
        <w:tc>
          <w:tcPr>
            <w:tcW w:w="353" w:type="pct"/>
            <w:vAlign w:val="center"/>
          </w:tcPr>
          <w:p w14:paraId="18FE8382" w14:textId="77777777" w:rsidR="00C22EEF" w:rsidRPr="007103E4" w:rsidRDefault="00C22EEF" w:rsidP="0066061A">
            <w:pPr>
              <w:spacing w:after="120"/>
              <w:rPr>
                <w:rFonts w:ascii="Arial" w:hAnsi="Arial" w:cs="Arial"/>
                <w:b/>
                <w:sz w:val="20"/>
                <w:szCs w:val="20"/>
              </w:rPr>
            </w:pPr>
          </w:p>
        </w:tc>
        <w:tc>
          <w:tcPr>
            <w:tcW w:w="353" w:type="pct"/>
            <w:vAlign w:val="center"/>
          </w:tcPr>
          <w:p w14:paraId="7707C82C" w14:textId="77777777" w:rsidR="00C22EEF" w:rsidRPr="007103E4" w:rsidRDefault="00C22EEF" w:rsidP="0066061A">
            <w:pPr>
              <w:spacing w:after="120"/>
              <w:rPr>
                <w:rFonts w:ascii="Arial" w:hAnsi="Arial" w:cs="Arial"/>
                <w:b/>
                <w:sz w:val="20"/>
                <w:szCs w:val="20"/>
              </w:rPr>
            </w:pPr>
          </w:p>
        </w:tc>
        <w:tc>
          <w:tcPr>
            <w:tcW w:w="353" w:type="pct"/>
            <w:vAlign w:val="center"/>
          </w:tcPr>
          <w:p w14:paraId="009737CD" w14:textId="77777777" w:rsidR="00C22EEF" w:rsidRPr="007103E4" w:rsidRDefault="00C22EEF" w:rsidP="0066061A">
            <w:pPr>
              <w:spacing w:after="120"/>
              <w:rPr>
                <w:rFonts w:ascii="Arial" w:hAnsi="Arial" w:cs="Arial"/>
                <w:b/>
                <w:sz w:val="20"/>
                <w:szCs w:val="20"/>
              </w:rPr>
            </w:pPr>
          </w:p>
        </w:tc>
        <w:tc>
          <w:tcPr>
            <w:tcW w:w="353" w:type="pct"/>
            <w:vAlign w:val="center"/>
          </w:tcPr>
          <w:p w14:paraId="444451AB" w14:textId="77777777" w:rsidR="00C22EEF" w:rsidRPr="007103E4" w:rsidRDefault="00C22EEF" w:rsidP="0066061A">
            <w:pPr>
              <w:spacing w:after="120"/>
              <w:rPr>
                <w:rFonts w:ascii="Arial" w:hAnsi="Arial" w:cs="Arial"/>
                <w:b/>
                <w:sz w:val="20"/>
                <w:szCs w:val="20"/>
              </w:rPr>
            </w:pPr>
          </w:p>
        </w:tc>
        <w:tc>
          <w:tcPr>
            <w:tcW w:w="353" w:type="pct"/>
            <w:vAlign w:val="center"/>
          </w:tcPr>
          <w:p w14:paraId="0BFDEEAF" w14:textId="77777777" w:rsidR="00C22EEF" w:rsidRPr="007103E4" w:rsidRDefault="00C22EEF" w:rsidP="0066061A">
            <w:pPr>
              <w:spacing w:after="120"/>
              <w:rPr>
                <w:rFonts w:ascii="Arial" w:hAnsi="Arial" w:cs="Arial"/>
                <w:b/>
                <w:sz w:val="20"/>
                <w:szCs w:val="20"/>
              </w:rPr>
            </w:pPr>
          </w:p>
        </w:tc>
        <w:tc>
          <w:tcPr>
            <w:tcW w:w="353" w:type="pct"/>
            <w:vAlign w:val="center"/>
          </w:tcPr>
          <w:p w14:paraId="27BA5B2F" w14:textId="77777777" w:rsidR="00C22EEF" w:rsidRPr="007103E4" w:rsidRDefault="00C22EEF" w:rsidP="0066061A">
            <w:pPr>
              <w:spacing w:after="120"/>
              <w:rPr>
                <w:rFonts w:ascii="Arial" w:hAnsi="Arial" w:cs="Arial"/>
                <w:b/>
                <w:sz w:val="20"/>
                <w:szCs w:val="20"/>
              </w:rPr>
            </w:pPr>
          </w:p>
        </w:tc>
        <w:tc>
          <w:tcPr>
            <w:tcW w:w="353" w:type="pct"/>
            <w:vAlign w:val="center"/>
          </w:tcPr>
          <w:p w14:paraId="3348E8FA" w14:textId="77777777" w:rsidR="00C22EEF" w:rsidRPr="007103E4" w:rsidRDefault="00C22EEF" w:rsidP="0066061A">
            <w:pPr>
              <w:spacing w:after="120"/>
              <w:rPr>
                <w:rFonts w:ascii="Arial" w:hAnsi="Arial" w:cs="Arial"/>
                <w:b/>
                <w:sz w:val="20"/>
                <w:szCs w:val="20"/>
              </w:rPr>
            </w:pPr>
          </w:p>
        </w:tc>
        <w:tc>
          <w:tcPr>
            <w:tcW w:w="353" w:type="pct"/>
            <w:vAlign w:val="center"/>
          </w:tcPr>
          <w:p w14:paraId="0F1E7C91" w14:textId="77777777" w:rsidR="00C22EEF" w:rsidRPr="007103E4" w:rsidRDefault="00C22EEF" w:rsidP="0066061A">
            <w:pPr>
              <w:spacing w:after="120"/>
              <w:rPr>
                <w:rFonts w:ascii="Arial" w:hAnsi="Arial" w:cs="Arial"/>
                <w:b/>
                <w:sz w:val="20"/>
                <w:szCs w:val="20"/>
              </w:rPr>
            </w:pPr>
          </w:p>
        </w:tc>
      </w:tr>
      <w:tr w:rsidR="00C22EEF" w:rsidRPr="00373ACB" w14:paraId="5F2A3A6F" w14:textId="77777777" w:rsidTr="00C22EEF">
        <w:trPr>
          <w:trHeight w:val="397"/>
          <w:jc w:val="center"/>
        </w:trPr>
        <w:tc>
          <w:tcPr>
            <w:tcW w:w="1471" w:type="pct"/>
            <w:vAlign w:val="center"/>
          </w:tcPr>
          <w:p w14:paraId="75811190" w14:textId="77777777" w:rsidR="00C22EEF" w:rsidRPr="00D71DF4" w:rsidRDefault="00C22EEF" w:rsidP="0066061A">
            <w:pPr>
              <w:spacing w:after="120"/>
              <w:rPr>
                <w:rFonts w:ascii="Arial" w:hAnsi="Arial" w:cs="Arial"/>
                <w:sz w:val="20"/>
                <w:szCs w:val="20"/>
              </w:rPr>
            </w:pPr>
            <w:r>
              <w:rPr>
                <w:rFonts w:ascii="Arial" w:hAnsi="Arial" w:cs="Arial"/>
                <w:sz w:val="20"/>
                <w:szCs w:val="20"/>
              </w:rPr>
              <w:t>Essay</w:t>
            </w:r>
          </w:p>
        </w:tc>
        <w:tc>
          <w:tcPr>
            <w:tcW w:w="353" w:type="pct"/>
            <w:vAlign w:val="center"/>
          </w:tcPr>
          <w:p w14:paraId="53BF745F"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72E0437D"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208A1097"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BAB4632"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24B0E819"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1C4CB58"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65B9B4A6"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205441A9"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5B67C5D0"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c>
          <w:tcPr>
            <w:tcW w:w="353" w:type="pct"/>
            <w:vAlign w:val="center"/>
          </w:tcPr>
          <w:p w14:paraId="371C991A" w14:textId="77777777" w:rsidR="00C22EEF" w:rsidRPr="007103E4" w:rsidRDefault="00C22EEF" w:rsidP="0066061A">
            <w:pPr>
              <w:spacing w:after="120"/>
              <w:rPr>
                <w:rFonts w:ascii="Arial" w:hAnsi="Arial" w:cs="Arial"/>
                <w:sz w:val="20"/>
                <w:szCs w:val="20"/>
              </w:rPr>
            </w:pPr>
            <w:r>
              <w:rPr>
                <w:rFonts w:ascii="Arial" w:hAnsi="Arial" w:cs="Arial"/>
                <w:sz w:val="20"/>
                <w:szCs w:val="20"/>
              </w:rPr>
              <w:t>X</w:t>
            </w:r>
          </w:p>
        </w:tc>
      </w:tr>
    </w:tbl>
    <w:p w14:paraId="721092CE" w14:textId="77777777" w:rsidR="007A6245" w:rsidRPr="008F3834" w:rsidRDefault="007A6245" w:rsidP="008F3834">
      <w:pPr>
        <w:spacing w:after="120" w:line="240" w:lineRule="auto"/>
        <w:ind w:left="426" w:right="260"/>
        <w:rPr>
          <w:rFonts w:ascii="Arial" w:hAnsi="Arial"/>
          <w:b/>
          <w:sz w:val="20"/>
        </w:rPr>
      </w:pPr>
    </w:p>
    <w:p w14:paraId="107527AC" w14:textId="78BCA42D" w:rsidR="00A14C85" w:rsidRPr="00A14C85" w:rsidRDefault="00A14C85" w:rsidP="00346354">
      <w:pPr>
        <w:numPr>
          <w:ilvl w:val="0"/>
          <w:numId w:val="1"/>
        </w:numPr>
        <w:spacing w:after="120" w:line="240" w:lineRule="auto"/>
        <w:ind w:left="426" w:right="260" w:hanging="426"/>
        <w:jc w:val="both"/>
        <w:rPr>
          <w:rFonts w:ascii="Arial" w:hAnsi="Arial" w:cs="Arial"/>
          <w:b/>
          <w:sz w:val="20"/>
          <w:szCs w:val="20"/>
        </w:rPr>
      </w:pPr>
      <w:r w:rsidRPr="00A14C85">
        <w:rPr>
          <w:rFonts w:ascii="Arial" w:hAnsi="Arial" w:cs="Arial"/>
          <w:b/>
          <w:sz w:val="20"/>
          <w:szCs w:val="20"/>
        </w:rPr>
        <w:t>Inclusive Module Design</w:t>
      </w:r>
    </w:p>
    <w:p w14:paraId="0A7369A5" w14:textId="77777777" w:rsidR="00346354" w:rsidRDefault="009A2D37" w:rsidP="00A14C85">
      <w:pPr>
        <w:spacing w:after="120" w:line="240" w:lineRule="auto"/>
        <w:ind w:left="426" w:right="260"/>
        <w:jc w:val="both"/>
        <w:rPr>
          <w:rFonts w:ascii="Arial" w:hAnsi="Arial" w:cs="Arial"/>
          <w:sz w:val="20"/>
          <w:szCs w:val="20"/>
        </w:rPr>
      </w:pPr>
      <w:r w:rsidRPr="00C22EEF">
        <w:rPr>
          <w:rFonts w:ascii="Arial" w:hAnsi="Arial"/>
          <w:sz w:val="20"/>
        </w:rPr>
        <w:t xml:space="preserve">The </w:t>
      </w:r>
      <w:proofErr w:type="gramStart"/>
      <w:r w:rsidR="00C22EEF" w:rsidRPr="00DF2132">
        <w:rPr>
          <w:rFonts w:ascii="Arial" w:hAnsi="Arial" w:cs="Arial"/>
          <w:sz w:val="20"/>
          <w:szCs w:val="20"/>
        </w:rPr>
        <w:t>School</w:t>
      </w:r>
      <w:proofErr w:type="gramEnd"/>
      <w:r w:rsidR="00C22EEF"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346354">
        <w:rPr>
          <w:rFonts w:ascii="Arial" w:hAnsi="Arial" w:cs="Arial"/>
          <w:sz w:val="20"/>
          <w:szCs w:val="20"/>
        </w:rPr>
        <w:t xml:space="preserve"> policies and support services.</w:t>
      </w:r>
    </w:p>
    <w:p w14:paraId="490AC5A0" w14:textId="77777777" w:rsidR="00346354" w:rsidRDefault="00346354" w:rsidP="00346354">
      <w:pPr>
        <w:spacing w:after="120" w:line="240" w:lineRule="auto"/>
        <w:ind w:left="426" w:right="260"/>
        <w:jc w:val="both"/>
        <w:rPr>
          <w:rFonts w:ascii="Arial" w:hAnsi="Arial" w:cs="Arial"/>
          <w:sz w:val="20"/>
          <w:szCs w:val="20"/>
        </w:rPr>
      </w:pPr>
    </w:p>
    <w:p w14:paraId="09528CD0" w14:textId="24A42ACD" w:rsidR="00C22EEF" w:rsidRPr="00346354" w:rsidRDefault="00C22EEF" w:rsidP="00346354">
      <w:pPr>
        <w:spacing w:after="120" w:line="240" w:lineRule="auto"/>
        <w:ind w:left="426" w:right="260"/>
        <w:jc w:val="both"/>
        <w:rPr>
          <w:rFonts w:ascii="Arial" w:hAnsi="Arial" w:cs="Arial"/>
          <w:sz w:val="20"/>
          <w:szCs w:val="20"/>
        </w:rPr>
      </w:pPr>
      <w:r w:rsidRPr="00346354">
        <w:rPr>
          <w:rFonts w:ascii="Arial" w:hAnsi="Arial" w:cs="Arial"/>
          <w:sz w:val="20"/>
          <w:szCs w:val="20"/>
        </w:rPr>
        <w:t xml:space="preserve">The inclusive practices in the guidance (see Annex B Appendix A) have been considered </w:t>
      </w:r>
      <w:proofErr w:type="gramStart"/>
      <w:r w:rsidRPr="00346354">
        <w:rPr>
          <w:rFonts w:ascii="Arial" w:hAnsi="Arial" w:cs="Arial"/>
          <w:sz w:val="20"/>
          <w:szCs w:val="20"/>
        </w:rPr>
        <w:t>in order to</w:t>
      </w:r>
      <w:proofErr w:type="gramEnd"/>
      <w:r w:rsidRPr="00346354">
        <w:rPr>
          <w:rFonts w:ascii="Arial" w:hAnsi="Arial" w:cs="Arial"/>
          <w:sz w:val="20"/>
          <w:szCs w:val="20"/>
        </w:rPr>
        <w:t xml:space="preserve"> support all students in the following areas:</w:t>
      </w:r>
    </w:p>
    <w:p w14:paraId="3EF0BBB7" w14:textId="77777777" w:rsidR="00C22EEF" w:rsidRPr="00A7491F" w:rsidRDefault="00C22EEF" w:rsidP="00C22EEF">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45E1F24" w14:textId="77777777" w:rsidR="00C22EEF" w:rsidRPr="00D023E6"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9DD82BE" w14:textId="77777777" w:rsidR="00C22EEF" w:rsidRPr="00D023E6"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1ED849E" w14:textId="77777777" w:rsidR="00C22EEF" w:rsidRPr="00D023E6"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0059A2E" w14:textId="77777777" w:rsidR="00C22EEF" w:rsidRDefault="00C22EEF" w:rsidP="00346354">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21F8CF6C" w14:textId="3268D6F3" w:rsidR="00C22EEF" w:rsidRPr="00971465" w:rsidRDefault="00C5384E" w:rsidP="00C5384E">
      <w:pPr>
        <w:pStyle w:val="ListParagraph"/>
        <w:numPr>
          <w:ilvl w:val="0"/>
          <w:numId w:val="20"/>
        </w:numPr>
        <w:spacing w:after="120" w:line="240" w:lineRule="auto"/>
        <w:ind w:right="260"/>
        <w:jc w:val="both"/>
        <w:rPr>
          <w:rFonts w:ascii="Arial" w:hAnsi="Arial" w:cs="Arial"/>
          <w:sz w:val="20"/>
          <w:szCs w:val="20"/>
        </w:rPr>
      </w:pPr>
      <w:r w:rsidRPr="00C5384E">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C22EEF" w:rsidRPr="00971465">
        <w:rPr>
          <w:rFonts w:ascii="Arial" w:hAnsi="Arial" w:cs="Arial"/>
          <w:sz w:val="20"/>
          <w:szCs w:val="20"/>
        </w:rPr>
        <w:br/>
      </w:r>
    </w:p>
    <w:p w14:paraId="613A2DAF" w14:textId="77777777" w:rsidR="00C22EEF" w:rsidRPr="00A7491F" w:rsidRDefault="00C22EEF" w:rsidP="00C22EEF">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00DCEAEA" w14:textId="471EF9FE" w:rsidR="009A2D37" w:rsidRPr="00C22EEF" w:rsidRDefault="00C22EEF" w:rsidP="00346354">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C5384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362CD313" w14:textId="77777777" w:rsidR="009A2D37" w:rsidRPr="008F3834" w:rsidRDefault="009A2D37" w:rsidP="008F3834">
      <w:pPr>
        <w:spacing w:after="120" w:line="240" w:lineRule="auto"/>
        <w:ind w:left="426" w:right="260"/>
        <w:rPr>
          <w:rFonts w:ascii="Arial" w:hAnsi="Arial"/>
          <w:sz w:val="20"/>
        </w:rPr>
      </w:pPr>
    </w:p>
    <w:p w14:paraId="70AA3EFE" w14:textId="61F0DA52"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8F3834">
        <w:rPr>
          <w:rFonts w:ascii="Arial" w:hAnsi="Arial"/>
          <w:b/>
          <w:sz w:val="20"/>
        </w:rPr>
        <w:t>Campus</w:t>
      </w:r>
      <w:r w:rsidRPr="00373ACB">
        <w:rPr>
          <w:rFonts w:ascii="Arial" w:hAnsi="Arial" w:cs="Arial"/>
          <w:b/>
          <w:sz w:val="20"/>
          <w:szCs w:val="20"/>
        </w:rPr>
        <w:t>(es) or Centre(s)</w:t>
      </w:r>
      <w:r w:rsidRPr="008F3834">
        <w:rPr>
          <w:rFonts w:ascii="Arial" w:hAnsi="Arial"/>
          <w:b/>
          <w:sz w:val="20"/>
        </w:rPr>
        <w:t xml:space="preserve"> where module will be delivered:</w:t>
      </w:r>
    </w:p>
    <w:p w14:paraId="4E3F7954" w14:textId="77777777" w:rsidR="009A2D37" w:rsidRDefault="0066061A" w:rsidP="008F3834">
      <w:pPr>
        <w:spacing w:after="120" w:line="240" w:lineRule="auto"/>
        <w:ind w:left="426" w:right="260"/>
        <w:rPr>
          <w:rFonts w:ascii="Arial" w:hAnsi="Arial" w:cs="Arial"/>
          <w:iCs/>
          <w:sz w:val="20"/>
          <w:szCs w:val="20"/>
        </w:rPr>
      </w:pPr>
      <w:r w:rsidRPr="008F3834">
        <w:rPr>
          <w:rFonts w:ascii="Arial" w:hAnsi="Arial"/>
          <w:sz w:val="20"/>
        </w:rPr>
        <w:t>Canterbury</w:t>
      </w:r>
      <w:r w:rsidR="00C66C46" w:rsidRPr="008F3834">
        <w:rPr>
          <w:rFonts w:ascii="Arial" w:hAnsi="Arial"/>
          <w:sz w:val="20"/>
        </w:rPr>
        <w:t xml:space="preserve"> </w:t>
      </w:r>
      <w:r w:rsidR="00C66C46">
        <w:rPr>
          <w:rFonts w:ascii="Arial" w:hAnsi="Arial" w:cs="Arial"/>
          <w:iCs/>
          <w:sz w:val="20"/>
          <w:szCs w:val="20"/>
        </w:rPr>
        <w:t>and Brussels</w:t>
      </w:r>
    </w:p>
    <w:p w14:paraId="75F4471C" w14:textId="77777777" w:rsidR="00C22EEF" w:rsidRDefault="00C22EEF" w:rsidP="008F3834">
      <w:pPr>
        <w:spacing w:after="120" w:line="240" w:lineRule="auto"/>
        <w:ind w:left="426" w:right="260"/>
        <w:rPr>
          <w:rFonts w:ascii="Arial" w:hAnsi="Arial" w:cs="Arial"/>
          <w:iCs/>
          <w:sz w:val="20"/>
          <w:szCs w:val="20"/>
        </w:rPr>
      </w:pPr>
    </w:p>
    <w:p w14:paraId="3758F5A8" w14:textId="6AD50ADD" w:rsidR="00C22EEF" w:rsidRPr="00C22EEF" w:rsidRDefault="00C22EEF" w:rsidP="00C22EEF">
      <w:pPr>
        <w:numPr>
          <w:ilvl w:val="0"/>
          <w:numId w:val="1"/>
        </w:numPr>
        <w:spacing w:after="120" w:line="240" w:lineRule="auto"/>
        <w:ind w:left="426" w:right="260" w:hanging="426"/>
        <w:jc w:val="both"/>
        <w:rPr>
          <w:rFonts w:ascii="Arial" w:hAnsi="Arial"/>
          <w:sz w:val="20"/>
        </w:rPr>
      </w:pPr>
      <w:r w:rsidRPr="00C22EEF">
        <w:rPr>
          <w:rFonts w:ascii="Arial" w:hAnsi="Arial"/>
          <w:b/>
          <w:sz w:val="20"/>
        </w:rPr>
        <w:lastRenderedPageBreak/>
        <w:t>Internationalisation</w:t>
      </w:r>
    </w:p>
    <w:p w14:paraId="4646F11A" w14:textId="359E4188" w:rsidR="00C22EEF" w:rsidRDefault="00C22EEF" w:rsidP="00C22EEF">
      <w:pPr>
        <w:spacing w:after="120" w:line="240" w:lineRule="auto"/>
        <w:ind w:left="426" w:right="260"/>
        <w:jc w:val="both"/>
        <w:rPr>
          <w:rFonts w:ascii="Arial" w:hAnsi="Arial"/>
          <w:sz w:val="20"/>
        </w:rPr>
      </w:pPr>
      <w:r w:rsidRPr="00257064">
        <w:rPr>
          <w:rFonts w:ascii="Arial" w:hAnsi="Arial"/>
          <w:sz w:val="20"/>
        </w:rPr>
        <w:t>The module is about international foreign investment law</w:t>
      </w:r>
      <w:r w:rsidR="00257064" w:rsidRPr="00257064">
        <w:rPr>
          <w:rFonts w:ascii="Arial" w:hAnsi="Arial"/>
          <w:sz w:val="20"/>
        </w:rPr>
        <w:t>. It is therefore an</w:t>
      </w:r>
      <w:r w:rsidRPr="00257064">
        <w:rPr>
          <w:rFonts w:ascii="Arial" w:hAnsi="Arial"/>
          <w:sz w:val="20"/>
        </w:rPr>
        <w:t xml:space="preserve"> inheren</w:t>
      </w:r>
      <w:r w:rsidR="00257064" w:rsidRPr="00257064">
        <w:rPr>
          <w:rFonts w:ascii="Arial" w:hAnsi="Arial"/>
          <w:sz w:val="20"/>
        </w:rPr>
        <w:t>tly international subject.</w:t>
      </w:r>
    </w:p>
    <w:p w14:paraId="1344CC43" w14:textId="16698E71" w:rsidR="009250B7" w:rsidRDefault="009250B7" w:rsidP="00C22EEF">
      <w:pPr>
        <w:pBdr>
          <w:bottom w:val="single" w:sz="12" w:space="1" w:color="auto"/>
        </w:pBdr>
        <w:spacing w:after="120" w:line="240" w:lineRule="auto"/>
        <w:ind w:left="426" w:right="260"/>
        <w:jc w:val="both"/>
        <w:rPr>
          <w:rFonts w:ascii="Arial" w:hAnsi="Arial"/>
          <w:sz w:val="20"/>
        </w:rPr>
      </w:pPr>
    </w:p>
    <w:p w14:paraId="7AF64D86" w14:textId="0F861D62" w:rsidR="009250B7" w:rsidRDefault="009250B7" w:rsidP="009250B7">
      <w:pPr>
        <w:spacing w:after="120" w:line="240" w:lineRule="auto"/>
        <w:ind w:left="426" w:right="260"/>
        <w:jc w:val="both"/>
        <w:rPr>
          <w:rFonts w:ascii="Arial" w:hAnsi="Arial" w:cs="Arial"/>
          <w:sz w:val="20"/>
          <w:szCs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p>
    <w:p w14:paraId="29F8CB9F" w14:textId="77777777" w:rsidR="006F2745" w:rsidRDefault="006F2745">
      <w:pPr>
        <w:rPr>
          <w:rFonts w:ascii="Arial" w:hAnsi="Arial" w:cs="Arial"/>
          <w:b/>
          <w:sz w:val="20"/>
          <w:szCs w:val="20"/>
        </w:rPr>
      </w:pPr>
      <w:r>
        <w:rPr>
          <w:rFonts w:ascii="Arial" w:hAnsi="Arial" w:cs="Arial"/>
          <w:b/>
          <w:sz w:val="20"/>
          <w:szCs w:val="20"/>
        </w:rPr>
        <w:br w:type="page"/>
      </w:r>
    </w:p>
    <w:p w14:paraId="0EA95A8E" w14:textId="2A9ED25C" w:rsidR="004E362D" w:rsidRPr="00373ACB" w:rsidRDefault="004E362D" w:rsidP="009250B7">
      <w:pPr>
        <w:rPr>
          <w:rFonts w:ascii="Arial" w:hAnsi="Arial" w:cs="Arial"/>
          <w:b/>
          <w:sz w:val="20"/>
          <w:szCs w:val="20"/>
        </w:rPr>
      </w:pPr>
      <w:r w:rsidRPr="00373ACB">
        <w:rPr>
          <w:rFonts w:ascii="Arial" w:hAnsi="Arial" w:cs="Arial"/>
          <w:b/>
          <w:sz w:val="20"/>
          <w:szCs w:val="20"/>
        </w:rPr>
        <w:lastRenderedPageBreak/>
        <w:t xml:space="preserve">FACULTIES SUPPORT OFFICE USE ONLY </w:t>
      </w:r>
    </w:p>
    <w:p w14:paraId="1203C0FF" w14:textId="77777777" w:rsidR="004E362D" w:rsidRPr="00373ACB" w:rsidRDefault="004E362D" w:rsidP="004E362D">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50FAE16" w14:textId="77777777" w:rsidR="004E362D" w:rsidRPr="00373ACB" w:rsidRDefault="004E362D" w:rsidP="004E362D">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4E362D" w:rsidRPr="00373ACB" w14:paraId="0CEEFD44" w14:textId="77777777" w:rsidTr="002514EB">
        <w:trPr>
          <w:trHeight w:val="317"/>
        </w:trPr>
        <w:tc>
          <w:tcPr>
            <w:tcW w:w="1673" w:type="dxa"/>
          </w:tcPr>
          <w:p w14:paraId="3596455B" w14:textId="77777777" w:rsidR="004E362D" w:rsidRPr="00373ACB" w:rsidRDefault="004E362D" w:rsidP="002514EB">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0EF72D9" w14:textId="77777777" w:rsidR="004E362D" w:rsidRPr="00373ACB" w:rsidRDefault="004E362D" w:rsidP="002514EB">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D15D0E9" w14:textId="77777777" w:rsidR="004E362D" w:rsidRPr="00373ACB" w:rsidRDefault="004E362D" w:rsidP="002514EB">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28FC71EF" w14:textId="77777777" w:rsidR="004E362D" w:rsidRPr="00373ACB" w:rsidRDefault="004E362D" w:rsidP="002514EB">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7AB97E4" w14:textId="77777777" w:rsidR="004E362D" w:rsidRPr="00373ACB" w:rsidRDefault="004E362D" w:rsidP="002514EB">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4E362D" w:rsidRPr="00373ACB" w14:paraId="7689D2C4" w14:textId="77777777" w:rsidTr="002514EB">
        <w:trPr>
          <w:trHeight w:val="305"/>
        </w:trPr>
        <w:tc>
          <w:tcPr>
            <w:tcW w:w="1673" w:type="dxa"/>
          </w:tcPr>
          <w:p w14:paraId="4776E1DC"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26/04/2016</w:t>
            </w:r>
          </w:p>
        </w:tc>
        <w:tc>
          <w:tcPr>
            <w:tcW w:w="1417" w:type="dxa"/>
          </w:tcPr>
          <w:p w14:paraId="36C38BB1"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Minor</w:t>
            </w:r>
          </w:p>
        </w:tc>
        <w:tc>
          <w:tcPr>
            <w:tcW w:w="2342" w:type="dxa"/>
          </w:tcPr>
          <w:p w14:paraId="06D2C5D1"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September 2016</w:t>
            </w:r>
          </w:p>
        </w:tc>
        <w:tc>
          <w:tcPr>
            <w:tcW w:w="2658" w:type="dxa"/>
          </w:tcPr>
          <w:p w14:paraId="5EFBA576" w14:textId="77777777" w:rsidR="004E362D" w:rsidRPr="00373ACB" w:rsidRDefault="004E362D" w:rsidP="002514EB">
            <w:pPr>
              <w:spacing w:after="120"/>
              <w:ind w:right="-330"/>
              <w:rPr>
                <w:rFonts w:ascii="Arial" w:hAnsi="Arial" w:cs="Arial"/>
                <w:sz w:val="20"/>
                <w:szCs w:val="20"/>
              </w:rPr>
            </w:pPr>
            <w:r>
              <w:rPr>
                <w:rFonts w:ascii="Arial" w:hAnsi="Arial" w:cs="Arial"/>
                <w:sz w:val="20"/>
                <w:szCs w:val="20"/>
              </w:rPr>
              <w:t>7, 12, 13, 16</w:t>
            </w:r>
          </w:p>
        </w:tc>
        <w:tc>
          <w:tcPr>
            <w:tcW w:w="2400" w:type="dxa"/>
          </w:tcPr>
          <w:p w14:paraId="77078518" w14:textId="51A03B6F" w:rsidR="004E362D" w:rsidRPr="00373ACB" w:rsidRDefault="004E362D" w:rsidP="002514EB">
            <w:pPr>
              <w:spacing w:after="120"/>
              <w:ind w:right="-330"/>
              <w:rPr>
                <w:rFonts w:ascii="Arial" w:hAnsi="Arial" w:cs="Arial"/>
                <w:sz w:val="20"/>
                <w:szCs w:val="20"/>
              </w:rPr>
            </w:pPr>
          </w:p>
        </w:tc>
      </w:tr>
      <w:tr w:rsidR="004E362D" w:rsidRPr="00373ACB" w14:paraId="6C580DBF" w14:textId="77777777" w:rsidTr="002514EB">
        <w:trPr>
          <w:trHeight w:val="305"/>
        </w:trPr>
        <w:tc>
          <w:tcPr>
            <w:tcW w:w="1673" w:type="dxa"/>
          </w:tcPr>
          <w:p w14:paraId="20679C85" w14:textId="53DA239F" w:rsidR="004E362D" w:rsidRPr="00373ACB" w:rsidRDefault="001E375E" w:rsidP="002514EB">
            <w:pPr>
              <w:spacing w:after="120"/>
              <w:ind w:right="-330"/>
              <w:rPr>
                <w:rFonts w:ascii="Arial" w:hAnsi="Arial" w:cs="Arial"/>
                <w:sz w:val="20"/>
                <w:szCs w:val="20"/>
              </w:rPr>
            </w:pPr>
            <w:r>
              <w:rPr>
                <w:rFonts w:ascii="Arial" w:hAnsi="Arial" w:cs="Arial"/>
                <w:sz w:val="20"/>
                <w:szCs w:val="20"/>
              </w:rPr>
              <w:t>06/01/2020</w:t>
            </w:r>
          </w:p>
        </w:tc>
        <w:tc>
          <w:tcPr>
            <w:tcW w:w="1417" w:type="dxa"/>
          </w:tcPr>
          <w:p w14:paraId="41EC62C6" w14:textId="035E72CA" w:rsidR="004E362D" w:rsidRPr="00373ACB" w:rsidRDefault="001E375E" w:rsidP="002514EB">
            <w:pPr>
              <w:spacing w:after="120"/>
              <w:ind w:right="-330"/>
              <w:rPr>
                <w:rFonts w:ascii="Arial" w:hAnsi="Arial" w:cs="Arial"/>
                <w:sz w:val="20"/>
                <w:szCs w:val="20"/>
              </w:rPr>
            </w:pPr>
            <w:r>
              <w:rPr>
                <w:rFonts w:ascii="Arial" w:hAnsi="Arial" w:cs="Arial"/>
                <w:sz w:val="20"/>
                <w:szCs w:val="20"/>
              </w:rPr>
              <w:t>Minor</w:t>
            </w:r>
          </w:p>
        </w:tc>
        <w:tc>
          <w:tcPr>
            <w:tcW w:w="2342" w:type="dxa"/>
          </w:tcPr>
          <w:p w14:paraId="24961235" w14:textId="0CDA99A4" w:rsidR="004E362D" w:rsidRPr="00373ACB" w:rsidRDefault="001E375E" w:rsidP="002514EB">
            <w:pPr>
              <w:spacing w:after="120"/>
              <w:ind w:right="-330"/>
              <w:rPr>
                <w:rFonts w:ascii="Arial" w:hAnsi="Arial" w:cs="Arial"/>
                <w:sz w:val="20"/>
                <w:szCs w:val="20"/>
              </w:rPr>
            </w:pPr>
            <w:r>
              <w:rPr>
                <w:rFonts w:ascii="Arial" w:hAnsi="Arial" w:cs="Arial"/>
                <w:sz w:val="20"/>
                <w:szCs w:val="20"/>
              </w:rPr>
              <w:t>September 2020</w:t>
            </w:r>
          </w:p>
        </w:tc>
        <w:tc>
          <w:tcPr>
            <w:tcW w:w="2658" w:type="dxa"/>
          </w:tcPr>
          <w:p w14:paraId="2C4551A6" w14:textId="4E4EFCFA" w:rsidR="004E362D" w:rsidRPr="00373ACB" w:rsidRDefault="001E375E" w:rsidP="002514EB">
            <w:pPr>
              <w:spacing w:after="120"/>
              <w:ind w:right="-330"/>
              <w:rPr>
                <w:rFonts w:ascii="Arial" w:hAnsi="Arial" w:cs="Arial"/>
                <w:sz w:val="20"/>
                <w:szCs w:val="20"/>
              </w:rPr>
            </w:pPr>
            <w:r>
              <w:rPr>
                <w:rFonts w:ascii="Arial" w:hAnsi="Arial" w:cs="Arial"/>
                <w:sz w:val="20"/>
                <w:szCs w:val="20"/>
              </w:rPr>
              <w:t>15</w:t>
            </w:r>
          </w:p>
        </w:tc>
        <w:tc>
          <w:tcPr>
            <w:tcW w:w="2400" w:type="dxa"/>
          </w:tcPr>
          <w:p w14:paraId="7A5A1156" w14:textId="2B93B2E6" w:rsidR="004E362D" w:rsidRPr="00373ACB" w:rsidRDefault="001E375E" w:rsidP="002514EB">
            <w:pPr>
              <w:spacing w:after="120"/>
              <w:ind w:right="-330"/>
              <w:rPr>
                <w:rFonts w:ascii="Arial" w:hAnsi="Arial" w:cs="Arial"/>
                <w:sz w:val="20"/>
                <w:szCs w:val="20"/>
              </w:rPr>
            </w:pPr>
            <w:r>
              <w:rPr>
                <w:rFonts w:ascii="Arial" w:hAnsi="Arial" w:cs="Arial"/>
                <w:sz w:val="20"/>
                <w:szCs w:val="20"/>
              </w:rPr>
              <w:t>No</w:t>
            </w:r>
          </w:p>
        </w:tc>
      </w:tr>
    </w:tbl>
    <w:p w14:paraId="14F27EB4" w14:textId="201550A4" w:rsidR="00D83563" w:rsidRPr="004E362D" w:rsidRDefault="00D83563" w:rsidP="004E362D">
      <w:pPr>
        <w:spacing w:line="240" w:lineRule="auto"/>
        <w:rPr>
          <w:rFonts w:ascii="Arial" w:hAnsi="Arial" w:cs="Arial"/>
          <w:sz w:val="20"/>
          <w:szCs w:val="20"/>
        </w:rPr>
      </w:pPr>
    </w:p>
    <w:sectPr w:rsidR="00D83563" w:rsidRPr="004E362D" w:rsidSect="0025706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6936" w14:textId="77777777" w:rsidR="00C047A3" w:rsidRDefault="00C047A3" w:rsidP="009A2D37">
      <w:pPr>
        <w:spacing w:after="0" w:line="240" w:lineRule="auto"/>
      </w:pPr>
      <w:r>
        <w:separator/>
      </w:r>
    </w:p>
  </w:endnote>
  <w:endnote w:type="continuationSeparator" w:id="0">
    <w:p w14:paraId="65958AFC" w14:textId="77777777" w:rsidR="00C047A3" w:rsidRDefault="00C047A3" w:rsidP="009A2D37">
      <w:pPr>
        <w:spacing w:after="0" w:line="240" w:lineRule="auto"/>
      </w:pPr>
      <w:r>
        <w:continuationSeparator/>
      </w:r>
    </w:p>
  </w:endnote>
  <w:endnote w:type="continuationNotice" w:id="1">
    <w:p w14:paraId="1F460892" w14:textId="77777777" w:rsidR="00C047A3" w:rsidRDefault="00C04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AEAF" w14:textId="77777777" w:rsidR="00257064" w:rsidRDefault="00257064" w:rsidP="009A2D37">
    <w:pPr>
      <w:pStyle w:val="Footer"/>
      <w:jc w:val="center"/>
    </w:pPr>
  </w:p>
  <w:p w14:paraId="4BDEEA35" w14:textId="15A986FE" w:rsidR="008B2543" w:rsidRDefault="006F2745" w:rsidP="009A2D37">
    <w:pPr>
      <w:pStyle w:val="Footer"/>
      <w:jc w:val="center"/>
    </w:pPr>
    <w:sdt>
      <w:sdtPr>
        <w:id w:val="1970698693"/>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9250B7">
          <w:rPr>
            <w:noProof/>
          </w:rPr>
          <w:t>4</w:t>
        </w:r>
        <w:r w:rsidR="0019787E">
          <w:rPr>
            <w:noProof/>
          </w:rPr>
          <w:fldChar w:fldCharType="end"/>
        </w:r>
      </w:sdtContent>
    </w:sdt>
  </w:p>
  <w:p w14:paraId="41CBD449" w14:textId="118F1C9D" w:rsidR="008B2543" w:rsidRPr="008F3834" w:rsidRDefault="0003169A" w:rsidP="00257064">
    <w:pPr>
      <w:pStyle w:val="Footer"/>
      <w:spacing w:after="120"/>
      <w:jc w:val="center"/>
      <w:rPr>
        <w:rFonts w:ascii="Arial" w:hAnsi="Arial"/>
        <w:sz w:val="18"/>
      </w:rPr>
    </w:pPr>
    <w:r>
      <w:rPr>
        <w:rFonts w:ascii="Arial" w:hAnsi="Arial"/>
        <w:sz w:val="18"/>
      </w:rPr>
      <w:t>The International Law on Foreign Investment</w:t>
    </w:r>
    <w:r w:rsidR="00257064">
      <w:rPr>
        <w:rFonts w:ascii="Arial" w:hAnsi="Arial"/>
        <w:sz w:val="18"/>
      </w:rPr>
      <w:t>, LAWS8100</w:t>
    </w:r>
    <w:r w:rsidR="003C5BA8">
      <w:rPr>
        <w:rFonts w:ascii="Arial" w:hAnsi="Arial"/>
        <w:sz w:val="18"/>
      </w:rPr>
      <w:t>/LAWS8101</w:t>
    </w:r>
    <w:r w:rsidR="00257064">
      <w:rPr>
        <w:rFonts w:ascii="Arial" w:hAnsi="Arial"/>
        <w:sz w:val="18"/>
      </w:rPr>
      <w:t xml:space="preserve"> (LW810) -</w:t>
    </w:r>
    <w:r w:rsidR="00334A02">
      <w:rPr>
        <w:rFonts w:ascii="Arial" w:hAnsi="Arial"/>
        <w:sz w:val="18"/>
      </w:rPr>
      <w:t>Sept</w:t>
    </w:r>
    <w:r w:rsidR="00257064">
      <w:rPr>
        <w:rFonts w:ascii="Arial" w:hAnsi="Arial"/>
        <w:sz w:val="18"/>
      </w:rPr>
      <w:t>. 20</w:t>
    </w:r>
    <w:r w:rsidR="00EF0CE2">
      <w:rPr>
        <w:rFonts w:ascii="Arial" w:hAnsi="Arial"/>
        <w:sz w:val="18"/>
      </w:rPr>
      <w:t>20</w:t>
    </w:r>
    <w:r w:rsidR="00257064">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705C" w14:textId="77777777" w:rsidR="00C047A3" w:rsidRDefault="00C047A3" w:rsidP="009A2D37">
      <w:pPr>
        <w:spacing w:after="0" w:line="240" w:lineRule="auto"/>
      </w:pPr>
      <w:r>
        <w:separator/>
      </w:r>
    </w:p>
  </w:footnote>
  <w:footnote w:type="continuationSeparator" w:id="0">
    <w:p w14:paraId="14226453" w14:textId="77777777" w:rsidR="00C047A3" w:rsidRDefault="00C047A3" w:rsidP="009A2D37">
      <w:pPr>
        <w:spacing w:after="0" w:line="240" w:lineRule="auto"/>
      </w:pPr>
      <w:r>
        <w:continuationSeparator/>
      </w:r>
    </w:p>
  </w:footnote>
  <w:footnote w:type="continuationNotice" w:id="1">
    <w:p w14:paraId="00D0E4AF" w14:textId="77777777" w:rsidR="00C047A3" w:rsidRDefault="00C04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748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02C9B6" wp14:editId="0E011513">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76BC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0239" w14:textId="5E02BF2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A923817" wp14:editId="367EC16B">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C910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B1356"/>
    <w:multiLevelType w:val="hybridMultilevel"/>
    <w:tmpl w:val="F18042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EFE4996A"/>
    <w:lvl w:ilvl="0" w:tplc="DC96DFE2">
      <w:start w:val="1"/>
      <w:numFmt w:val="decimal"/>
      <w:lvlText w:val="%1."/>
      <w:lvlJc w:val="left"/>
      <w:pPr>
        <w:ind w:left="720" w:hanging="360"/>
      </w:pPr>
      <w:rPr>
        <w:b/>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4B8C8D22">
      <w:numFmt w:val="bullet"/>
      <w:lvlText w:val="•"/>
      <w:lvlJc w:val="left"/>
      <w:pPr>
        <w:ind w:left="3306" w:hanging="786"/>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0765F"/>
    <w:multiLevelType w:val="hybridMultilevel"/>
    <w:tmpl w:val="B91AC968"/>
    <w:lvl w:ilvl="0" w:tplc="E934EEB8">
      <w:numFmt w:val="bullet"/>
      <w:lvlText w:val="•"/>
      <w:lvlJc w:val="left"/>
      <w:pPr>
        <w:ind w:left="1440" w:hanging="360"/>
      </w:pPr>
      <w:rPr>
        <w:rFonts w:ascii="Arial" w:eastAsiaTheme="minorEastAsia" w:hAnsi="Arial" w:cs="Arial" w:hint="default"/>
      </w:rPr>
    </w:lvl>
    <w:lvl w:ilvl="1" w:tplc="E934EEB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B4756"/>
    <w:multiLevelType w:val="hybridMultilevel"/>
    <w:tmpl w:val="C8D06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AF1636"/>
    <w:multiLevelType w:val="hybridMultilevel"/>
    <w:tmpl w:val="A95494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FC75BAC"/>
    <w:multiLevelType w:val="multilevel"/>
    <w:tmpl w:val="B830AD48"/>
    <w:lvl w:ilvl="0">
      <w:start w:val="11"/>
      <w:numFmt w:val="decimal"/>
      <w:lvlText w:val="%1"/>
      <w:lvlJc w:val="left"/>
      <w:pPr>
        <w:ind w:left="400" w:hanging="400"/>
      </w:pPr>
      <w:rPr>
        <w:rFonts w:hint="default"/>
        <w:b/>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413043"/>
    <w:multiLevelType w:val="hybridMultilevel"/>
    <w:tmpl w:val="512C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E830DB"/>
    <w:multiLevelType w:val="hybridMultilevel"/>
    <w:tmpl w:val="D8F032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F1122"/>
    <w:multiLevelType w:val="hybridMultilevel"/>
    <w:tmpl w:val="D9E4AED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2"/>
  </w:num>
  <w:num w:numId="5">
    <w:abstractNumId w:val="14"/>
  </w:num>
  <w:num w:numId="6">
    <w:abstractNumId w:val="12"/>
  </w:num>
  <w:num w:numId="7">
    <w:abstractNumId w:val="18"/>
  </w:num>
  <w:num w:numId="8">
    <w:abstractNumId w:val="13"/>
  </w:num>
  <w:num w:numId="9">
    <w:abstractNumId w:val="17"/>
  </w:num>
  <w:num w:numId="10">
    <w:abstractNumId w:val="11"/>
  </w:num>
  <w:num w:numId="11">
    <w:abstractNumId w:val="4"/>
  </w:num>
  <w:num w:numId="12">
    <w:abstractNumId w:val="16"/>
  </w:num>
  <w:num w:numId="13">
    <w:abstractNumId w:val="1"/>
  </w:num>
  <w:num w:numId="14">
    <w:abstractNumId w:val="9"/>
  </w:num>
  <w:num w:numId="15">
    <w:abstractNumId w:val="7"/>
  </w:num>
  <w:num w:numId="16">
    <w:abstractNumId w:val="19"/>
  </w:num>
  <w:num w:numId="17">
    <w:abstractNumId w:val="15"/>
  </w:num>
  <w:num w:numId="18">
    <w:abstractNumId w:val="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46"/>
    <w:rsid w:val="00000C8C"/>
    <w:rsid w:val="000017F2"/>
    <w:rsid w:val="00002762"/>
    <w:rsid w:val="0000357B"/>
    <w:rsid w:val="00005661"/>
    <w:rsid w:val="00010A16"/>
    <w:rsid w:val="0001243F"/>
    <w:rsid w:val="00021EA0"/>
    <w:rsid w:val="00025992"/>
    <w:rsid w:val="00027937"/>
    <w:rsid w:val="00030C9E"/>
    <w:rsid w:val="0003169A"/>
    <w:rsid w:val="00031E67"/>
    <w:rsid w:val="0003714F"/>
    <w:rsid w:val="000408CC"/>
    <w:rsid w:val="00045373"/>
    <w:rsid w:val="00060C7D"/>
    <w:rsid w:val="00063A2F"/>
    <w:rsid w:val="000678D3"/>
    <w:rsid w:val="0007135E"/>
    <w:rsid w:val="0007557C"/>
    <w:rsid w:val="00081B27"/>
    <w:rsid w:val="00094810"/>
    <w:rsid w:val="000C0294"/>
    <w:rsid w:val="000C7A1C"/>
    <w:rsid w:val="000D2A8A"/>
    <w:rsid w:val="000D32AC"/>
    <w:rsid w:val="000E20C1"/>
    <w:rsid w:val="000E3B73"/>
    <w:rsid w:val="000F1C16"/>
    <w:rsid w:val="000F4E1C"/>
    <w:rsid w:val="000F6C56"/>
    <w:rsid w:val="000F7FBF"/>
    <w:rsid w:val="00106BE5"/>
    <w:rsid w:val="00110947"/>
    <w:rsid w:val="00111906"/>
    <w:rsid w:val="00111CB3"/>
    <w:rsid w:val="00117577"/>
    <w:rsid w:val="00117793"/>
    <w:rsid w:val="001206E4"/>
    <w:rsid w:val="001214D3"/>
    <w:rsid w:val="00121BFC"/>
    <w:rsid w:val="001402AD"/>
    <w:rsid w:val="0014683C"/>
    <w:rsid w:val="0015064D"/>
    <w:rsid w:val="001540CE"/>
    <w:rsid w:val="0015717B"/>
    <w:rsid w:val="00157ACA"/>
    <w:rsid w:val="00160427"/>
    <w:rsid w:val="00162D46"/>
    <w:rsid w:val="0017274D"/>
    <w:rsid w:val="00172793"/>
    <w:rsid w:val="00180558"/>
    <w:rsid w:val="001811E5"/>
    <w:rsid w:val="00183B34"/>
    <w:rsid w:val="00185F46"/>
    <w:rsid w:val="00195B75"/>
    <w:rsid w:val="00196C6A"/>
    <w:rsid w:val="0019787E"/>
    <w:rsid w:val="001A425B"/>
    <w:rsid w:val="001B1B28"/>
    <w:rsid w:val="001B27FB"/>
    <w:rsid w:val="001C4A85"/>
    <w:rsid w:val="001C5443"/>
    <w:rsid w:val="001D0C7D"/>
    <w:rsid w:val="001D1F2D"/>
    <w:rsid w:val="001D2314"/>
    <w:rsid w:val="001D6398"/>
    <w:rsid w:val="001E1F45"/>
    <w:rsid w:val="001E375E"/>
    <w:rsid w:val="001E62C1"/>
    <w:rsid w:val="001F0779"/>
    <w:rsid w:val="001F3C3E"/>
    <w:rsid w:val="0020243A"/>
    <w:rsid w:val="0021578E"/>
    <w:rsid w:val="00227582"/>
    <w:rsid w:val="002308BE"/>
    <w:rsid w:val="002407C0"/>
    <w:rsid w:val="002461AF"/>
    <w:rsid w:val="002465A1"/>
    <w:rsid w:val="002553D2"/>
    <w:rsid w:val="00257064"/>
    <w:rsid w:val="00264576"/>
    <w:rsid w:val="002653FE"/>
    <w:rsid w:val="0026585A"/>
    <w:rsid w:val="00266735"/>
    <w:rsid w:val="00273CF0"/>
    <w:rsid w:val="002748D4"/>
    <w:rsid w:val="00274ED7"/>
    <w:rsid w:val="00282174"/>
    <w:rsid w:val="0028461D"/>
    <w:rsid w:val="0028524D"/>
    <w:rsid w:val="0028590C"/>
    <w:rsid w:val="00292C46"/>
    <w:rsid w:val="002938D6"/>
    <w:rsid w:val="00294B73"/>
    <w:rsid w:val="002955A0"/>
    <w:rsid w:val="002A0C18"/>
    <w:rsid w:val="002A219B"/>
    <w:rsid w:val="002A22DB"/>
    <w:rsid w:val="002B20F5"/>
    <w:rsid w:val="002B2A1A"/>
    <w:rsid w:val="002B71F2"/>
    <w:rsid w:val="002C3678"/>
    <w:rsid w:val="002D0F1A"/>
    <w:rsid w:val="002E71C0"/>
    <w:rsid w:val="002F05F4"/>
    <w:rsid w:val="002F0CE4"/>
    <w:rsid w:val="002F23EF"/>
    <w:rsid w:val="002F24F4"/>
    <w:rsid w:val="002F2626"/>
    <w:rsid w:val="002F2813"/>
    <w:rsid w:val="002F3D3A"/>
    <w:rsid w:val="00302082"/>
    <w:rsid w:val="00304503"/>
    <w:rsid w:val="00306620"/>
    <w:rsid w:val="003262B9"/>
    <w:rsid w:val="00334A02"/>
    <w:rsid w:val="00335875"/>
    <w:rsid w:val="00335FBE"/>
    <w:rsid w:val="00346354"/>
    <w:rsid w:val="00352D8E"/>
    <w:rsid w:val="003531FC"/>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42DD"/>
    <w:rsid w:val="003B7C76"/>
    <w:rsid w:val="003C3E0C"/>
    <w:rsid w:val="003C5BA8"/>
    <w:rsid w:val="003C776B"/>
    <w:rsid w:val="003D4A1C"/>
    <w:rsid w:val="003D7AA0"/>
    <w:rsid w:val="003E1FF7"/>
    <w:rsid w:val="003E311D"/>
    <w:rsid w:val="003F4470"/>
    <w:rsid w:val="003F5A04"/>
    <w:rsid w:val="003F67CD"/>
    <w:rsid w:val="00402ED7"/>
    <w:rsid w:val="004101A3"/>
    <w:rsid w:val="004114F8"/>
    <w:rsid w:val="00422B69"/>
    <w:rsid w:val="00423D86"/>
    <w:rsid w:val="00424C90"/>
    <w:rsid w:val="004320C6"/>
    <w:rsid w:val="00436BE9"/>
    <w:rsid w:val="00441E76"/>
    <w:rsid w:val="004443DA"/>
    <w:rsid w:val="004474A2"/>
    <w:rsid w:val="00460925"/>
    <w:rsid w:val="00461F75"/>
    <w:rsid w:val="00470676"/>
    <w:rsid w:val="00471635"/>
    <w:rsid w:val="00471C6C"/>
    <w:rsid w:val="00472023"/>
    <w:rsid w:val="00486993"/>
    <w:rsid w:val="00492DA4"/>
    <w:rsid w:val="00496AA3"/>
    <w:rsid w:val="00497C98"/>
    <w:rsid w:val="004A39D7"/>
    <w:rsid w:val="004A55FA"/>
    <w:rsid w:val="004B0ECE"/>
    <w:rsid w:val="004C1EC4"/>
    <w:rsid w:val="004D035C"/>
    <w:rsid w:val="004D12EF"/>
    <w:rsid w:val="004D1ACC"/>
    <w:rsid w:val="004E362D"/>
    <w:rsid w:val="004F3C18"/>
    <w:rsid w:val="004F4328"/>
    <w:rsid w:val="005005E4"/>
    <w:rsid w:val="0051087D"/>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4ADA"/>
    <w:rsid w:val="005E1A3A"/>
    <w:rsid w:val="005E3FA7"/>
    <w:rsid w:val="005E6ADC"/>
    <w:rsid w:val="005E6D10"/>
    <w:rsid w:val="005E6D38"/>
    <w:rsid w:val="005E7B3F"/>
    <w:rsid w:val="005F040F"/>
    <w:rsid w:val="005F2C42"/>
    <w:rsid w:val="00603714"/>
    <w:rsid w:val="006050CF"/>
    <w:rsid w:val="006253AA"/>
    <w:rsid w:val="00626023"/>
    <w:rsid w:val="00633150"/>
    <w:rsid w:val="00635D8A"/>
    <w:rsid w:val="00637A50"/>
    <w:rsid w:val="00641D6D"/>
    <w:rsid w:val="006438F3"/>
    <w:rsid w:val="00647907"/>
    <w:rsid w:val="00651A82"/>
    <w:rsid w:val="006525E9"/>
    <w:rsid w:val="0066061A"/>
    <w:rsid w:val="0066747B"/>
    <w:rsid w:val="006707DA"/>
    <w:rsid w:val="006725EC"/>
    <w:rsid w:val="00674ED0"/>
    <w:rsid w:val="00682650"/>
    <w:rsid w:val="00684851"/>
    <w:rsid w:val="00695285"/>
    <w:rsid w:val="006A6BB4"/>
    <w:rsid w:val="006A7FB0"/>
    <w:rsid w:val="006C2A9A"/>
    <w:rsid w:val="006C423D"/>
    <w:rsid w:val="006C46EF"/>
    <w:rsid w:val="006C4C67"/>
    <w:rsid w:val="006D41AB"/>
    <w:rsid w:val="006D444F"/>
    <w:rsid w:val="006D4DFC"/>
    <w:rsid w:val="006E0315"/>
    <w:rsid w:val="006E60D1"/>
    <w:rsid w:val="006F1A15"/>
    <w:rsid w:val="006F2745"/>
    <w:rsid w:val="006F3F8B"/>
    <w:rsid w:val="00700488"/>
    <w:rsid w:val="00703404"/>
    <w:rsid w:val="00703F79"/>
    <w:rsid w:val="00703F92"/>
    <w:rsid w:val="00704637"/>
    <w:rsid w:val="00704D72"/>
    <w:rsid w:val="007103E4"/>
    <w:rsid w:val="007105E4"/>
    <w:rsid w:val="00714EE5"/>
    <w:rsid w:val="00720270"/>
    <w:rsid w:val="00724362"/>
    <w:rsid w:val="00727780"/>
    <w:rsid w:val="0073792C"/>
    <w:rsid w:val="00754069"/>
    <w:rsid w:val="0076062C"/>
    <w:rsid w:val="00763508"/>
    <w:rsid w:val="007667DF"/>
    <w:rsid w:val="0077080B"/>
    <w:rsid w:val="00787070"/>
    <w:rsid w:val="007906FD"/>
    <w:rsid w:val="00791148"/>
    <w:rsid w:val="00797197"/>
    <w:rsid w:val="007972A7"/>
    <w:rsid w:val="007A0E60"/>
    <w:rsid w:val="007A2BA2"/>
    <w:rsid w:val="007A6245"/>
    <w:rsid w:val="007A7376"/>
    <w:rsid w:val="007B162F"/>
    <w:rsid w:val="007B1DB2"/>
    <w:rsid w:val="007B375B"/>
    <w:rsid w:val="007B412A"/>
    <w:rsid w:val="007B635E"/>
    <w:rsid w:val="007B7724"/>
    <w:rsid w:val="007B7CDC"/>
    <w:rsid w:val="007C74B4"/>
    <w:rsid w:val="007E3412"/>
    <w:rsid w:val="007F393D"/>
    <w:rsid w:val="008029AF"/>
    <w:rsid w:val="00802FFA"/>
    <w:rsid w:val="00807F2E"/>
    <w:rsid w:val="008102E5"/>
    <w:rsid w:val="008111B4"/>
    <w:rsid w:val="008133F0"/>
    <w:rsid w:val="00815713"/>
    <w:rsid w:val="00815880"/>
    <w:rsid w:val="0082322C"/>
    <w:rsid w:val="00823942"/>
    <w:rsid w:val="00827FFD"/>
    <w:rsid w:val="008444F9"/>
    <w:rsid w:val="00854535"/>
    <w:rsid w:val="00856EB3"/>
    <w:rsid w:val="00865CBA"/>
    <w:rsid w:val="00873E9F"/>
    <w:rsid w:val="00874047"/>
    <w:rsid w:val="008778CB"/>
    <w:rsid w:val="00881545"/>
    <w:rsid w:val="00883A3E"/>
    <w:rsid w:val="0089148D"/>
    <w:rsid w:val="00891E0D"/>
    <w:rsid w:val="008A0F36"/>
    <w:rsid w:val="008A2579"/>
    <w:rsid w:val="008A4261"/>
    <w:rsid w:val="008A4BCA"/>
    <w:rsid w:val="008B2543"/>
    <w:rsid w:val="008B4B6E"/>
    <w:rsid w:val="008C0A9C"/>
    <w:rsid w:val="008D7401"/>
    <w:rsid w:val="008F3834"/>
    <w:rsid w:val="00903010"/>
    <w:rsid w:val="00903DF6"/>
    <w:rsid w:val="00921CF6"/>
    <w:rsid w:val="009246F0"/>
    <w:rsid w:val="00924EF0"/>
    <w:rsid w:val="009250B7"/>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4C85"/>
    <w:rsid w:val="00A15342"/>
    <w:rsid w:val="00A3007E"/>
    <w:rsid w:val="00A32048"/>
    <w:rsid w:val="00A41F06"/>
    <w:rsid w:val="00A42648"/>
    <w:rsid w:val="00A50FD4"/>
    <w:rsid w:val="00A52DB4"/>
    <w:rsid w:val="00A618E1"/>
    <w:rsid w:val="00A629B9"/>
    <w:rsid w:val="00A637D6"/>
    <w:rsid w:val="00A67C4D"/>
    <w:rsid w:val="00A70C20"/>
    <w:rsid w:val="00A74292"/>
    <w:rsid w:val="00A776DE"/>
    <w:rsid w:val="00A80640"/>
    <w:rsid w:val="00A82E6A"/>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0E81"/>
    <w:rsid w:val="00B33C47"/>
    <w:rsid w:val="00B34ADD"/>
    <w:rsid w:val="00B52FF5"/>
    <w:rsid w:val="00B55C7F"/>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7A3"/>
    <w:rsid w:val="00C04C95"/>
    <w:rsid w:val="00C07A56"/>
    <w:rsid w:val="00C12613"/>
    <w:rsid w:val="00C16DEF"/>
    <w:rsid w:val="00C22EEF"/>
    <w:rsid w:val="00C2492F"/>
    <w:rsid w:val="00C3744A"/>
    <w:rsid w:val="00C4002A"/>
    <w:rsid w:val="00C46912"/>
    <w:rsid w:val="00C5384E"/>
    <w:rsid w:val="00C612A8"/>
    <w:rsid w:val="00C66C46"/>
    <w:rsid w:val="00C67631"/>
    <w:rsid w:val="00C729D7"/>
    <w:rsid w:val="00C740D2"/>
    <w:rsid w:val="00C83354"/>
    <w:rsid w:val="00C84004"/>
    <w:rsid w:val="00C843F6"/>
    <w:rsid w:val="00C84507"/>
    <w:rsid w:val="00C862C7"/>
    <w:rsid w:val="00CA3254"/>
    <w:rsid w:val="00CB11CE"/>
    <w:rsid w:val="00CC25A2"/>
    <w:rsid w:val="00CD7F07"/>
    <w:rsid w:val="00CE04F3"/>
    <w:rsid w:val="00CE12D8"/>
    <w:rsid w:val="00CE4574"/>
    <w:rsid w:val="00CE4F08"/>
    <w:rsid w:val="00CE70E6"/>
    <w:rsid w:val="00CE725A"/>
    <w:rsid w:val="00CF0881"/>
    <w:rsid w:val="00CF2E1E"/>
    <w:rsid w:val="00D02E99"/>
    <w:rsid w:val="00D13357"/>
    <w:rsid w:val="00D13A13"/>
    <w:rsid w:val="00D2689A"/>
    <w:rsid w:val="00D338B5"/>
    <w:rsid w:val="00D533A9"/>
    <w:rsid w:val="00D57919"/>
    <w:rsid w:val="00D65506"/>
    <w:rsid w:val="00D71DF4"/>
    <w:rsid w:val="00D773CF"/>
    <w:rsid w:val="00D83563"/>
    <w:rsid w:val="00D8448F"/>
    <w:rsid w:val="00D87B8B"/>
    <w:rsid w:val="00DA64B6"/>
    <w:rsid w:val="00DB5C9D"/>
    <w:rsid w:val="00DB6E68"/>
    <w:rsid w:val="00DD02E6"/>
    <w:rsid w:val="00DD2606"/>
    <w:rsid w:val="00DE4F08"/>
    <w:rsid w:val="00DE6F65"/>
    <w:rsid w:val="00DF665B"/>
    <w:rsid w:val="00E0152A"/>
    <w:rsid w:val="00E03394"/>
    <w:rsid w:val="00E066E5"/>
    <w:rsid w:val="00E069D6"/>
    <w:rsid w:val="00E22F03"/>
    <w:rsid w:val="00E233C1"/>
    <w:rsid w:val="00E51404"/>
    <w:rsid w:val="00E574C9"/>
    <w:rsid w:val="00E610DE"/>
    <w:rsid w:val="00E66167"/>
    <w:rsid w:val="00E70ED7"/>
    <w:rsid w:val="00E71F2F"/>
    <w:rsid w:val="00E77786"/>
    <w:rsid w:val="00E806FB"/>
    <w:rsid w:val="00EA315D"/>
    <w:rsid w:val="00EA6558"/>
    <w:rsid w:val="00EB1C2D"/>
    <w:rsid w:val="00EC1810"/>
    <w:rsid w:val="00EC3FCC"/>
    <w:rsid w:val="00EC432B"/>
    <w:rsid w:val="00EC78B0"/>
    <w:rsid w:val="00ED32FF"/>
    <w:rsid w:val="00EF039B"/>
    <w:rsid w:val="00EF0CE2"/>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6B9C"/>
    <w:rsid w:val="00FD705C"/>
    <w:rsid w:val="00FD777A"/>
    <w:rsid w:val="00FE260B"/>
    <w:rsid w:val="00FE50C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53D1D"/>
  <w15:docId w15:val="{7114FFDD-4D1F-4A9F-BF31-82044A27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031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5D4A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B586D-E800-4616-ADCB-8DFC09BDF5B3}">
  <ds:schemaRefs>
    <ds:schemaRef ds:uri="http://schemas.microsoft.com/sharepoint/events"/>
  </ds:schemaRefs>
</ds:datastoreItem>
</file>

<file path=customXml/itemProps2.xml><?xml version="1.0" encoding="utf-8"?>
<ds:datastoreItem xmlns:ds="http://schemas.openxmlformats.org/officeDocument/2006/customXml" ds:itemID="{2DFCD4F2-498E-4A7A-BFDA-097F96380FEE}"/>
</file>

<file path=customXml/itemProps3.xml><?xml version="1.0" encoding="utf-8"?>
<ds:datastoreItem xmlns:ds="http://schemas.openxmlformats.org/officeDocument/2006/customXml" ds:itemID="{A2EE87F1-EC7C-4583-9833-1D88EDA62E08}">
  <ds:schemaRefs>
    <ds:schemaRef ds:uri="http://schemas.openxmlformats.org/officeDocument/2006/bibliography"/>
  </ds:schemaRefs>
</ds:datastoreItem>
</file>

<file path=customXml/itemProps4.xml><?xml version="1.0" encoding="utf-8"?>
<ds:datastoreItem xmlns:ds="http://schemas.openxmlformats.org/officeDocument/2006/customXml" ds:itemID="{59914455-150A-43ED-8FC4-7CB1C3D24EB9}">
  <ds:schemaRefs>
    <ds:schemaRef ds:uri="http://schemas.microsoft.com/sharepoint/v3/contenttype/forms"/>
  </ds:schemaRefs>
</ds:datastoreItem>
</file>

<file path=customXml/itemProps5.xml><?xml version="1.0" encoding="utf-8"?>
<ds:datastoreItem xmlns:ds="http://schemas.openxmlformats.org/officeDocument/2006/customXml" ds:itemID="{70CF168B-1303-4546-A5FA-89832593658F}">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2020-01-15T11:58:00Z</dcterms:created>
  <dcterms:modified xsi:type="dcterms:W3CDTF">2022-03-22T15:56:00Z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b9aa05fc-2957-4a5d-abbd-781efd3c9db9</vt:lpwstr>
  </property>
  <property fmtid="{D5CDD505-2E9C-101B-9397-08002B2CF9AE}" pid="4" name="Order">
    <vt:r8>9800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