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37CC" w14:textId="77777777" w:rsidR="009A2D37" w:rsidRPr="00522B1D" w:rsidRDefault="009A2D37"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Title of the module</w:t>
      </w:r>
    </w:p>
    <w:p w14:paraId="76055842" w14:textId="77777777" w:rsidR="0083074C" w:rsidRPr="00522B1D" w:rsidRDefault="00252BE0" w:rsidP="007D522C">
      <w:pPr>
        <w:spacing w:after="120" w:line="240" w:lineRule="auto"/>
        <w:ind w:left="567" w:right="260"/>
        <w:jc w:val="both"/>
        <w:rPr>
          <w:rFonts w:ascii="Arial" w:hAnsi="Arial" w:cs="Arial"/>
          <w:iCs/>
          <w:sz w:val="20"/>
        </w:rPr>
      </w:pPr>
      <w:r w:rsidRPr="005303F6">
        <w:rPr>
          <w:rFonts w:ascii="Arial" w:hAnsi="Arial" w:cs="Arial"/>
          <w:sz w:val="20"/>
        </w:rPr>
        <w:t>LAWS8001</w:t>
      </w:r>
      <w:r w:rsidRPr="00522B1D">
        <w:rPr>
          <w:rFonts w:ascii="Arial" w:hAnsi="Arial" w:cs="Arial"/>
          <w:sz w:val="20"/>
        </w:rPr>
        <w:t xml:space="preserve"> (LW8001) – Public International Law (Intensive)</w:t>
      </w:r>
    </w:p>
    <w:p w14:paraId="4617E34C" w14:textId="77777777" w:rsidR="009A2D37" w:rsidRPr="00302082" w:rsidRDefault="009A2D37" w:rsidP="007D522C">
      <w:pPr>
        <w:spacing w:after="120" w:line="240" w:lineRule="auto"/>
        <w:ind w:left="426" w:right="260"/>
        <w:jc w:val="both"/>
        <w:rPr>
          <w:rFonts w:ascii="Arial" w:hAnsi="Arial" w:cs="Arial"/>
        </w:rPr>
      </w:pPr>
    </w:p>
    <w:p w14:paraId="1D77B640" w14:textId="77777777" w:rsidR="009A2D37" w:rsidRPr="00522B1D" w:rsidRDefault="009A2D37"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School or partner institution which will be responsible for management of the module</w:t>
      </w:r>
    </w:p>
    <w:p w14:paraId="14976E59" w14:textId="77777777" w:rsidR="009A2D37" w:rsidRPr="00522B1D" w:rsidRDefault="00463AEA" w:rsidP="007D522C">
      <w:pPr>
        <w:spacing w:after="120" w:line="240" w:lineRule="auto"/>
        <w:ind w:left="567" w:right="260"/>
        <w:jc w:val="both"/>
        <w:rPr>
          <w:rFonts w:ascii="Arial" w:hAnsi="Arial" w:cs="Arial"/>
          <w:iCs/>
          <w:sz w:val="20"/>
        </w:rPr>
      </w:pPr>
      <w:r w:rsidRPr="00522B1D">
        <w:rPr>
          <w:rFonts w:ascii="Arial" w:hAnsi="Arial" w:cs="Arial"/>
          <w:iCs/>
          <w:sz w:val="20"/>
        </w:rPr>
        <w:t xml:space="preserve">Kent Law School </w:t>
      </w:r>
    </w:p>
    <w:p w14:paraId="10710F8C" w14:textId="77777777" w:rsidR="009A2D37" w:rsidRPr="00302082" w:rsidRDefault="009A2D37" w:rsidP="007D522C">
      <w:pPr>
        <w:spacing w:after="120" w:line="240" w:lineRule="auto"/>
        <w:ind w:left="426" w:right="260"/>
        <w:jc w:val="both"/>
        <w:rPr>
          <w:rFonts w:ascii="Arial" w:hAnsi="Arial" w:cs="Arial"/>
          <w:i/>
          <w:iCs/>
        </w:rPr>
      </w:pPr>
    </w:p>
    <w:p w14:paraId="5C6E1EB6" w14:textId="77777777" w:rsidR="009A2D37" w:rsidRPr="00522B1D" w:rsidRDefault="00883204"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The level of the module (</w:t>
      </w:r>
      <w:r w:rsidR="00D83563" w:rsidRPr="00522B1D">
        <w:rPr>
          <w:rFonts w:ascii="Arial" w:hAnsi="Arial" w:cs="Arial"/>
          <w:b/>
          <w:sz w:val="20"/>
        </w:rPr>
        <w:t>Level</w:t>
      </w:r>
      <w:r w:rsidR="00441E76" w:rsidRPr="00522B1D">
        <w:rPr>
          <w:rFonts w:ascii="Arial" w:hAnsi="Arial" w:cs="Arial"/>
          <w:b/>
          <w:sz w:val="20"/>
        </w:rPr>
        <w:t xml:space="preserve"> 4</w:t>
      </w:r>
      <w:r w:rsidR="001D0C7D" w:rsidRPr="00522B1D">
        <w:rPr>
          <w:rFonts w:ascii="Arial" w:hAnsi="Arial" w:cs="Arial"/>
          <w:b/>
          <w:sz w:val="20"/>
        </w:rPr>
        <w:t xml:space="preserve">, </w:t>
      </w:r>
      <w:r w:rsidR="00441E76" w:rsidRPr="00522B1D">
        <w:rPr>
          <w:rFonts w:ascii="Arial" w:hAnsi="Arial" w:cs="Arial"/>
          <w:b/>
          <w:sz w:val="20"/>
        </w:rPr>
        <w:t>Level 5</w:t>
      </w:r>
      <w:r w:rsidR="001D0C7D" w:rsidRPr="00522B1D">
        <w:rPr>
          <w:rFonts w:ascii="Arial" w:hAnsi="Arial" w:cs="Arial"/>
          <w:b/>
          <w:sz w:val="20"/>
        </w:rPr>
        <w:t xml:space="preserve">, </w:t>
      </w:r>
      <w:r w:rsidR="00441E76" w:rsidRPr="00522B1D">
        <w:rPr>
          <w:rFonts w:ascii="Arial" w:hAnsi="Arial" w:cs="Arial"/>
          <w:b/>
          <w:sz w:val="20"/>
        </w:rPr>
        <w:t xml:space="preserve">Level </w:t>
      </w:r>
      <w:proofErr w:type="gramStart"/>
      <w:r w:rsidR="00441E76" w:rsidRPr="00522B1D">
        <w:rPr>
          <w:rFonts w:ascii="Arial" w:hAnsi="Arial" w:cs="Arial"/>
          <w:b/>
          <w:sz w:val="20"/>
        </w:rPr>
        <w:t>6</w:t>
      </w:r>
      <w:proofErr w:type="gramEnd"/>
      <w:r w:rsidR="001D0C7D" w:rsidRPr="00522B1D">
        <w:rPr>
          <w:rFonts w:ascii="Arial" w:hAnsi="Arial" w:cs="Arial"/>
          <w:b/>
          <w:sz w:val="20"/>
        </w:rPr>
        <w:t xml:space="preserve"> or </w:t>
      </w:r>
      <w:r w:rsidR="00C612A8" w:rsidRPr="00522B1D">
        <w:rPr>
          <w:rFonts w:ascii="Arial" w:hAnsi="Arial" w:cs="Arial"/>
          <w:b/>
          <w:sz w:val="20"/>
        </w:rPr>
        <w:t>L</w:t>
      </w:r>
      <w:r w:rsidR="00441E76" w:rsidRPr="00522B1D">
        <w:rPr>
          <w:rFonts w:ascii="Arial" w:hAnsi="Arial" w:cs="Arial"/>
          <w:b/>
          <w:sz w:val="20"/>
        </w:rPr>
        <w:t>evel 7</w:t>
      </w:r>
      <w:r w:rsidR="009A2D37" w:rsidRPr="00522B1D">
        <w:rPr>
          <w:rFonts w:ascii="Arial" w:hAnsi="Arial" w:cs="Arial"/>
          <w:b/>
          <w:sz w:val="20"/>
        </w:rPr>
        <w:t>)</w:t>
      </w:r>
    </w:p>
    <w:p w14:paraId="079D1672" w14:textId="77777777" w:rsidR="009A2D37" w:rsidRPr="00522B1D" w:rsidRDefault="00463AEA" w:rsidP="007D522C">
      <w:pPr>
        <w:spacing w:after="120" w:line="240" w:lineRule="auto"/>
        <w:ind w:left="567" w:right="260"/>
        <w:jc w:val="both"/>
        <w:rPr>
          <w:rFonts w:ascii="Arial" w:hAnsi="Arial" w:cs="Arial"/>
          <w:sz w:val="20"/>
        </w:rPr>
      </w:pPr>
      <w:r w:rsidRPr="00522B1D">
        <w:rPr>
          <w:rFonts w:ascii="Arial" w:hAnsi="Arial" w:cs="Arial"/>
          <w:sz w:val="20"/>
        </w:rPr>
        <w:t>Level 7</w:t>
      </w:r>
    </w:p>
    <w:p w14:paraId="3072BD3A" w14:textId="77777777" w:rsidR="009A2D37" w:rsidRPr="00302082" w:rsidRDefault="009A2D37" w:rsidP="007D522C">
      <w:pPr>
        <w:spacing w:after="120" w:line="240" w:lineRule="auto"/>
        <w:ind w:left="426" w:right="260"/>
        <w:jc w:val="both"/>
        <w:rPr>
          <w:rFonts w:ascii="Arial" w:hAnsi="Arial" w:cs="Arial"/>
          <w:i/>
          <w:iCs/>
        </w:rPr>
      </w:pPr>
    </w:p>
    <w:p w14:paraId="3CD21B2F" w14:textId="77777777" w:rsidR="009A2D37" w:rsidRPr="00522B1D" w:rsidRDefault="009A2D37"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 xml:space="preserve">The number of credits and the ECTS value which the module represents </w:t>
      </w:r>
    </w:p>
    <w:p w14:paraId="6369ADFE" w14:textId="77777777" w:rsidR="009A2D37" w:rsidRPr="00522B1D" w:rsidRDefault="00463AEA" w:rsidP="007D522C">
      <w:pPr>
        <w:pStyle w:val="NormalWeb"/>
        <w:spacing w:before="0" w:beforeAutospacing="0" w:after="120" w:afterAutospacing="0"/>
        <w:ind w:left="567" w:right="260"/>
        <w:jc w:val="both"/>
        <w:rPr>
          <w:rFonts w:ascii="Arial" w:hAnsi="Arial" w:cs="Arial"/>
          <w:sz w:val="20"/>
          <w:szCs w:val="22"/>
        </w:rPr>
      </w:pPr>
      <w:r w:rsidRPr="00522B1D">
        <w:rPr>
          <w:rFonts w:ascii="Arial" w:hAnsi="Arial" w:cs="Arial"/>
          <w:sz w:val="20"/>
          <w:szCs w:val="22"/>
        </w:rPr>
        <w:t>20 credits (10</w:t>
      </w:r>
      <w:r w:rsidR="009A2D37" w:rsidRPr="00522B1D">
        <w:rPr>
          <w:rFonts w:ascii="Arial" w:hAnsi="Arial" w:cs="Arial"/>
          <w:sz w:val="20"/>
          <w:szCs w:val="22"/>
        </w:rPr>
        <w:t xml:space="preserve"> ECTS)</w:t>
      </w:r>
    </w:p>
    <w:p w14:paraId="6844D3E5" w14:textId="77777777" w:rsidR="009A2D37" w:rsidRPr="00302082" w:rsidRDefault="009A2D37" w:rsidP="007D522C">
      <w:pPr>
        <w:spacing w:after="120" w:line="240" w:lineRule="auto"/>
        <w:ind w:left="426" w:right="260"/>
        <w:jc w:val="both"/>
        <w:rPr>
          <w:rFonts w:ascii="Arial" w:hAnsi="Arial" w:cs="Arial"/>
          <w:i/>
        </w:rPr>
      </w:pPr>
    </w:p>
    <w:p w14:paraId="3381E43D" w14:textId="77777777" w:rsidR="009A2D37" w:rsidRPr="00522B1D" w:rsidRDefault="009A2D37"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Which term(s) the module is to be taught in (or other teaching pattern)</w:t>
      </w:r>
    </w:p>
    <w:p w14:paraId="191DCF28" w14:textId="77777777" w:rsidR="009A2D37" w:rsidRPr="00522B1D" w:rsidRDefault="009A2D37" w:rsidP="007D522C">
      <w:pPr>
        <w:spacing w:after="120" w:line="240" w:lineRule="auto"/>
        <w:ind w:left="567" w:right="260"/>
        <w:jc w:val="both"/>
        <w:rPr>
          <w:rFonts w:ascii="Arial" w:hAnsi="Arial" w:cs="Arial"/>
          <w:iCs/>
          <w:sz w:val="20"/>
        </w:rPr>
      </w:pPr>
      <w:r w:rsidRPr="00522B1D">
        <w:rPr>
          <w:rFonts w:ascii="Arial" w:hAnsi="Arial" w:cs="Arial"/>
          <w:iCs/>
          <w:sz w:val="20"/>
        </w:rPr>
        <w:t>Autumn or Spring</w:t>
      </w:r>
    </w:p>
    <w:p w14:paraId="27A0E097" w14:textId="77777777" w:rsidR="009A2D37" w:rsidRPr="00302082" w:rsidRDefault="009A2D37" w:rsidP="007D522C">
      <w:pPr>
        <w:spacing w:after="120" w:line="240" w:lineRule="auto"/>
        <w:ind w:left="426" w:right="260"/>
        <w:jc w:val="both"/>
        <w:rPr>
          <w:rFonts w:ascii="Arial" w:hAnsi="Arial" w:cs="Arial"/>
          <w:i/>
          <w:iCs/>
        </w:rPr>
      </w:pPr>
    </w:p>
    <w:p w14:paraId="61D4B707" w14:textId="77777777" w:rsidR="009A2D37" w:rsidRPr="00522B1D" w:rsidRDefault="009A2D37"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Prerequisite and co-requisite modules</w:t>
      </w:r>
    </w:p>
    <w:p w14:paraId="387E6DE5" w14:textId="77777777" w:rsidR="009A2D37" w:rsidRPr="00522B1D" w:rsidRDefault="00463AEA" w:rsidP="007D522C">
      <w:pPr>
        <w:spacing w:after="120" w:line="240" w:lineRule="auto"/>
        <w:ind w:left="567" w:right="260"/>
        <w:jc w:val="both"/>
        <w:rPr>
          <w:rFonts w:ascii="Arial" w:hAnsi="Arial" w:cs="Arial"/>
          <w:iCs/>
          <w:sz w:val="20"/>
        </w:rPr>
      </w:pPr>
      <w:r w:rsidRPr="00522B1D">
        <w:rPr>
          <w:rFonts w:ascii="Arial" w:hAnsi="Arial" w:cs="Arial"/>
          <w:iCs/>
          <w:sz w:val="20"/>
        </w:rPr>
        <w:t>None, although all students will need either some experience of Public International Law or be willing to do early and intensive reading.</w:t>
      </w:r>
    </w:p>
    <w:p w14:paraId="654AC8AD" w14:textId="77777777" w:rsidR="00463AEA" w:rsidRPr="00302082" w:rsidRDefault="00463AEA" w:rsidP="007D522C">
      <w:pPr>
        <w:spacing w:after="120" w:line="240" w:lineRule="auto"/>
        <w:ind w:left="426" w:right="260"/>
        <w:jc w:val="both"/>
        <w:rPr>
          <w:rFonts w:ascii="Arial" w:hAnsi="Arial" w:cs="Arial"/>
          <w:i/>
          <w:iCs/>
        </w:rPr>
      </w:pPr>
    </w:p>
    <w:p w14:paraId="01017090" w14:textId="77777777" w:rsidR="009A2D37" w:rsidRPr="00522B1D" w:rsidRDefault="009A2D37"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The programmes of study to which the module contributes</w:t>
      </w:r>
    </w:p>
    <w:p w14:paraId="2F480461" w14:textId="77777777" w:rsidR="009A2D37" w:rsidRPr="00522B1D" w:rsidRDefault="00043573" w:rsidP="007D522C">
      <w:pPr>
        <w:spacing w:after="120" w:line="240" w:lineRule="auto"/>
        <w:ind w:left="567" w:right="260"/>
        <w:jc w:val="both"/>
        <w:rPr>
          <w:rFonts w:ascii="Arial" w:hAnsi="Arial" w:cs="Arial"/>
          <w:iCs/>
          <w:sz w:val="20"/>
        </w:rPr>
      </w:pPr>
      <w:r w:rsidRPr="00522B1D">
        <w:rPr>
          <w:rFonts w:ascii="Arial" w:hAnsi="Arial" w:cs="Arial"/>
          <w:iCs/>
          <w:sz w:val="20"/>
        </w:rPr>
        <w:t>Optional for students on the LLM in (Specialisation), LLM in Law, PG Diploma in (Specialisation) and PG Certificate in Law. Also available to students studying the MA in International Relations with International Law.</w:t>
      </w:r>
    </w:p>
    <w:p w14:paraId="78DCBC53" w14:textId="77777777" w:rsidR="00043573" w:rsidRPr="00302082" w:rsidRDefault="00043573" w:rsidP="007D522C">
      <w:pPr>
        <w:spacing w:after="120" w:line="240" w:lineRule="auto"/>
        <w:ind w:left="426" w:right="260"/>
        <w:jc w:val="both"/>
        <w:rPr>
          <w:rFonts w:ascii="Arial" w:hAnsi="Arial" w:cs="Arial"/>
          <w:i/>
          <w:iCs/>
        </w:rPr>
      </w:pPr>
    </w:p>
    <w:p w14:paraId="4731C59C" w14:textId="77777777" w:rsidR="009A2D37" w:rsidRPr="00522B1D" w:rsidRDefault="009A2D37" w:rsidP="007D522C">
      <w:pPr>
        <w:numPr>
          <w:ilvl w:val="0"/>
          <w:numId w:val="1"/>
        </w:numPr>
        <w:spacing w:after="120" w:line="240" w:lineRule="auto"/>
        <w:ind w:left="567" w:right="260" w:hanging="567"/>
        <w:rPr>
          <w:rFonts w:ascii="Arial" w:hAnsi="Arial" w:cs="Arial"/>
          <w:b/>
          <w:sz w:val="20"/>
        </w:rPr>
      </w:pPr>
      <w:r w:rsidRPr="00522B1D">
        <w:rPr>
          <w:rFonts w:ascii="Arial" w:hAnsi="Arial" w:cs="Arial"/>
          <w:b/>
          <w:sz w:val="20"/>
        </w:rPr>
        <w:t>The intended subject specific learning outcomes</w:t>
      </w:r>
      <w:r w:rsidR="00C729D7" w:rsidRPr="00522B1D">
        <w:rPr>
          <w:rFonts w:ascii="Arial" w:hAnsi="Arial" w:cs="Arial"/>
          <w:b/>
          <w:sz w:val="20"/>
        </w:rPr>
        <w:t>.</w:t>
      </w:r>
      <w:r w:rsidR="00C729D7" w:rsidRPr="00522B1D">
        <w:rPr>
          <w:rFonts w:ascii="Arial" w:hAnsi="Arial" w:cs="Arial"/>
          <w:b/>
          <w:sz w:val="20"/>
        </w:rPr>
        <w:br/>
        <w:t>On successfully completing the module students will be able to:</w:t>
      </w:r>
    </w:p>
    <w:p w14:paraId="5B76C0DF" w14:textId="77777777" w:rsidR="00043573" w:rsidRPr="00522B1D" w:rsidRDefault="00043573" w:rsidP="007D522C">
      <w:pPr>
        <w:pStyle w:val="ListParagraph"/>
        <w:numPr>
          <w:ilvl w:val="0"/>
          <w:numId w:val="11"/>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 xml:space="preserve">Demonstrate a sophisticated knowledge and understanding of the concepts, principles and rules of International </w:t>
      </w:r>
      <w:proofErr w:type="gramStart"/>
      <w:r w:rsidRPr="00522B1D">
        <w:rPr>
          <w:rFonts w:ascii="Arial" w:hAnsi="Arial" w:cs="Arial"/>
          <w:sz w:val="20"/>
          <w:szCs w:val="20"/>
        </w:rPr>
        <w:t>Law;</w:t>
      </w:r>
      <w:proofErr w:type="gramEnd"/>
    </w:p>
    <w:p w14:paraId="75D2049F" w14:textId="77777777" w:rsidR="00043573" w:rsidRPr="00522B1D" w:rsidRDefault="00043573" w:rsidP="007D522C">
      <w:pPr>
        <w:pStyle w:val="ListParagraph"/>
        <w:numPr>
          <w:ilvl w:val="0"/>
          <w:numId w:val="11"/>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 xml:space="preserve">Demonstrate a comprehensive knowledge and understanding of the current theoretical and doctrinal debates within International </w:t>
      </w:r>
      <w:proofErr w:type="gramStart"/>
      <w:r w:rsidRPr="00522B1D">
        <w:rPr>
          <w:rFonts w:ascii="Arial" w:hAnsi="Arial" w:cs="Arial"/>
          <w:sz w:val="20"/>
          <w:szCs w:val="20"/>
        </w:rPr>
        <w:t>Law;</w:t>
      </w:r>
      <w:proofErr w:type="gramEnd"/>
    </w:p>
    <w:p w14:paraId="15085142" w14:textId="77777777" w:rsidR="00043573" w:rsidRPr="00522B1D" w:rsidRDefault="00043573" w:rsidP="007D522C">
      <w:pPr>
        <w:pStyle w:val="ListParagraph"/>
        <w:numPr>
          <w:ilvl w:val="0"/>
          <w:numId w:val="11"/>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 xml:space="preserve">Demonstrate an intricate familiarity with the operations of the institutions of International </w:t>
      </w:r>
      <w:proofErr w:type="gramStart"/>
      <w:r w:rsidRPr="00522B1D">
        <w:rPr>
          <w:rFonts w:ascii="Arial" w:hAnsi="Arial" w:cs="Arial"/>
          <w:sz w:val="20"/>
          <w:szCs w:val="20"/>
        </w:rPr>
        <w:t>Law;</w:t>
      </w:r>
      <w:proofErr w:type="gramEnd"/>
    </w:p>
    <w:p w14:paraId="7B221070" w14:textId="77777777" w:rsidR="00043573" w:rsidRPr="00522B1D" w:rsidRDefault="00043573" w:rsidP="007D522C">
      <w:pPr>
        <w:pStyle w:val="ListParagraph"/>
        <w:numPr>
          <w:ilvl w:val="0"/>
          <w:numId w:val="11"/>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 xml:space="preserve">Critically apply international legal methods to international legal </w:t>
      </w:r>
      <w:proofErr w:type="gramStart"/>
      <w:r w:rsidRPr="00522B1D">
        <w:rPr>
          <w:rFonts w:ascii="Arial" w:hAnsi="Arial" w:cs="Arial"/>
          <w:sz w:val="20"/>
          <w:szCs w:val="20"/>
        </w:rPr>
        <w:t>problems;</w:t>
      </w:r>
      <w:proofErr w:type="gramEnd"/>
    </w:p>
    <w:p w14:paraId="64DD931E" w14:textId="77777777" w:rsidR="00463AEA" w:rsidRPr="00522B1D" w:rsidRDefault="00043573" w:rsidP="007D522C">
      <w:pPr>
        <w:pStyle w:val="ListParagraph"/>
        <w:numPr>
          <w:ilvl w:val="0"/>
          <w:numId w:val="11"/>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Demonstrate a critical awareness of the significance of International Law within the field of International Relations.</w:t>
      </w:r>
    </w:p>
    <w:p w14:paraId="2361DE9C" w14:textId="77777777" w:rsidR="00043573" w:rsidRPr="00522B1D" w:rsidRDefault="00043573" w:rsidP="007D522C">
      <w:pPr>
        <w:spacing w:after="120" w:line="240" w:lineRule="auto"/>
        <w:ind w:left="567" w:right="260"/>
        <w:jc w:val="both"/>
        <w:rPr>
          <w:rFonts w:ascii="Arial" w:hAnsi="Arial" w:cs="Arial"/>
          <w:i/>
          <w:sz w:val="20"/>
        </w:rPr>
      </w:pPr>
    </w:p>
    <w:p w14:paraId="7CA5D20C" w14:textId="77777777" w:rsidR="00C729D7" w:rsidRPr="00522B1D" w:rsidRDefault="009A2D37" w:rsidP="007D522C">
      <w:pPr>
        <w:numPr>
          <w:ilvl w:val="0"/>
          <w:numId w:val="1"/>
        </w:numPr>
        <w:spacing w:after="120" w:line="240" w:lineRule="auto"/>
        <w:ind w:left="567" w:right="260" w:hanging="567"/>
        <w:rPr>
          <w:rFonts w:ascii="Arial" w:hAnsi="Arial" w:cs="Arial"/>
          <w:b/>
          <w:sz w:val="20"/>
        </w:rPr>
      </w:pPr>
      <w:r w:rsidRPr="00522B1D">
        <w:rPr>
          <w:rFonts w:ascii="Arial" w:hAnsi="Arial" w:cs="Arial"/>
          <w:b/>
          <w:sz w:val="20"/>
        </w:rPr>
        <w:t>The intended generic learning outcomes</w:t>
      </w:r>
      <w:r w:rsidR="00C729D7" w:rsidRPr="00522B1D">
        <w:rPr>
          <w:rFonts w:ascii="Arial" w:hAnsi="Arial" w:cs="Arial"/>
          <w:b/>
          <w:sz w:val="20"/>
        </w:rPr>
        <w:t>.</w:t>
      </w:r>
      <w:r w:rsidR="00C729D7" w:rsidRPr="00522B1D">
        <w:rPr>
          <w:rFonts w:ascii="Arial" w:hAnsi="Arial" w:cs="Arial"/>
          <w:b/>
          <w:sz w:val="20"/>
        </w:rPr>
        <w:br/>
        <w:t>On successfully completing the module students will be able to:</w:t>
      </w:r>
    </w:p>
    <w:p w14:paraId="00780C3A" w14:textId="77777777" w:rsidR="008262D1" w:rsidRPr="00522B1D" w:rsidRDefault="008262D1" w:rsidP="007D522C">
      <w:pPr>
        <w:pStyle w:val="ListParagraph"/>
        <w:numPr>
          <w:ilvl w:val="0"/>
          <w:numId w:val="13"/>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 xml:space="preserve">Present and apply relevant knowledge and understanding in the form of a complex, reasoned and supported </w:t>
      </w:r>
      <w:proofErr w:type="gramStart"/>
      <w:r w:rsidRPr="00522B1D">
        <w:rPr>
          <w:rFonts w:ascii="Arial" w:hAnsi="Arial" w:cs="Arial"/>
          <w:sz w:val="20"/>
          <w:szCs w:val="20"/>
        </w:rPr>
        <w:t>argument;</w:t>
      </w:r>
      <w:proofErr w:type="gramEnd"/>
      <w:r w:rsidRPr="00522B1D">
        <w:rPr>
          <w:rFonts w:ascii="Arial" w:hAnsi="Arial" w:cs="Arial"/>
          <w:sz w:val="20"/>
          <w:szCs w:val="20"/>
        </w:rPr>
        <w:t xml:space="preserve"> </w:t>
      </w:r>
    </w:p>
    <w:p w14:paraId="1879B5E9" w14:textId="77777777" w:rsidR="008262D1" w:rsidRPr="00522B1D" w:rsidRDefault="008262D1" w:rsidP="007D522C">
      <w:pPr>
        <w:pStyle w:val="ListParagraph"/>
        <w:numPr>
          <w:ilvl w:val="0"/>
          <w:numId w:val="13"/>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Carry out thorough and independent research using a wide range of primary and secondary sources (both paper and electronic</w:t>
      </w:r>
      <w:proofErr w:type="gramStart"/>
      <w:r w:rsidRPr="00522B1D">
        <w:rPr>
          <w:rFonts w:ascii="Arial" w:hAnsi="Arial" w:cs="Arial"/>
          <w:sz w:val="20"/>
          <w:szCs w:val="20"/>
        </w:rPr>
        <w:t>);</w:t>
      </w:r>
      <w:proofErr w:type="gramEnd"/>
    </w:p>
    <w:p w14:paraId="10445EE6" w14:textId="77777777" w:rsidR="008262D1" w:rsidRPr="00522B1D" w:rsidRDefault="008262D1" w:rsidP="007D522C">
      <w:pPr>
        <w:pStyle w:val="ListParagraph"/>
        <w:numPr>
          <w:ilvl w:val="0"/>
          <w:numId w:val="13"/>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 xml:space="preserve">Critically analyse and evaluate various points of </w:t>
      </w:r>
      <w:proofErr w:type="gramStart"/>
      <w:r w:rsidRPr="00522B1D">
        <w:rPr>
          <w:rFonts w:ascii="Arial" w:hAnsi="Arial" w:cs="Arial"/>
          <w:sz w:val="20"/>
          <w:szCs w:val="20"/>
        </w:rPr>
        <w:t>view;</w:t>
      </w:r>
      <w:proofErr w:type="gramEnd"/>
    </w:p>
    <w:p w14:paraId="29F965D3" w14:textId="77777777" w:rsidR="008262D1" w:rsidRPr="00522B1D" w:rsidRDefault="008262D1" w:rsidP="007D522C">
      <w:pPr>
        <w:pStyle w:val="ListParagraph"/>
        <w:numPr>
          <w:ilvl w:val="0"/>
          <w:numId w:val="13"/>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Express coherent and</w:t>
      </w:r>
      <w:r w:rsidRPr="00522B1D" w:rsidDel="002E6C84">
        <w:rPr>
          <w:rFonts w:ascii="Arial" w:hAnsi="Arial" w:cs="Arial"/>
          <w:sz w:val="20"/>
          <w:szCs w:val="20"/>
        </w:rPr>
        <w:t xml:space="preserve"> </w:t>
      </w:r>
      <w:r w:rsidRPr="00522B1D">
        <w:rPr>
          <w:rFonts w:ascii="Arial" w:hAnsi="Arial" w:cs="Arial"/>
          <w:sz w:val="20"/>
          <w:szCs w:val="20"/>
        </w:rPr>
        <w:t xml:space="preserve">sophisticated ideas, arguments and </w:t>
      </w:r>
      <w:proofErr w:type="gramStart"/>
      <w:r w:rsidRPr="00522B1D">
        <w:rPr>
          <w:rFonts w:ascii="Arial" w:hAnsi="Arial" w:cs="Arial"/>
          <w:sz w:val="20"/>
          <w:szCs w:val="20"/>
        </w:rPr>
        <w:t>opinions;</w:t>
      </w:r>
      <w:proofErr w:type="gramEnd"/>
    </w:p>
    <w:p w14:paraId="5FC41DB0" w14:textId="77777777" w:rsidR="009A2D37" w:rsidRPr="00522B1D" w:rsidRDefault="008262D1" w:rsidP="007D522C">
      <w:pPr>
        <w:pStyle w:val="ListParagraph"/>
        <w:numPr>
          <w:ilvl w:val="0"/>
          <w:numId w:val="13"/>
        </w:numPr>
        <w:tabs>
          <w:tab w:val="left" w:pos="567"/>
        </w:tabs>
        <w:spacing w:after="80" w:line="240" w:lineRule="auto"/>
        <w:ind w:right="260"/>
        <w:jc w:val="both"/>
        <w:rPr>
          <w:rFonts w:ascii="Arial" w:hAnsi="Arial" w:cs="Arial"/>
          <w:sz w:val="20"/>
          <w:szCs w:val="20"/>
        </w:rPr>
      </w:pPr>
      <w:r w:rsidRPr="00522B1D">
        <w:rPr>
          <w:rFonts w:ascii="Arial" w:hAnsi="Arial" w:cs="Arial"/>
          <w:sz w:val="20"/>
          <w:szCs w:val="20"/>
        </w:rPr>
        <w:t>Undertake appropriate further training or research in the field.</w:t>
      </w:r>
    </w:p>
    <w:p w14:paraId="01B3DCD1" w14:textId="77777777" w:rsidR="008262D1" w:rsidRDefault="008262D1" w:rsidP="007D522C">
      <w:pPr>
        <w:pStyle w:val="Default"/>
        <w:spacing w:after="120"/>
        <w:ind w:left="720" w:right="260"/>
        <w:jc w:val="both"/>
        <w:rPr>
          <w:color w:val="auto"/>
          <w:sz w:val="22"/>
          <w:szCs w:val="22"/>
        </w:rPr>
      </w:pPr>
    </w:p>
    <w:p w14:paraId="6C2B010F" w14:textId="77777777" w:rsidR="009A2D37" w:rsidRPr="00522B1D" w:rsidRDefault="009A2D37"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A synopsis of the curriculum</w:t>
      </w:r>
    </w:p>
    <w:p w14:paraId="48D49310" w14:textId="77777777" w:rsidR="009A2D37" w:rsidRPr="00522B1D" w:rsidRDefault="008C2C5C" w:rsidP="007D522C">
      <w:pPr>
        <w:spacing w:after="120" w:line="240" w:lineRule="auto"/>
        <w:ind w:left="567" w:right="260"/>
        <w:jc w:val="both"/>
        <w:rPr>
          <w:rFonts w:ascii="Arial" w:hAnsi="Arial" w:cs="Arial"/>
          <w:iCs/>
          <w:sz w:val="20"/>
        </w:rPr>
      </w:pPr>
      <w:r w:rsidRPr="00522B1D">
        <w:rPr>
          <w:rFonts w:ascii="Arial" w:hAnsi="Arial" w:cs="Arial"/>
          <w:iCs/>
          <w:sz w:val="20"/>
        </w:rPr>
        <w:t xml:space="preserve">This module critically engages with the main components of Public International Law. The module begins with a critical review of the history of the international legal order and a review of key current perspectives in the study of international law. From this, the module reviews, amongst other topics, the sources of international law, issues around the relation between domestic law and international law, the recognition of states, the status of international organisations in international law, questions of jurisdiction and immunities, the settlement of disputes between states and state responsibility. As the module moves through these different topics particular emphasis will be given to how they can help students better understand global current issues, as well as the operation of </w:t>
      </w:r>
      <w:proofErr w:type="gramStart"/>
      <w:r w:rsidRPr="00522B1D">
        <w:rPr>
          <w:rFonts w:ascii="Arial" w:hAnsi="Arial" w:cs="Arial"/>
          <w:iCs/>
          <w:sz w:val="20"/>
        </w:rPr>
        <w:t>particular areas</w:t>
      </w:r>
      <w:proofErr w:type="gramEnd"/>
      <w:r w:rsidRPr="00522B1D">
        <w:rPr>
          <w:rFonts w:ascii="Arial" w:hAnsi="Arial" w:cs="Arial"/>
          <w:iCs/>
          <w:sz w:val="20"/>
        </w:rPr>
        <w:t xml:space="preserve"> of the international legal order, such as, international economic law, the law of the sea, the law of air space and outer space, international human rights law, the use of force and global security.</w:t>
      </w:r>
    </w:p>
    <w:p w14:paraId="1E1AABE6" w14:textId="77777777" w:rsidR="008C2C5C" w:rsidRPr="00302082" w:rsidRDefault="008C2C5C" w:rsidP="007D522C">
      <w:pPr>
        <w:spacing w:after="120" w:line="240" w:lineRule="auto"/>
        <w:ind w:left="426" w:right="260"/>
        <w:jc w:val="both"/>
        <w:rPr>
          <w:rFonts w:ascii="Arial" w:hAnsi="Arial" w:cs="Arial"/>
          <w:i/>
          <w:iCs/>
        </w:rPr>
      </w:pPr>
    </w:p>
    <w:p w14:paraId="00415D4B" w14:textId="77777777" w:rsidR="009A2D37" w:rsidRPr="00522B1D" w:rsidRDefault="00883204" w:rsidP="007D522C">
      <w:pPr>
        <w:numPr>
          <w:ilvl w:val="0"/>
          <w:numId w:val="1"/>
        </w:numPr>
        <w:spacing w:after="120" w:line="240" w:lineRule="auto"/>
        <w:ind w:left="567" w:right="260" w:hanging="567"/>
        <w:jc w:val="both"/>
        <w:rPr>
          <w:rFonts w:ascii="Arial" w:hAnsi="Arial" w:cs="Arial"/>
          <w:b/>
          <w:sz w:val="20"/>
        </w:rPr>
      </w:pPr>
      <w:r w:rsidRPr="00522B1D">
        <w:rPr>
          <w:rFonts w:ascii="Arial" w:hAnsi="Arial" w:cs="Arial"/>
          <w:b/>
          <w:sz w:val="20"/>
        </w:rPr>
        <w:t>Reading l</w:t>
      </w:r>
      <w:r w:rsidR="009A2D37" w:rsidRPr="00522B1D">
        <w:rPr>
          <w:rFonts w:ascii="Arial" w:hAnsi="Arial" w:cs="Arial"/>
          <w:b/>
          <w:sz w:val="20"/>
        </w:rPr>
        <w:t xml:space="preserve">ist </w:t>
      </w:r>
      <w:r w:rsidR="00274ED7" w:rsidRPr="00522B1D">
        <w:rPr>
          <w:rFonts w:ascii="Arial" w:hAnsi="Arial" w:cs="Arial"/>
          <w:b/>
          <w:sz w:val="20"/>
        </w:rPr>
        <w:t>(Indicative list, current at time of publication. Reading lists will be published annually)</w:t>
      </w:r>
    </w:p>
    <w:p w14:paraId="66A4A557" w14:textId="77777777" w:rsidR="008C2C5C" w:rsidRPr="00522B1D" w:rsidRDefault="008C2C5C" w:rsidP="007D522C">
      <w:pPr>
        <w:pStyle w:val="ListParagraph"/>
        <w:numPr>
          <w:ilvl w:val="0"/>
          <w:numId w:val="14"/>
        </w:numPr>
        <w:spacing w:after="120" w:line="240" w:lineRule="auto"/>
        <w:ind w:right="260"/>
        <w:jc w:val="both"/>
        <w:rPr>
          <w:rFonts w:ascii="Arial" w:hAnsi="Arial" w:cs="Arial"/>
          <w:sz w:val="20"/>
        </w:rPr>
      </w:pPr>
      <w:r w:rsidRPr="00522B1D">
        <w:rPr>
          <w:rFonts w:ascii="Arial" w:hAnsi="Arial" w:cs="Arial"/>
          <w:sz w:val="20"/>
        </w:rPr>
        <w:t>Cassese, International Law (OUP, 2nd ed., 2004)</w:t>
      </w:r>
    </w:p>
    <w:p w14:paraId="5567E30E" w14:textId="77777777" w:rsidR="008C2C5C" w:rsidRPr="00522B1D" w:rsidRDefault="008C2C5C" w:rsidP="007D522C">
      <w:pPr>
        <w:pStyle w:val="ListParagraph"/>
        <w:numPr>
          <w:ilvl w:val="0"/>
          <w:numId w:val="14"/>
        </w:numPr>
        <w:spacing w:after="120" w:line="240" w:lineRule="auto"/>
        <w:ind w:right="260"/>
        <w:jc w:val="both"/>
        <w:rPr>
          <w:rFonts w:ascii="Arial" w:hAnsi="Arial" w:cs="Arial"/>
          <w:sz w:val="20"/>
        </w:rPr>
      </w:pPr>
      <w:r w:rsidRPr="00522B1D">
        <w:rPr>
          <w:rFonts w:ascii="Arial" w:hAnsi="Arial" w:cs="Arial"/>
          <w:sz w:val="20"/>
        </w:rPr>
        <w:t xml:space="preserve">Crawford, James and </w:t>
      </w:r>
      <w:proofErr w:type="spellStart"/>
      <w:r w:rsidRPr="00522B1D">
        <w:rPr>
          <w:rFonts w:ascii="Arial" w:hAnsi="Arial" w:cs="Arial"/>
          <w:sz w:val="20"/>
        </w:rPr>
        <w:t>Koskenniemi</w:t>
      </w:r>
      <w:proofErr w:type="spellEnd"/>
      <w:r w:rsidRPr="00522B1D">
        <w:rPr>
          <w:rFonts w:ascii="Arial" w:hAnsi="Arial" w:cs="Arial"/>
          <w:sz w:val="20"/>
        </w:rPr>
        <w:t xml:space="preserve">, </w:t>
      </w:r>
      <w:proofErr w:type="spellStart"/>
      <w:r w:rsidRPr="00522B1D">
        <w:rPr>
          <w:rFonts w:ascii="Arial" w:hAnsi="Arial" w:cs="Arial"/>
          <w:sz w:val="20"/>
        </w:rPr>
        <w:t>Martti</w:t>
      </w:r>
      <w:proofErr w:type="spellEnd"/>
      <w:r w:rsidRPr="00522B1D">
        <w:rPr>
          <w:rFonts w:ascii="Arial" w:hAnsi="Arial" w:cs="Arial"/>
          <w:sz w:val="20"/>
        </w:rPr>
        <w:t xml:space="preserve"> (eds), Cambridge Companion to International Law (CUP, 2012).</w:t>
      </w:r>
    </w:p>
    <w:p w14:paraId="0D7E8042" w14:textId="77777777" w:rsidR="008C2C5C" w:rsidRPr="00522B1D" w:rsidRDefault="008C2C5C" w:rsidP="007D522C">
      <w:pPr>
        <w:pStyle w:val="ListParagraph"/>
        <w:numPr>
          <w:ilvl w:val="0"/>
          <w:numId w:val="14"/>
        </w:numPr>
        <w:spacing w:after="120" w:line="240" w:lineRule="auto"/>
        <w:ind w:right="260"/>
        <w:jc w:val="both"/>
        <w:rPr>
          <w:rFonts w:ascii="Arial" w:hAnsi="Arial" w:cs="Arial"/>
          <w:sz w:val="20"/>
        </w:rPr>
      </w:pPr>
      <w:r w:rsidRPr="00522B1D">
        <w:rPr>
          <w:rFonts w:ascii="Arial" w:hAnsi="Arial" w:cs="Arial"/>
          <w:sz w:val="20"/>
        </w:rPr>
        <w:t xml:space="preserve">Crawford, James, </w:t>
      </w:r>
      <w:proofErr w:type="spellStart"/>
      <w:r w:rsidRPr="00522B1D">
        <w:rPr>
          <w:rFonts w:ascii="Arial" w:hAnsi="Arial" w:cs="Arial"/>
          <w:sz w:val="20"/>
        </w:rPr>
        <w:t>Brownlie’s</w:t>
      </w:r>
      <w:proofErr w:type="spellEnd"/>
      <w:r w:rsidRPr="00522B1D">
        <w:rPr>
          <w:rFonts w:ascii="Arial" w:hAnsi="Arial" w:cs="Arial"/>
          <w:sz w:val="20"/>
        </w:rPr>
        <w:t xml:space="preserve"> Principles of Public International Law (OUP, 8th ed., 2012).</w:t>
      </w:r>
    </w:p>
    <w:p w14:paraId="490B143B" w14:textId="77777777" w:rsidR="008C2C5C" w:rsidRPr="00522B1D" w:rsidRDefault="008C2C5C" w:rsidP="007D522C">
      <w:pPr>
        <w:pStyle w:val="ListParagraph"/>
        <w:numPr>
          <w:ilvl w:val="0"/>
          <w:numId w:val="14"/>
        </w:numPr>
        <w:spacing w:after="120" w:line="240" w:lineRule="auto"/>
        <w:ind w:right="260"/>
        <w:jc w:val="both"/>
        <w:rPr>
          <w:rFonts w:ascii="Arial" w:hAnsi="Arial" w:cs="Arial"/>
          <w:sz w:val="20"/>
        </w:rPr>
      </w:pPr>
      <w:r w:rsidRPr="00522B1D">
        <w:rPr>
          <w:rFonts w:ascii="Arial" w:hAnsi="Arial" w:cs="Arial"/>
          <w:sz w:val="20"/>
        </w:rPr>
        <w:t>Evans, Malcolm (ed.), International Law (OUP, 4th ed., 2014).</w:t>
      </w:r>
    </w:p>
    <w:p w14:paraId="4913F460" w14:textId="77777777" w:rsidR="008C2C5C" w:rsidRPr="00522B1D" w:rsidRDefault="008C2C5C" w:rsidP="007D522C">
      <w:pPr>
        <w:pStyle w:val="ListParagraph"/>
        <w:numPr>
          <w:ilvl w:val="0"/>
          <w:numId w:val="14"/>
        </w:numPr>
        <w:spacing w:after="120" w:line="240" w:lineRule="auto"/>
        <w:ind w:right="260"/>
        <w:jc w:val="both"/>
        <w:rPr>
          <w:rFonts w:ascii="Arial" w:hAnsi="Arial" w:cs="Arial"/>
          <w:sz w:val="20"/>
        </w:rPr>
      </w:pPr>
      <w:proofErr w:type="spellStart"/>
      <w:r w:rsidRPr="00522B1D">
        <w:rPr>
          <w:rFonts w:ascii="Arial" w:hAnsi="Arial" w:cs="Arial"/>
          <w:sz w:val="20"/>
        </w:rPr>
        <w:t>Klabbers</w:t>
      </w:r>
      <w:proofErr w:type="spellEnd"/>
      <w:r w:rsidRPr="00522B1D">
        <w:rPr>
          <w:rFonts w:ascii="Arial" w:hAnsi="Arial" w:cs="Arial"/>
          <w:sz w:val="20"/>
        </w:rPr>
        <w:t>, Jan, International Law (CUP, 2013).</w:t>
      </w:r>
    </w:p>
    <w:p w14:paraId="1D92D1A8" w14:textId="77777777" w:rsidR="009A2D37" w:rsidRPr="00522B1D" w:rsidRDefault="008C2C5C" w:rsidP="007D522C">
      <w:pPr>
        <w:pStyle w:val="ListParagraph"/>
        <w:numPr>
          <w:ilvl w:val="0"/>
          <w:numId w:val="14"/>
        </w:numPr>
        <w:spacing w:after="120" w:line="240" w:lineRule="auto"/>
        <w:ind w:right="260"/>
        <w:jc w:val="both"/>
        <w:rPr>
          <w:rFonts w:ascii="Arial" w:hAnsi="Arial" w:cs="Arial"/>
          <w:sz w:val="20"/>
        </w:rPr>
      </w:pPr>
      <w:r w:rsidRPr="00522B1D">
        <w:rPr>
          <w:rFonts w:ascii="Arial" w:hAnsi="Arial" w:cs="Arial"/>
          <w:sz w:val="20"/>
        </w:rPr>
        <w:t>Shaw, Malcolm, International Law (CUP, 7th ed., 2014)</w:t>
      </w:r>
    </w:p>
    <w:p w14:paraId="2481D826" w14:textId="77777777" w:rsidR="008C2C5C" w:rsidRPr="00302082" w:rsidRDefault="008C2C5C" w:rsidP="007D522C">
      <w:pPr>
        <w:spacing w:after="120" w:line="240" w:lineRule="auto"/>
        <w:ind w:right="260"/>
        <w:jc w:val="both"/>
        <w:rPr>
          <w:rFonts w:ascii="Arial" w:hAnsi="Arial" w:cs="Arial"/>
          <w:b/>
        </w:rPr>
      </w:pPr>
    </w:p>
    <w:p w14:paraId="244DF389" w14:textId="77777777" w:rsidR="00883204" w:rsidRPr="00522B1D" w:rsidRDefault="009A2D37" w:rsidP="007D522C">
      <w:pPr>
        <w:numPr>
          <w:ilvl w:val="0"/>
          <w:numId w:val="1"/>
        </w:numPr>
        <w:spacing w:after="120" w:line="240" w:lineRule="auto"/>
        <w:ind w:left="567" w:right="260" w:hanging="567"/>
        <w:jc w:val="both"/>
        <w:rPr>
          <w:rFonts w:ascii="Arial" w:hAnsi="Arial" w:cs="Arial"/>
          <w:i/>
          <w:iCs/>
          <w:sz w:val="20"/>
        </w:rPr>
      </w:pPr>
      <w:r w:rsidRPr="00522B1D">
        <w:rPr>
          <w:rFonts w:ascii="Arial" w:hAnsi="Arial" w:cs="Arial"/>
          <w:b/>
          <w:sz w:val="20"/>
        </w:rPr>
        <w:t>Learning</w:t>
      </w:r>
      <w:r w:rsidR="00883204" w:rsidRPr="00522B1D">
        <w:rPr>
          <w:rFonts w:ascii="Arial" w:hAnsi="Arial" w:cs="Arial"/>
          <w:b/>
          <w:sz w:val="20"/>
        </w:rPr>
        <w:t xml:space="preserve"> and t</w:t>
      </w:r>
      <w:r w:rsidR="006F3F8B" w:rsidRPr="00522B1D">
        <w:rPr>
          <w:rFonts w:ascii="Arial" w:hAnsi="Arial" w:cs="Arial"/>
          <w:b/>
          <w:sz w:val="20"/>
        </w:rPr>
        <w:t>eaching m</w:t>
      </w:r>
      <w:r w:rsidRPr="00522B1D">
        <w:rPr>
          <w:rFonts w:ascii="Arial" w:hAnsi="Arial" w:cs="Arial"/>
          <w:b/>
          <w:sz w:val="20"/>
        </w:rPr>
        <w:t>ethods</w:t>
      </w:r>
    </w:p>
    <w:p w14:paraId="5D849E6B" w14:textId="77777777" w:rsidR="009A2D37" w:rsidRPr="00522B1D" w:rsidRDefault="00C57028" w:rsidP="007D522C">
      <w:pPr>
        <w:spacing w:after="120" w:line="240" w:lineRule="auto"/>
        <w:ind w:left="567" w:right="260"/>
        <w:jc w:val="both"/>
        <w:rPr>
          <w:rFonts w:ascii="Arial" w:hAnsi="Arial" w:cs="Arial"/>
          <w:iCs/>
          <w:sz w:val="20"/>
        </w:rPr>
      </w:pPr>
      <w:r w:rsidRPr="00522B1D">
        <w:rPr>
          <w:rFonts w:ascii="Arial" w:hAnsi="Arial" w:cs="Arial"/>
          <w:iCs/>
          <w:sz w:val="20"/>
        </w:rPr>
        <w:t>Total contact hours:</w:t>
      </w:r>
      <w:r w:rsidR="000412FF" w:rsidRPr="00522B1D">
        <w:rPr>
          <w:rFonts w:ascii="Arial" w:hAnsi="Arial" w:cs="Arial"/>
          <w:iCs/>
          <w:sz w:val="20"/>
        </w:rPr>
        <w:t xml:space="preserve"> 20</w:t>
      </w:r>
    </w:p>
    <w:p w14:paraId="43BE4BEF" w14:textId="77777777" w:rsidR="00C57028" w:rsidRPr="00522B1D" w:rsidRDefault="00C57028" w:rsidP="007D522C">
      <w:pPr>
        <w:spacing w:after="120" w:line="240" w:lineRule="auto"/>
        <w:ind w:left="567" w:right="260"/>
        <w:jc w:val="both"/>
        <w:rPr>
          <w:rFonts w:ascii="Arial" w:hAnsi="Arial" w:cs="Arial"/>
          <w:iCs/>
          <w:sz w:val="20"/>
        </w:rPr>
      </w:pPr>
      <w:r w:rsidRPr="00522B1D">
        <w:rPr>
          <w:rFonts w:ascii="Arial" w:hAnsi="Arial" w:cs="Arial"/>
          <w:iCs/>
          <w:sz w:val="20"/>
        </w:rPr>
        <w:t>Private study hours:</w:t>
      </w:r>
      <w:r w:rsidR="000412FF" w:rsidRPr="00522B1D">
        <w:rPr>
          <w:rFonts w:ascii="Arial" w:hAnsi="Arial" w:cs="Arial"/>
          <w:iCs/>
          <w:sz w:val="20"/>
        </w:rPr>
        <w:t xml:space="preserve"> 180</w:t>
      </w:r>
    </w:p>
    <w:p w14:paraId="7673DA3A" w14:textId="77777777" w:rsidR="00C57028" w:rsidRPr="00522B1D" w:rsidRDefault="00C57028" w:rsidP="007D522C">
      <w:pPr>
        <w:spacing w:after="120" w:line="240" w:lineRule="auto"/>
        <w:ind w:left="567" w:right="260"/>
        <w:jc w:val="both"/>
        <w:rPr>
          <w:rFonts w:ascii="Arial" w:hAnsi="Arial" w:cs="Arial"/>
          <w:iCs/>
          <w:sz w:val="20"/>
        </w:rPr>
      </w:pPr>
      <w:r w:rsidRPr="00522B1D">
        <w:rPr>
          <w:rFonts w:ascii="Arial" w:hAnsi="Arial" w:cs="Arial"/>
          <w:iCs/>
          <w:sz w:val="20"/>
        </w:rPr>
        <w:t>Total study hours:</w:t>
      </w:r>
      <w:r w:rsidR="000412FF" w:rsidRPr="00522B1D">
        <w:rPr>
          <w:rFonts w:ascii="Arial" w:hAnsi="Arial" w:cs="Arial"/>
          <w:iCs/>
          <w:sz w:val="20"/>
        </w:rPr>
        <w:t xml:space="preserve"> 200</w:t>
      </w:r>
    </w:p>
    <w:p w14:paraId="5587CB12" w14:textId="77777777" w:rsidR="009A2D37" w:rsidRPr="00302082" w:rsidRDefault="009A2D37" w:rsidP="007D522C">
      <w:pPr>
        <w:spacing w:after="120" w:line="240" w:lineRule="auto"/>
        <w:ind w:left="426" w:right="260"/>
        <w:jc w:val="both"/>
        <w:rPr>
          <w:rFonts w:ascii="Arial" w:hAnsi="Arial" w:cs="Arial"/>
          <w:i/>
          <w:iCs/>
        </w:rPr>
      </w:pPr>
    </w:p>
    <w:p w14:paraId="55864FDF" w14:textId="77777777" w:rsidR="00883204" w:rsidRPr="005303F6" w:rsidRDefault="00EF4933" w:rsidP="007D522C">
      <w:pPr>
        <w:numPr>
          <w:ilvl w:val="0"/>
          <w:numId w:val="1"/>
        </w:numPr>
        <w:spacing w:after="120" w:line="240" w:lineRule="auto"/>
        <w:ind w:left="567" w:right="260" w:hanging="567"/>
        <w:jc w:val="both"/>
        <w:rPr>
          <w:rFonts w:ascii="Arial" w:hAnsi="Arial" w:cs="Arial"/>
          <w:i/>
          <w:iCs/>
          <w:sz w:val="20"/>
        </w:rPr>
      </w:pPr>
      <w:r w:rsidRPr="005303F6">
        <w:rPr>
          <w:rFonts w:ascii="Arial" w:hAnsi="Arial" w:cs="Arial"/>
          <w:b/>
          <w:sz w:val="20"/>
        </w:rPr>
        <w:t>Assessment methods</w:t>
      </w:r>
    </w:p>
    <w:p w14:paraId="1CB31227" w14:textId="77777777" w:rsidR="00696FF5" w:rsidRPr="00522B1D" w:rsidRDefault="00696FF5" w:rsidP="007D522C">
      <w:pPr>
        <w:pStyle w:val="ListParagraph"/>
        <w:numPr>
          <w:ilvl w:val="1"/>
          <w:numId w:val="9"/>
        </w:numPr>
        <w:spacing w:after="120"/>
        <w:ind w:left="567" w:right="260" w:hanging="567"/>
        <w:jc w:val="both"/>
        <w:rPr>
          <w:rFonts w:ascii="Arial" w:hAnsi="Arial" w:cs="Arial"/>
          <w:iCs/>
          <w:sz w:val="20"/>
        </w:rPr>
      </w:pPr>
      <w:r w:rsidRPr="00522B1D">
        <w:rPr>
          <w:rFonts w:ascii="Arial" w:hAnsi="Arial" w:cs="Arial"/>
          <w:iCs/>
          <w:sz w:val="20"/>
        </w:rPr>
        <w:t>Main assessment methods</w:t>
      </w:r>
    </w:p>
    <w:p w14:paraId="1CCC2A7A" w14:textId="77777777" w:rsidR="007A6245" w:rsidRPr="00522B1D" w:rsidRDefault="00CC2E7F" w:rsidP="007D522C">
      <w:pPr>
        <w:spacing w:after="120" w:line="240" w:lineRule="auto"/>
        <w:ind w:left="567" w:right="260"/>
        <w:jc w:val="both"/>
        <w:rPr>
          <w:rFonts w:ascii="Arial" w:hAnsi="Arial" w:cs="Arial"/>
          <w:b/>
          <w:iCs/>
          <w:sz w:val="20"/>
        </w:rPr>
      </w:pPr>
      <w:r w:rsidRPr="00522B1D">
        <w:rPr>
          <w:rFonts w:ascii="Arial" w:hAnsi="Arial" w:cs="Arial"/>
          <w:iCs/>
          <w:sz w:val="20"/>
        </w:rPr>
        <w:t>Essay 5000 words (100%)</w:t>
      </w:r>
    </w:p>
    <w:p w14:paraId="5F8648A9" w14:textId="77777777" w:rsidR="006043FC" w:rsidRDefault="006043FC" w:rsidP="007D522C">
      <w:pPr>
        <w:spacing w:after="120" w:line="240" w:lineRule="auto"/>
        <w:ind w:left="426" w:right="260"/>
        <w:jc w:val="both"/>
        <w:rPr>
          <w:rFonts w:ascii="Arial" w:hAnsi="Arial" w:cs="Arial"/>
          <w:b/>
          <w:i/>
          <w:iCs/>
        </w:rPr>
      </w:pPr>
    </w:p>
    <w:p w14:paraId="3D9E5A08" w14:textId="77777777" w:rsidR="00696FF5" w:rsidRPr="00522B1D" w:rsidRDefault="00696FF5" w:rsidP="007D522C">
      <w:pPr>
        <w:spacing w:after="120"/>
        <w:ind w:left="567" w:right="260" w:hanging="567"/>
        <w:jc w:val="both"/>
        <w:rPr>
          <w:rFonts w:ascii="Arial" w:hAnsi="Arial" w:cs="Arial"/>
          <w:iCs/>
          <w:sz w:val="20"/>
        </w:rPr>
      </w:pPr>
      <w:r>
        <w:rPr>
          <w:rFonts w:ascii="Arial" w:hAnsi="Arial" w:cs="Arial"/>
          <w:iCs/>
        </w:rPr>
        <w:t>13.2</w:t>
      </w:r>
      <w:r>
        <w:rPr>
          <w:rFonts w:ascii="Arial" w:hAnsi="Arial" w:cs="Arial"/>
          <w:iCs/>
        </w:rPr>
        <w:tab/>
      </w:r>
      <w:r w:rsidRPr="00522B1D">
        <w:rPr>
          <w:rFonts w:ascii="Arial" w:hAnsi="Arial" w:cs="Arial"/>
          <w:iCs/>
          <w:sz w:val="20"/>
        </w:rPr>
        <w:t xml:space="preserve">Reassessment methods </w:t>
      </w:r>
    </w:p>
    <w:p w14:paraId="7EF0A830" w14:textId="77777777" w:rsidR="00C57028" w:rsidRPr="00522B1D" w:rsidRDefault="00CC2E7F" w:rsidP="007D522C">
      <w:pPr>
        <w:spacing w:after="120" w:line="240" w:lineRule="auto"/>
        <w:ind w:left="567" w:right="260"/>
        <w:jc w:val="both"/>
        <w:rPr>
          <w:rFonts w:ascii="Arial" w:hAnsi="Arial" w:cs="Arial"/>
          <w:b/>
          <w:iCs/>
          <w:sz w:val="20"/>
        </w:rPr>
      </w:pPr>
      <w:r w:rsidRPr="00522B1D">
        <w:rPr>
          <w:rFonts w:ascii="Arial" w:hAnsi="Arial" w:cs="Arial"/>
          <w:iCs/>
          <w:sz w:val="20"/>
        </w:rPr>
        <w:t>Reassessment instrument: 100% coursework</w:t>
      </w:r>
    </w:p>
    <w:p w14:paraId="71713DFC" w14:textId="77777777" w:rsidR="00696FF5" w:rsidRDefault="00696FF5" w:rsidP="007D522C">
      <w:pPr>
        <w:spacing w:after="120" w:line="240" w:lineRule="auto"/>
        <w:ind w:left="426" w:right="260"/>
        <w:jc w:val="both"/>
        <w:rPr>
          <w:rFonts w:ascii="Arial" w:hAnsi="Arial" w:cs="Arial"/>
          <w:b/>
          <w:i/>
          <w:iCs/>
        </w:rPr>
      </w:pPr>
    </w:p>
    <w:p w14:paraId="2063D2D4" w14:textId="23314AF8" w:rsidR="00274ED7" w:rsidRPr="007D522C" w:rsidRDefault="006F3F8B" w:rsidP="007D522C">
      <w:pPr>
        <w:numPr>
          <w:ilvl w:val="0"/>
          <w:numId w:val="1"/>
        </w:numPr>
        <w:spacing w:after="120" w:line="240" w:lineRule="auto"/>
        <w:ind w:left="567" w:right="260" w:hanging="567"/>
        <w:jc w:val="both"/>
        <w:rPr>
          <w:rFonts w:ascii="Arial" w:hAnsi="Arial" w:cs="Arial"/>
          <w:b/>
        </w:rPr>
      </w:pPr>
      <w:r w:rsidRPr="007D522C">
        <w:rPr>
          <w:rFonts w:ascii="Arial" w:hAnsi="Arial" w:cs="Arial"/>
          <w:b/>
        </w:rPr>
        <w:t xml:space="preserve">Map of </w:t>
      </w:r>
      <w:r w:rsidR="00883204" w:rsidRPr="007D522C">
        <w:rPr>
          <w:rFonts w:ascii="Arial" w:hAnsi="Arial" w:cs="Arial"/>
          <w:b/>
        </w:rPr>
        <w:t xml:space="preserve">module learning outcomes </w:t>
      </w:r>
      <w:r w:rsidR="00B30E07" w:rsidRPr="007D522C">
        <w:rPr>
          <w:rFonts w:ascii="Arial" w:hAnsi="Arial" w:cs="Arial"/>
          <w:b/>
        </w:rPr>
        <w:t>(sections 8 &amp; 9)</w:t>
      </w:r>
      <w:r w:rsidR="00883204" w:rsidRPr="007D522C">
        <w:rPr>
          <w:rFonts w:ascii="Arial" w:hAnsi="Arial" w:cs="Arial"/>
          <w:b/>
        </w:rPr>
        <w:t xml:space="preserve"> to l</w:t>
      </w:r>
      <w:r w:rsidRPr="007D522C">
        <w:rPr>
          <w:rFonts w:ascii="Arial" w:hAnsi="Arial" w:cs="Arial"/>
          <w:b/>
        </w:rPr>
        <w:t>earning</w:t>
      </w:r>
      <w:r w:rsidR="00B30E07" w:rsidRPr="007D522C">
        <w:rPr>
          <w:rFonts w:ascii="Arial" w:hAnsi="Arial" w:cs="Arial"/>
          <w:b/>
        </w:rPr>
        <w:t xml:space="preserve"> and </w:t>
      </w:r>
      <w:r w:rsidR="00883204" w:rsidRPr="007D522C">
        <w:rPr>
          <w:rFonts w:ascii="Arial" w:hAnsi="Arial" w:cs="Arial"/>
          <w:b/>
        </w:rPr>
        <w:t>teaching m</w:t>
      </w:r>
      <w:r w:rsidR="00B30E07" w:rsidRPr="007D522C">
        <w:rPr>
          <w:rFonts w:ascii="Arial" w:hAnsi="Arial" w:cs="Arial"/>
          <w:b/>
        </w:rPr>
        <w:t>ethods (section</w:t>
      </w:r>
      <w:r w:rsidR="007D522C">
        <w:rPr>
          <w:rFonts w:ascii="Arial" w:hAnsi="Arial" w:cs="Arial"/>
          <w:b/>
        </w:rPr>
        <w:t xml:space="preserve"> </w:t>
      </w:r>
      <w:r w:rsidR="00B30E07" w:rsidRPr="007D522C">
        <w:rPr>
          <w:rFonts w:ascii="Arial" w:hAnsi="Arial" w:cs="Arial"/>
          <w:b/>
        </w:rPr>
        <w:t>12</w:t>
      </w:r>
      <w:r w:rsidRPr="007D522C">
        <w:rPr>
          <w:rFonts w:ascii="Arial" w:hAnsi="Arial" w:cs="Arial"/>
          <w:b/>
        </w:rPr>
        <w:t>) and m</w:t>
      </w:r>
      <w:r w:rsidR="00883204" w:rsidRPr="007D522C">
        <w:rPr>
          <w:rFonts w:ascii="Arial" w:hAnsi="Arial" w:cs="Arial"/>
          <w:b/>
        </w:rPr>
        <w:t>ethods of a</w:t>
      </w:r>
      <w:r w:rsidR="00B30E07" w:rsidRPr="007D522C">
        <w:rPr>
          <w:rFonts w:ascii="Arial" w:hAnsi="Arial" w:cs="Arial"/>
          <w:b/>
        </w:rPr>
        <w:t>ssessment (section 13</w:t>
      </w:r>
      <w:r w:rsidR="00EF4933" w:rsidRPr="007D522C">
        <w:rPr>
          <w:rFonts w:ascii="Arial" w:hAnsi="Arial" w:cs="Arial"/>
          <w:b/>
        </w:rPr>
        <w:t>)</w:t>
      </w:r>
    </w:p>
    <w:p w14:paraId="632BD257" w14:textId="77777777" w:rsidR="007D522C" w:rsidRDefault="007D522C" w:rsidP="007D522C">
      <w:pPr>
        <w:spacing w:after="120" w:line="240" w:lineRule="auto"/>
        <w:ind w:left="567" w:right="261"/>
        <w:jc w:val="both"/>
        <w:rPr>
          <w:rFonts w:ascii="Arial" w:hAnsi="Arial" w:cs="Arial"/>
          <w:b/>
          <w:i/>
          <w:iCs/>
        </w:rPr>
      </w:pPr>
    </w:p>
    <w:tbl>
      <w:tblPr>
        <w:tblStyle w:val="TableGrid"/>
        <w:tblW w:w="3883" w:type="pct"/>
        <w:jc w:val="center"/>
        <w:tblLook w:val="04A0" w:firstRow="1" w:lastRow="0" w:firstColumn="1" w:lastColumn="0" w:noHBand="0" w:noVBand="1"/>
      </w:tblPr>
      <w:tblGrid>
        <w:gridCol w:w="2265"/>
        <w:gridCol w:w="585"/>
        <w:gridCol w:w="586"/>
        <w:gridCol w:w="583"/>
        <w:gridCol w:w="586"/>
        <w:gridCol w:w="583"/>
        <w:gridCol w:w="586"/>
        <w:gridCol w:w="586"/>
        <w:gridCol w:w="588"/>
        <w:gridCol w:w="586"/>
        <w:gridCol w:w="586"/>
      </w:tblGrid>
      <w:tr w:rsidR="0037541A" w:rsidRPr="00086D72" w14:paraId="6F3123C2" w14:textId="77777777" w:rsidTr="0037541A">
        <w:trPr>
          <w:trHeight w:val="397"/>
          <w:jc w:val="center"/>
        </w:trPr>
        <w:tc>
          <w:tcPr>
            <w:tcW w:w="1394" w:type="pct"/>
            <w:shd w:val="clear" w:color="auto" w:fill="D9D9D9" w:themeFill="background1" w:themeFillShade="D9"/>
            <w:vAlign w:val="center"/>
          </w:tcPr>
          <w:p w14:paraId="309BC03F" w14:textId="77777777" w:rsidR="0037541A" w:rsidRPr="00086D72" w:rsidRDefault="0037541A" w:rsidP="00151259">
            <w:pPr>
              <w:spacing w:after="80"/>
              <w:rPr>
                <w:rFonts w:ascii="Arial" w:hAnsi="Arial" w:cs="Arial"/>
                <w:i/>
                <w:sz w:val="20"/>
                <w:szCs w:val="20"/>
              </w:rPr>
            </w:pPr>
            <w:r w:rsidRPr="00086D72">
              <w:rPr>
                <w:rFonts w:ascii="Arial" w:hAnsi="Arial" w:cs="Arial"/>
                <w:b/>
                <w:sz w:val="20"/>
                <w:szCs w:val="20"/>
              </w:rPr>
              <w:t>Module learning outcome</w:t>
            </w:r>
          </w:p>
        </w:tc>
        <w:tc>
          <w:tcPr>
            <w:tcW w:w="360" w:type="pct"/>
            <w:vAlign w:val="center"/>
          </w:tcPr>
          <w:p w14:paraId="622AF153"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8.1</w:t>
            </w:r>
          </w:p>
        </w:tc>
        <w:tc>
          <w:tcPr>
            <w:tcW w:w="361" w:type="pct"/>
            <w:vAlign w:val="center"/>
          </w:tcPr>
          <w:p w14:paraId="2478DF16"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8.2</w:t>
            </w:r>
          </w:p>
        </w:tc>
        <w:tc>
          <w:tcPr>
            <w:tcW w:w="359" w:type="pct"/>
            <w:vAlign w:val="center"/>
          </w:tcPr>
          <w:p w14:paraId="4C1311FA"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8.3</w:t>
            </w:r>
          </w:p>
        </w:tc>
        <w:tc>
          <w:tcPr>
            <w:tcW w:w="361" w:type="pct"/>
            <w:vAlign w:val="center"/>
          </w:tcPr>
          <w:p w14:paraId="12A58C80"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8.4</w:t>
            </w:r>
          </w:p>
        </w:tc>
        <w:tc>
          <w:tcPr>
            <w:tcW w:w="359" w:type="pct"/>
            <w:vAlign w:val="center"/>
          </w:tcPr>
          <w:p w14:paraId="740BB475"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8.5</w:t>
            </w:r>
          </w:p>
        </w:tc>
        <w:tc>
          <w:tcPr>
            <w:tcW w:w="361" w:type="pct"/>
            <w:vAlign w:val="center"/>
          </w:tcPr>
          <w:p w14:paraId="0016E1EC"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9.1</w:t>
            </w:r>
          </w:p>
        </w:tc>
        <w:tc>
          <w:tcPr>
            <w:tcW w:w="361" w:type="pct"/>
            <w:vAlign w:val="center"/>
          </w:tcPr>
          <w:p w14:paraId="08E5C021"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9.2</w:t>
            </w:r>
          </w:p>
        </w:tc>
        <w:tc>
          <w:tcPr>
            <w:tcW w:w="362" w:type="pct"/>
            <w:vAlign w:val="center"/>
          </w:tcPr>
          <w:p w14:paraId="7108579A"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9.3</w:t>
            </w:r>
          </w:p>
        </w:tc>
        <w:tc>
          <w:tcPr>
            <w:tcW w:w="361" w:type="pct"/>
            <w:vAlign w:val="center"/>
          </w:tcPr>
          <w:p w14:paraId="68159D7B"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9.4</w:t>
            </w:r>
          </w:p>
        </w:tc>
        <w:tc>
          <w:tcPr>
            <w:tcW w:w="362" w:type="pct"/>
            <w:vAlign w:val="center"/>
          </w:tcPr>
          <w:p w14:paraId="20476D19"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9.5</w:t>
            </w:r>
          </w:p>
        </w:tc>
      </w:tr>
      <w:tr w:rsidR="0037541A" w:rsidRPr="00086D72" w14:paraId="5D318E4E" w14:textId="77777777" w:rsidTr="0037541A">
        <w:trPr>
          <w:trHeight w:val="397"/>
          <w:jc w:val="center"/>
        </w:trPr>
        <w:tc>
          <w:tcPr>
            <w:tcW w:w="1394" w:type="pct"/>
            <w:shd w:val="clear" w:color="auto" w:fill="D9D9D9" w:themeFill="background1" w:themeFillShade="D9"/>
            <w:vAlign w:val="center"/>
          </w:tcPr>
          <w:p w14:paraId="4B35B4D9" w14:textId="77777777" w:rsidR="0037541A" w:rsidRPr="00086D72" w:rsidRDefault="0037541A" w:rsidP="00151259">
            <w:pPr>
              <w:spacing w:after="80"/>
              <w:rPr>
                <w:rFonts w:ascii="Arial" w:hAnsi="Arial" w:cs="Arial"/>
                <w:b/>
                <w:sz w:val="20"/>
                <w:szCs w:val="20"/>
              </w:rPr>
            </w:pPr>
            <w:r w:rsidRPr="00086D72">
              <w:rPr>
                <w:rFonts w:ascii="Arial" w:hAnsi="Arial" w:cs="Arial"/>
                <w:b/>
                <w:sz w:val="20"/>
                <w:szCs w:val="20"/>
              </w:rPr>
              <w:t>Learning / teaching method</w:t>
            </w:r>
          </w:p>
        </w:tc>
        <w:tc>
          <w:tcPr>
            <w:tcW w:w="360" w:type="pct"/>
            <w:shd w:val="clear" w:color="auto" w:fill="D9D9D9" w:themeFill="background1" w:themeFillShade="D9"/>
            <w:vAlign w:val="center"/>
          </w:tcPr>
          <w:p w14:paraId="6667CDE9"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37533EC2" w14:textId="77777777" w:rsidR="0037541A" w:rsidRPr="00086D72" w:rsidRDefault="0037541A" w:rsidP="00151259">
            <w:pPr>
              <w:spacing w:after="80"/>
              <w:jc w:val="center"/>
              <w:rPr>
                <w:rFonts w:ascii="Arial" w:hAnsi="Arial" w:cs="Arial"/>
                <w:b/>
                <w:sz w:val="20"/>
                <w:szCs w:val="20"/>
              </w:rPr>
            </w:pPr>
          </w:p>
        </w:tc>
        <w:tc>
          <w:tcPr>
            <w:tcW w:w="359" w:type="pct"/>
            <w:shd w:val="clear" w:color="auto" w:fill="D9D9D9" w:themeFill="background1" w:themeFillShade="D9"/>
            <w:vAlign w:val="center"/>
          </w:tcPr>
          <w:p w14:paraId="0F9B6D86"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58C56760" w14:textId="77777777" w:rsidR="0037541A" w:rsidRPr="00086D72" w:rsidRDefault="0037541A" w:rsidP="00151259">
            <w:pPr>
              <w:spacing w:after="80"/>
              <w:jc w:val="center"/>
              <w:rPr>
                <w:rFonts w:ascii="Arial" w:hAnsi="Arial" w:cs="Arial"/>
                <w:b/>
                <w:sz w:val="20"/>
                <w:szCs w:val="20"/>
              </w:rPr>
            </w:pPr>
          </w:p>
        </w:tc>
        <w:tc>
          <w:tcPr>
            <w:tcW w:w="359" w:type="pct"/>
            <w:shd w:val="clear" w:color="auto" w:fill="D9D9D9" w:themeFill="background1" w:themeFillShade="D9"/>
            <w:vAlign w:val="center"/>
          </w:tcPr>
          <w:p w14:paraId="281BA279"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4734B234"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4BA56236" w14:textId="77777777" w:rsidR="0037541A" w:rsidRPr="00086D72" w:rsidRDefault="0037541A" w:rsidP="00151259">
            <w:pPr>
              <w:spacing w:after="80"/>
              <w:jc w:val="center"/>
              <w:rPr>
                <w:rFonts w:ascii="Arial" w:hAnsi="Arial" w:cs="Arial"/>
                <w:b/>
                <w:sz w:val="20"/>
                <w:szCs w:val="20"/>
              </w:rPr>
            </w:pPr>
          </w:p>
        </w:tc>
        <w:tc>
          <w:tcPr>
            <w:tcW w:w="362" w:type="pct"/>
            <w:shd w:val="clear" w:color="auto" w:fill="D9D9D9" w:themeFill="background1" w:themeFillShade="D9"/>
            <w:vAlign w:val="center"/>
          </w:tcPr>
          <w:p w14:paraId="22B58BFC"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29C7F846" w14:textId="77777777" w:rsidR="0037541A" w:rsidRPr="00086D72" w:rsidRDefault="0037541A" w:rsidP="00151259">
            <w:pPr>
              <w:spacing w:after="80"/>
              <w:jc w:val="center"/>
              <w:rPr>
                <w:rFonts w:ascii="Arial" w:hAnsi="Arial" w:cs="Arial"/>
                <w:b/>
                <w:sz w:val="20"/>
                <w:szCs w:val="20"/>
              </w:rPr>
            </w:pPr>
          </w:p>
        </w:tc>
        <w:tc>
          <w:tcPr>
            <w:tcW w:w="362" w:type="pct"/>
            <w:shd w:val="clear" w:color="auto" w:fill="D9D9D9" w:themeFill="background1" w:themeFillShade="D9"/>
            <w:vAlign w:val="center"/>
          </w:tcPr>
          <w:p w14:paraId="778C51F8" w14:textId="77777777" w:rsidR="0037541A" w:rsidRPr="00086D72" w:rsidRDefault="0037541A" w:rsidP="00151259">
            <w:pPr>
              <w:spacing w:after="80"/>
              <w:jc w:val="center"/>
              <w:rPr>
                <w:rFonts w:ascii="Arial" w:hAnsi="Arial" w:cs="Arial"/>
                <w:b/>
                <w:sz w:val="20"/>
                <w:szCs w:val="20"/>
              </w:rPr>
            </w:pPr>
          </w:p>
        </w:tc>
      </w:tr>
      <w:tr w:rsidR="0037541A" w:rsidRPr="00086D72" w14:paraId="1C34BB97" w14:textId="77777777" w:rsidTr="0037541A">
        <w:trPr>
          <w:trHeight w:val="397"/>
          <w:jc w:val="center"/>
        </w:trPr>
        <w:tc>
          <w:tcPr>
            <w:tcW w:w="1394" w:type="pct"/>
            <w:vAlign w:val="center"/>
          </w:tcPr>
          <w:p w14:paraId="512D1FE0" w14:textId="77777777" w:rsidR="0037541A" w:rsidRPr="00086D72" w:rsidRDefault="0037541A" w:rsidP="00151259">
            <w:pPr>
              <w:spacing w:after="80"/>
              <w:rPr>
                <w:rFonts w:ascii="Arial" w:hAnsi="Arial" w:cs="Arial"/>
                <w:sz w:val="20"/>
                <w:szCs w:val="20"/>
              </w:rPr>
            </w:pPr>
            <w:r w:rsidRPr="00086D72">
              <w:rPr>
                <w:rFonts w:ascii="Arial" w:hAnsi="Arial" w:cs="Arial"/>
                <w:sz w:val="20"/>
                <w:szCs w:val="20"/>
              </w:rPr>
              <w:t>Lecture/Seminar Workshops</w:t>
            </w:r>
          </w:p>
        </w:tc>
        <w:tc>
          <w:tcPr>
            <w:tcW w:w="360" w:type="pct"/>
            <w:vAlign w:val="center"/>
          </w:tcPr>
          <w:p w14:paraId="4B2CB089"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0C7D61A6"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59" w:type="pct"/>
            <w:vAlign w:val="center"/>
          </w:tcPr>
          <w:p w14:paraId="4117C3AB"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47BA50F6"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59" w:type="pct"/>
            <w:vAlign w:val="center"/>
          </w:tcPr>
          <w:p w14:paraId="51C0BF0A"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6A6DBC05"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0ED30068"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2" w:type="pct"/>
            <w:vAlign w:val="center"/>
          </w:tcPr>
          <w:p w14:paraId="4FC36188"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158190C0"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2" w:type="pct"/>
            <w:vAlign w:val="center"/>
          </w:tcPr>
          <w:p w14:paraId="269AD045"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r>
      <w:tr w:rsidR="0037541A" w:rsidRPr="00086D72" w14:paraId="2DD7839D" w14:textId="77777777" w:rsidTr="0037541A">
        <w:trPr>
          <w:trHeight w:val="397"/>
          <w:jc w:val="center"/>
        </w:trPr>
        <w:tc>
          <w:tcPr>
            <w:tcW w:w="1394" w:type="pct"/>
            <w:vAlign w:val="center"/>
          </w:tcPr>
          <w:p w14:paraId="2E0D3F23" w14:textId="77777777" w:rsidR="0037541A" w:rsidRPr="00086D72" w:rsidRDefault="0037541A" w:rsidP="00151259">
            <w:pPr>
              <w:spacing w:after="80"/>
              <w:rPr>
                <w:rFonts w:ascii="Arial" w:hAnsi="Arial" w:cs="Arial"/>
                <w:sz w:val="20"/>
                <w:szCs w:val="20"/>
              </w:rPr>
            </w:pPr>
            <w:r w:rsidRPr="00086D72">
              <w:rPr>
                <w:rFonts w:ascii="Arial" w:hAnsi="Arial" w:cs="Arial"/>
                <w:sz w:val="20"/>
                <w:szCs w:val="20"/>
              </w:rPr>
              <w:lastRenderedPageBreak/>
              <w:t>Private Study</w:t>
            </w:r>
          </w:p>
        </w:tc>
        <w:tc>
          <w:tcPr>
            <w:tcW w:w="360" w:type="pct"/>
            <w:vAlign w:val="center"/>
          </w:tcPr>
          <w:p w14:paraId="4D3BECCB"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0EF801BD"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59" w:type="pct"/>
            <w:vAlign w:val="center"/>
          </w:tcPr>
          <w:p w14:paraId="5B6768E7"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29305D6E"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59" w:type="pct"/>
            <w:vAlign w:val="center"/>
          </w:tcPr>
          <w:p w14:paraId="3F7D13F0"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3C72A2E6"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14E01AB0"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2" w:type="pct"/>
            <w:vAlign w:val="center"/>
          </w:tcPr>
          <w:p w14:paraId="746C9033"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03E4F290"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2" w:type="pct"/>
            <w:vAlign w:val="center"/>
          </w:tcPr>
          <w:p w14:paraId="013A1F83"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r>
      <w:tr w:rsidR="0037541A" w:rsidRPr="00086D72" w14:paraId="6C2782D9" w14:textId="77777777" w:rsidTr="0037541A">
        <w:trPr>
          <w:trHeight w:val="397"/>
          <w:jc w:val="center"/>
        </w:trPr>
        <w:tc>
          <w:tcPr>
            <w:tcW w:w="1394" w:type="pct"/>
            <w:shd w:val="clear" w:color="auto" w:fill="D9D9D9" w:themeFill="background1" w:themeFillShade="D9"/>
            <w:vAlign w:val="center"/>
          </w:tcPr>
          <w:p w14:paraId="3FE0D928" w14:textId="77777777" w:rsidR="0037541A" w:rsidRPr="00086D72" w:rsidRDefault="0037541A" w:rsidP="00151259">
            <w:pPr>
              <w:spacing w:after="80"/>
              <w:rPr>
                <w:rFonts w:ascii="Arial" w:hAnsi="Arial" w:cs="Arial"/>
                <w:b/>
                <w:sz w:val="20"/>
                <w:szCs w:val="20"/>
              </w:rPr>
            </w:pPr>
            <w:r w:rsidRPr="00086D72">
              <w:rPr>
                <w:rFonts w:ascii="Arial" w:hAnsi="Arial" w:cs="Arial"/>
                <w:b/>
                <w:sz w:val="20"/>
                <w:szCs w:val="20"/>
              </w:rPr>
              <w:t>Assessment method</w:t>
            </w:r>
          </w:p>
        </w:tc>
        <w:tc>
          <w:tcPr>
            <w:tcW w:w="360" w:type="pct"/>
            <w:shd w:val="clear" w:color="auto" w:fill="D9D9D9" w:themeFill="background1" w:themeFillShade="D9"/>
            <w:vAlign w:val="center"/>
          </w:tcPr>
          <w:p w14:paraId="2FF79E93"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498B30B0" w14:textId="77777777" w:rsidR="0037541A" w:rsidRPr="00086D72" w:rsidRDefault="0037541A" w:rsidP="00151259">
            <w:pPr>
              <w:spacing w:after="80"/>
              <w:jc w:val="center"/>
              <w:rPr>
                <w:rFonts w:ascii="Arial" w:hAnsi="Arial" w:cs="Arial"/>
                <w:b/>
                <w:sz w:val="20"/>
                <w:szCs w:val="20"/>
              </w:rPr>
            </w:pPr>
          </w:p>
        </w:tc>
        <w:tc>
          <w:tcPr>
            <w:tcW w:w="359" w:type="pct"/>
            <w:shd w:val="clear" w:color="auto" w:fill="D9D9D9" w:themeFill="background1" w:themeFillShade="D9"/>
            <w:vAlign w:val="center"/>
          </w:tcPr>
          <w:p w14:paraId="7BD7AE1E"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1C3FC177" w14:textId="77777777" w:rsidR="0037541A" w:rsidRPr="00086D72" w:rsidRDefault="0037541A" w:rsidP="00151259">
            <w:pPr>
              <w:spacing w:after="80"/>
              <w:jc w:val="center"/>
              <w:rPr>
                <w:rFonts w:ascii="Arial" w:hAnsi="Arial" w:cs="Arial"/>
                <w:b/>
                <w:sz w:val="20"/>
                <w:szCs w:val="20"/>
              </w:rPr>
            </w:pPr>
          </w:p>
        </w:tc>
        <w:tc>
          <w:tcPr>
            <w:tcW w:w="359" w:type="pct"/>
            <w:shd w:val="clear" w:color="auto" w:fill="D9D9D9" w:themeFill="background1" w:themeFillShade="D9"/>
            <w:vAlign w:val="center"/>
          </w:tcPr>
          <w:p w14:paraId="54EDC2C7"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4056303F"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4585C690" w14:textId="77777777" w:rsidR="0037541A" w:rsidRPr="00086D72" w:rsidRDefault="0037541A" w:rsidP="00151259">
            <w:pPr>
              <w:spacing w:after="80"/>
              <w:jc w:val="center"/>
              <w:rPr>
                <w:rFonts w:ascii="Arial" w:hAnsi="Arial" w:cs="Arial"/>
                <w:b/>
                <w:sz w:val="20"/>
                <w:szCs w:val="20"/>
              </w:rPr>
            </w:pPr>
          </w:p>
        </w:tc>
        <w:tc>
          <w:tcPr>
            <w:tcW w:w="362" w:type="pct"/>
            <w:shd w:val="clear" w:color="auto" w:fill="D9D9D9" w:themeFill="background1" w:themeFillShade="D9"/>
            <w:vAlign w:val="center"/>
          </w:tcPr>
          <w:p w14:paraId="381F6ECF" w14:textId="77777777" w:rsidR="0037541A" w:rsidRPr="00086D72" w:rsidRDefault="0037541A" w:rsidP="00151259">
            <w:pPr>
              <w:spacing w:after="80"/>
              <w:jc w:val="center"/>
              <w:rPr>
                <w:rFonts w:ascii="Arial" w:hAnsi="Arial" w:cs="Arial"/>
                <w:b/>
                <w:sz w:val="20"/>
                <w:szCs w:val="20"/>
              </w:rPr>
            </w:pPr>
          </w:p>
        </w:tc>
        <w:tc>
          <w:tcPr>
            <w:tcW w:w="361" w:type="pct"/>
            <w:shd w:val="clear" w:color="auto" w:fill="D9D9D9" w:themeFill="background1" w:themeFillShade="D9"/>
            <w:vAlign w:val="center"/>
          </w:tcPr>
          <w:p w14:paraId="28EAD5A4" w14:textId="77777777" w:rsidR="0037541A" w:rsidRPr="00086D72" w:rsidRDefault="0037541A" w:rsidP="00151259">
            <w:pPr>
              <w:spacing w:after="80"/>
              <w:jc w:val="center"/>
              <w:rPr>
                <w:rFonts w:ascii="Arial" w:hAnsi="Arial" w:cs="Arial"/>
                <w:b/>
                <w:sz w:val="20"/>
                <w:szCs w:val="20"/>
              </w:rPr>
            </w:pPr>
          </w:p>
        </w:tc>
        <w:tc>
          <w:tcPr>
            <w:tcW w:w="362" w:type="pct"/>
            <w:shd w:val="clear" w:color="auto" w:fill="D9D9D9" w:themeFill="background1" w:themeFillShade="D9"/>
            <w:vAlign w:val="center"/>
          </w:tcPr>
          <w:p w14:paraId="5412B145" w14:textId="77777777" w:rsidR="0037541A" w:rsidRPr="00086D72" w:rsidRDefault="0037541A" w:rsidP="00151259">
            <w:pPr>
              <w:spacing w:after="80"/>
              <w:jc w:val="center"/>
              <w:rPr>
                <w:rFonts w:ascii="Arial" w:hAnsi="Arial" w:cs="Arial"/>
                <w:b/>
                <w:sz w:val="20"/>
                <w:szCs w:val="20"/>
              </w:rPr>
            </w:pPr>
          </w:p>
        </w:tc>
      </w:tr>
      <w:tr w:rsidR="0037541A" w:rsidRPr="00086D72" w14:paraId="560C432A" w14:textId="77777777" w:rsidTr="0037541A">
        <w:trPr>
          <w:trHeight w:val="397"/>
          <w:jc w:val="center"/>
        </w:trPr>
        <w:tc>
          <w:tcPr>
            <w:tcW w:w="1394" w:type="pct"/>
            <w:vAlign w:val="center"/>
          </w:tcPr>
          <w:p w14:paraId="42D3B66B" w14:textId="77777777" w:rsidR="0037541A" w:rsidRPr="00086D72" w:rsidRDefault="0037541A" w:rsidP="00151259">
            <w:pPr>
              <w:spacing w:after="80"/>
              <w:rPr>
                <w:rFonts w:ascii="Arial" w:hAnsi="Arial" w:cs="Arial"/>
                <w:sz w:val="20"/>
                <w:szCs w:val="20"/>
              </w:rPr>
            </w:pPr>
            <w:r w:rsidRPr="00086D72">
              <w:rPr>
                <w:rFonts w:ascii="Arial" w:hAnsi="Arial" w:cs="Arial"/>
                <w:sz w:val="20"/>
                <w:szCs w:val="20"/>
              </w:rPr>
              <w:t>Essay</w:t>
            </w:r>
          </w:p>
        </w:tc>
        <w:tc>
          <w:tcPr>
            <w:tcW w:w="360" w:type="pct"/>
            <w:vAlign w:val="center"/>
          </w:tcPr>
          <w:p w14:paraId="4F09FCD0"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4D349E83"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59" w:type="pct"/>
            <w:vAlign w:val="center"/>
          </w:tcPr>
          <w:p w14:paraId="76B1F774"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246F249D"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59" w:type="pct"/>
            <w:vAlign w:val="center"/>
          </w:tcPr>
          <w:p w14:paraId="56DC5E18"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5F12AE5C"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6AB7F1FC"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2" w:type="pct"/>
            <w:vAlign w:val="center"/>
          </w:tcPr>
          <w:p w14:paraId="2DCB4656"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1" w:type="pct"/>
            <w:vAlign w:val="center"/>
          </w:tcPr>
          <w:p w14:paraId="6A561965"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c>
          <w:tcPr>
            <w:tcW w:w="362" w:type="pct"/>
            <w:vAlign w:val="center"/>
          </w:tcPr>
          <w:p w14:paraId="041934D3" w14:textId="77777777" w:rsidR="0037541A" w:rsidRPr="00086D72" w:rsidRDefault="0037541A" w:rsidP="00151259">
            <w:pPr>
              <w:spacing w:after="80"/>
              <w:jc w:val="center"/>
              <w:rPr>
                <w:rFonts w:ascii="Arial" w:hAnsi="Arial" w:cs="Arial"/>
                <w:sz w:val="20"/>
                <w:szCs w:val="20"/>
              </w:rPr>
            </w:pPr>
            <w:r w:rsidRPr="00086D72">
              <w:rPr>
                <w:rFonts w:ascii="Arial" w:hAnsi="Arial" w:cs="Arial"/>
                <w:sz w:val="20"/>
                <w:szCs w:val="20"/>
              </w:rPr>
              <w:t>X</w:t>
            </w:r>
          </w:p>
        </w:tc>
      </w:tr>
    </w:tbl>
    <w:p w14:paraId="2F798B29" w14:textId="77777777" w:rsidR="007A6245" w:rsidRDefault="007A6245" w:rsidP="00302082">
      <w:pPr>
        <w:spacing w:after="120" w:line="240" w:lineRule="auto"/>
        <w:ind w:left="426" w:right="260"/>
        <w:rPr>
          <w:rFonts w:ascii="Arial" w:hAnsi="Arial" w:cs="Arial"/>
          <w:b/>
          <w:iCs/>
        </w:rPr>
      </w:pPr>
    </w:p>
    <w:p w14:paraId="64DC62C2" w14:textId="77777777" w:rsidR="00883204" w:rsidRPr="00522B1D" w:rsidRDefault="00883204" w:rsidP="007D522C">
      <w:pPr>
        <w:numPr>
          <w:ilvl w:val="0"/>
          <w:numId w:val="1"/>
        </w:numPr>
        <w:spacing w:after="120" w:line="240" w:lineRule="auto"/>
        <w:ind w:left="567" w:right="260" w:hanging="567"/>
        <w:jc w:val="both"/>
        <w:rPr>
          <w:rFonts w:ascii="Arial" w:hAnsi="Arial" w:cs="Arial"/>
          <w:iCs/>
          <w:sz w:val="20"/>
        </w:rPr>
      </w:pPr>
      <w:r w:rsidRPr="00522B1D">
        <w:rPr>
          <w:rFonts w:ascii="Arial" w:hAnsi="Arial" w:cs="Arial"/>
          <w:b/>
          <w:bCs/>
          <w:sz w:val="20"/>
        </w:rPr>
        <w:t xml:space="preserve">Inclusive module design </w:t>
      </w:r>
    </w:p>
    <w:p w14:paraId="75C59586" w14:textId="425C9D02" w:rsidR="00883204" w:rsidRDefault="00883204" w:rsidP="007D522C">
      <w:pPr>
        <w:autoSpaceDE w:val="0"/>
        <w:autoSpaceDN w:val="0"/>
        <w:adjustRightInd w:val="0"/>
        <w:spacing w:after="120" w:line="240" w:lineRule="auto"/>
        <w:ind w:left="567" w:right="260"/>
        <w:jc w:val="both"/>
        <w:rPr>
          <w:rFonts w:ascii="Arial" w:hAnsi="Arial" w:cs="Arial"/>
          <w:sz w:val="20"/>
        </w:rPr>
      </w:pPr>
      <w:r w:rsidRPr="00522B1D">
        <w:rPr>
          <w:rFonts w:ascii="Arial" w:hAnsi="Arial" w:cs="Arial"/>
          <w:sz w:val="20"/>
        </w:rPr>
        <w:t xml:space="preserve">The </w:t>
      </w:r>
      <w:proofErr w:type="gramStart"/>
      <w:r w:rsidRPr="00522B1D">
        <w:rPr>
          <w:rFonts w:ascii="Arial" w:hAnsi="Arial" w:cs="Arial"/>
          <w:sz w:val="20"/>
        </w:rPr>
        <w:t>School</w:t>
      </w:r>
      <w:proofErr w:type="gramEnd"/>
      <w:r w:rsidRPr="00522B1D">
        <w:rPr>
          <w:rFonts w:ascii="Arial" w:hAnsi="Arial" w:cs="Arial"/>
          <w:sz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001EB4" w14:textId="77777777" w:rsidR="007D522C" w:rsidRPr="00522B1D" w:rsidRDefault="007D522C" w:rsidP="007D522C">
      <w:pPr>
        <w:autoSpaceDE w:val="0"/>
        <w:autoSpaceDN w:val="0"/>
        <w:adjustRightInd w:val="0"/>
        <w:spacing w:after="120" w:line="240" w:lineRule="auto"/>
        <w:ind w:left="567" w:right="260"/>
        <w:jc w:val="both"/>
        <w:rPr>
          <w:rFonts w:ascii="Arial" w:hAnsi="Arial" w:cs="Arial"/>
          <w:sz w:val="20"/>
        </w:rPr>
      </w:pPr>
    </w:p>
    <w:p w14:paraId="380628D8" w14:textId="7DA6DC71" w:rsidR="00883204" w:rsidRDefault="00883204" w:rsidP="007D522C">
      <w:pPr>
        <w:autoSpaceDE w:val="0"/>
        <w:autoSpaceDN w:val="0"/>
        <w:adjustRightInd w:val="0"/>
        <w:spacing w:after="120" w:line="240" w:lineRule="auto"/>
        <w:ind w:left="567" w:right="260"/>
        <w:jc w:val="both"/>
        <w:rPr>
          <w:rFonts w:ascii="Arial" w:hAnsi="Arial" w:cs="Arial"/>
          <w:sz w:val="20"/>
        </w:rPr>
      </w:pPr>
      <w:r w:rsidRPr="00522B1D">
        <w:rPr>
          <w:rFonts w:ascii="Arial" w:hAnsi="Arial" w:cs="Arial"/>
          <w:sz w:val="20"/>
        </w:rPr>
        <w:t xml:space="preserve">The inclusive practices in the guidance (see Annex B Appendix A) have been considered </w:t>
      </w:r>
      <w:proofErr w:type="gramStart"/>
      <w:r w:rsidRPr="00522B1D">
        <w:rPr>
          <w:rFonts w:ascii="Arial" w:hAnsi="Arial" w:cs="Arial"/>
          <w:sz w:val="20"/>
        </w:rPr>
        <w:t>in order to</w:t>
      </w:r>
      <w:proofErr w:type="gramEnd"/>
      <w:r w:rsidRPr="00522B1D">
        <w:rPr>
          <w:rFonts w:ascii="Arial" w:hAnsi="Arial" w:cs="Arial"/>
          <w:sz w:val="20"/>
        </w:rPr>
        <w:t xml:space="preserve"> support all students in the following areas:</w:t>
      </w:r>
    </w:p>
    <w:p w14:paraId="0563E167" w14:textId="77777777" w:rsidR="007D522C" w:rsidRPr="00522B1D" w:rsidRDefault="007D522C" w:rsidP="007D522C">
      <w:pPr>
        <w:autoSpaceDE w:val="0"/>
        <w:autoSpaceDN w:val="0"/>
        <w:adjustRightInd w:val="0"/>
        <w:spacing w:after="120" w:line="240" w:lineRule="auto"/>
        <w:ind w:left="567" w:right="260"/>
        <w:jc w:val="both"/>
        <w:rPr>
          <w:rFonts w:ascii="Arial" w:hAnsi="Arial" w:cs="Arial"/>
          <w:sz w:val="20"/>
        </w:rPr>
      </w:pPr>
    </w:p>
    <w:p w14:paraId="5F59C759" w14:textId="77777777" w:rsidR="0037541A" w:rsidRPr="00522B1D" w:rsidRDefault="0037541A" w:rsidP="007D522C">
      <w:pPr>
        <w:spacing w:after="80" w:line="240" w:lineRule="auto"/>
        <w:ind w:left="567" w:right="260"/>
        <w:rPr>
          <w:rFonts w:ascii="Arial" w:hAnsi="Arial" w:cs="Arial"/>
          <w:b/>
          <w:sz w:val="20"/>
        </w:rPr>
      </w:pPr>
      <w:r w:rsidRPr="00522B1D">
        <w:rPr>
          <w:rFonts w:ascii="Arial" w:hAnsi="Arial" w:cs="Arial"/>
          <w:b/>
          <w:sz w:val="20"/>
        </w:rPr>
        <w:t>a) Accessible resources and curriculum</w:t>
      </w:r>
      <w:r w:rsidRPr="00522B1D">
        <w:rPr>
          <w:rFonts w:ascii="Arial" w:hAnsi="Arial" w:cs="Arial"/>
          <w:b/>
          <w:sz w:val="20"/>
        </w:rPr>
        <w:br/>
      </w:r>
    </w:p>
    <w:p w14:paraId="12419C38" w14:textId="77777777" w:rsidR="0037541A" w:rsidRPr="00522B1D" w:rsidRDefault="0037541A" w:rsidP="007D522C">
      <w:pPr>
        <w:pStyle w:val="ListParagraph"/>
        <w:numPr>
          <w:ilvl w:val="1"/>
          <w:numId w:val="15"/>
        </w:numPr>
        <w:spacing w:after="80" w:line="240" w:lineRule="auto"/>
        <w:ind w:left="1134" w:right="260"/>
        <w:jc w:val="both"/>
        <w:rPr>
          <w:rFonts w:ascii="Arial" w:hAnsi="Arial" w:cs="Arial"/>
          <w:sz w:val="20"/>
        </w:rPr>
      </w:pPr>
      <w:r w:rsidRPr="00522B1D">
        <w:rPr>
          <w:rFonts w:ascii="Arial" w:hAnsi="Arial" w:cs="Arial"/>
          <w:sz w:val="20"/>
        </w:rPr>
        <w:t>Preference will be given to electronic resources that meet minimum accessibility standards and support the use of assistive technologies.</w:t>
      </w:r>
    </w:p>
    <w:p w14:paraId="7A12BF9F" w14:textId="77777777" w:rsidR="0037541A" w:rsidRPr="00522B1D" w:rsidRDefault="0037541A" w:rsidP="007D522C">
      <w:pPr>
        <w:pStyle w:val="ListParagraph"/>
        <w:numPr>
          <w:ilvl w:val="1"/>
          <w:numId w:val="15"/>
        </w:numPr>
        <w:spacing w:after="80" w:line="240" w:lineRule="auto"/>
        <w:ind w:left="1134" w:right="260"/>
        <w:jc w:val="both"/>
        <w:rPr>
          <w:rFonts w:ascii="Arial" w:hAnsi="Arial" w:cs="Arial"/>
          <w:sz w:val="20"/>
        </w:rPr>
      </w:pPr>
      <w:r w:rsidRPr="00522B1D">
        <w:rPr>
          <w:rFonts w:ascii="Arial" w:hAnsi="Arial" w:cs="Arial"/>
          <w:sz w:val="20"/>
        </w:rPr>
        <w:t xml:space="preserve">Module outlines will be made accessible before the module starts. </w:t>
      </w:r>
    </w:p>
    <w:p w14:paraId="3C4E2834" w14:textId="77777777" w:rsidR="0037541A" w:rsidRPr="00522B1D" w:rsidRDefault="0037541A" w:rsidP="007D522C">
      <w:pPr>
        <w:pStyle w:val="ListParagraph"/>
        <w:numPr>
          <w:ilvl w:val="1"/>
          <w:numId w:val="15"/>
        </w:numPr>
        <w:spacing w:after="80" w:line="240" w:lineRule="auto"/>
        <w:ind w:left="1134" w:right="260"/>
        <w:jc w:val="both"/>
        <w:rPr>
          <w:rFonts w:ascii="Arial" w:hAnsi="Arial" w:cs="Arial"/>
          <w:sz w:val="20"/>
        </w:rPr>
      </w:pPr>
      <w:r w:rsidRPr="00522B1D">
        <w:rPr>
          <w:rFonts w:ascii="Arial" w:hAnsi="Arial" w:cs="Arial"/>
          <w:sz w:val="20"/>
        </w:rPr>
        <w:t xml:space="preserve">Prioritised reading lists will be made available sufficiently in advance to accommodate the provision of alternative formats and support those with a slow reading speed. </w:t>
      </w:r>
    </w:p>
    <w:p w14:paraId="1D692D08" w14:textId="77777777" w:rsidR="0037541A" w:rsidRPr="00522B1D" w:rsidRDefault="0037541A" w:rsidP="007D522C">
      <w:pPr>
        <w:pStyle w:val="ListParagraph"/>
        <w:numPr>
          <w:ilvl w:val="1"/>
          <w:numId w:val="15"/>
        </w:numPr>
        <w:spacing w:after="80" w:line="240" w:lineRule="auto"/>
        <w:ind w:left="1134" w:right="260"/>
        <w:jc w:val="both"/>
        <w:rPr>
          <w:rFonts w:ascii="Arial" w:hAnsi="Arial" w:cs="Arial"/>
          <w:sz w:val="20"/>
        </w:rPr>
      </w:pPr>
      <w:r w:rsidRPr="00522B1D">
        <w:rPr>
          <w:rFonts w:ascii="Arial" w:hAnsi="Arial" w:cs="Arial"/>
          <w:sz w:val="20"/>
        </w:rPr>
        <w:t xml:space="preserve">Lecture/seminar slides/outlines will be made available in electronic format in advance to allow all students to prepare (particularly students with notetaking difficulties). </w:t>
      </w:r>
    </w:p>
    <w:p w14:paraId="66F15316" w14:textId="77777777" w:rsidR="00D6028E" w:rsidRPr="00522B1D" w:rsidRDefault="00D6028E" w:rsidP="007D522C">
      <w:pPr>
        <w:pStyle w:val="ListParagraph"/>
        <w:numPr>
          <w:ilvl w:val="1"/>
          <w:numId w:val="15"/>
        </w:numPr>
        <w:ind w:left="1134" w:right="260"/>
        <w:jc w:val="both"/>
        <w:rPr>
          <w:rFonts w:ascii="Arial" w:hAnsi="Arial" w:cs="Arial"/>
          <w:sz w:val="20"/>
        </w:rPr>
      </w:pPr>
      <w:r w:rsidRPr="00522B1D">
        <w:rPr>
          <w:rFonts w:ascii="Arial" w:hAnsi="Arial" w:cs="Arial"/>
          <w:sz w:val="20"/>
        </w:rPr>
        <w:t xml:space="preserve">In accordance with the KLS school-level statement on Lecture Capture, the lecture/seminars will not be recorded as they are heavily discussion-based. </w:t>
      </w:r>
    </w:p>
    <w:p w14:paraId="530D6243" w14:textId="63CAD3C1" w:rsidR="0037541A" w:rsidRPr="00522B1D" w:rsidRDefault="0037541A" w:rsidP="007D522C">
      <w:pPr>
        <w:pStyle w:val="ListParagraph"/>
        <w:spacing w:after="80" w:line="240" w:lineRule="auto"/>
        <w:ind w:left="567" w:right="260"/>
        <w:jc w:val="both"/>
        <w:rPr>
          <w:rFonts w:ascii="Arial" w:hAnsi="Arial" w:cs="Arial"/>
          <w:sz w:val="20"/>
        </w:rPr>
      </w:pPr>
    </w:p>
    <w:p w14:paraId="437F7410" w14:textId="77777777" w:rsidR="0037541A" w:rsidRPr="00522B1D" w:rsidRDefault="0037541A" w:rsidP="007D522C">
      <w:pPr>
        <w:spacing w:after="80" w:line="240" w:lineRule="auto"/>
        <w:ind w:left="567" w:right="260"/>
        <w:jc w:val="both"/>
        <w:rPr>
          <w:rFonts w:ascii="Arial" w:hAnsi="Arial" w:cs="Arial"/>
          <w:b/>
          <w:sz w:val="20"/>
        </w:rPr>
      </w:pPr>
      <w:r w:rsidRPr="00522B1D">
        <w:rPr>
          <w:rFonts w:ascii="Arial" w:hAnsi="Arial" w:cs="Arial"/>
          <w:b/>
          <w:sz w:val="20"/>
        </w:rPr>
        <w:t>b) Learning, teaching and assessment methods</w:t>
      </w:r>
    </w:p>
    <w:p w14:paraId="0B946DD8" w14:textId="33B66663" w:rsidR="00096DA4" w:rsidRDefault="0037541A" w:rsidP="007D522C">
      <w:pPr>
        <w:spacing w:after="80" w:line="240" w:lineRule="auto"/>
        <w:ind w:left="567" w:right="260"/>
        <w:jc w:val="both"/>
        <w:rPr>
          <w:rFonts w:ascii="Arial" w:hAnsi="Arial" w:cs="Arial"/>
          <w:iCs/>
          <w:sz w:val="18"/>
          <w:szCs w:val="20"/>
        </w:rPr>
      </w:pPr>
      <w:r w:rsidRPr="00522B1D">
        <w:rPr>
          <w:rFonts w:ascii="Arial" w:hAnsi="Arial" w:cs="Arial"/>
          <w:iCs/>
          <w:sz w:val="20"/>
        </w:rPr>
        <w:t>The inclusive practices in the guidance (Annex B Appendix A, section b</w:t>
      </w:r>
      <w:r w:rsidR="00522B1D">
        <w:rPr>
          <w:rFonts w:ascii="Arial" w:hAnsi="Arial" w:cs="Arial"/>
          <w:iCs/>
          <w:sz w:val="20"/>
        </w:rPr>
        <w:t xml:space="preserve"> </w:t>
      </w:r>
      <w:r w:rsidRPr="00522B1D">
        <w:rPr>
          <w:rFonts w:ascii="Arial" w:hAnsi="Arial" w:cs="Arial"/>
          <w:iCs/>
          <w:sz w:val="20"/>
        </w:rPr>
        <w:t xml:space="preserve">(1) and (2)) have all been considered </w:t>
      </w:r>
      <w:proofErr w:type="gramStart"/>
      <w:r w:rsidRPr="00522B1D">
        <w:rPr>
          <w:rFonts w:ascii="Arial" w:hAnsi="Arial" w:cs="Arial"/>
          <w:iCs/>
          <w:sz w:val="20"/>
        </w:rPr>
        <w:t>in order to</w:t>
      </w:r>
      <w:proofErr w:type="gramEnd"/>
      <w:r w:rsidRPr="00522B1D">
        <w:rPr>
          <w:rFonts w:ascii="Arial" w:hAnsi="Arial" w:cs="Arial"/>
          <w:iCs/>
          <w:sz w:val="20"/>
        </w:rPr>
        <w:t xml:space="preserve"> support all students in their assessments on this module.</w:t>
      </w:r>
    </w:p>
    <w:p w14:paraId="7782C24C" w14:textId="77777777" w:rsidR="007D522C" w:rsidRPr="00522B1D" w:rsidRDefault="007D522C" w:rsidP="007D522C">
      <w:pPr>
        <w:spacing w:after="80" w:line="240" w:lineRule="auto"/>
        <w:ind w:left="567" w:right="260"/>
        <w:jc w:val="both"/>
        <w:rPr>
          <w:rFonts w:ascii="Arial" w:hAnsi="Arial" w:cs="Arial"/>
          <w:i/>
          <w:iCs/>
          <w:sz w:val="20"/>
        </w:rPr>
      </w:pPr>
    </w:p>
    <w:p w14:paraId="5846BDC0" w14:textId="77777777" w:rsidR="009A2D37" w:rsidRPr="00522B1D" w:rsidRDefault="00883204" w:rsidP="007D522C">
      <w:pPr>
        <w:numPr>
          <w:ilvl w:val="0"/>
          <w:numId w:val="1"/>
        </w:numPr>
        <w:spacing w:after="120" w:line="240" w:lineRule="auto"/>
        <w:ind w:left="567" w:right="260" w:hanging="567"/>
        <w:jc w:val="both"/>
        <w:rPr>
          <w:rFonts w:ascii="Arial" w:hAnsi="Arial" w:cs="Arial"/>
          <w:b/>
          <w:sz w:val="20"/>
          <w:szCs w:val="20"/>
        </w:rPr>
      </w:pPr>
      <w:r w:rsidRPr="00522B1D">
        <w:rPr>
          <w:rFonts w:ascii="Arial" w:hAnsi="Arial" w:cs="Arial"/>
          <w:b/>
          <w:sz w:val="20"/>
          <w:szCs w:val="20"/>
        </w:rPr>
        <w:t>Campus(es) or c</w:t>
      </w:r>
      <w:r w:rsidR="009A2D37" w:rsidRPr="00522B1D">
        <w:rPr>
          <w:rFonts w:ascii="Arial" w:hAnsi="Arial" w:cs="Arial"/>
          <w:b/>
          <w:sz w:val="20"/>
          <w:szCs w:val="20"/>
        </w:rPr>
        <w:t>entre(s)</w:t>
      </w:r>
      <w:r w:rsidRPr="00522B1D">
        <w:rPr>
          <w:rFonts w:ascii="Arial" w:hAnsi="Arial" w:cs="Arial"/>
          <w:b/>
          <w:sz w:val="20"/>
          <w:szCs w:val="20"/>
        </w:rPr>
        <w:t xml:space="preserve"> where module will be delivered</w:t>
      </w:r>
    </w:p>
    <w:p w14:paraId="2CEA5720" w14:textId="77777777" w:rsidR="009A2D37" w:rsidRPr="00522B1D" w:rsidRDefault="009A2D37" w:rsidP="007D522C">
      <w:pPr>
        <w:spacing w:after="120" w:line="240" w:lineRule="auto"/>
        <w:ind w:left="567" w:right="260"/>
        <w:jc w:val="both"/>
        <w:rPr>
          <w:rFonts w:ascii="Arial" w:hAnsi="Arial" w:cs="Arial"/>
          <w:sz w:val="20"/>
          <w:szCs w:val="20"/>
        </w:rPr>
      </w:pPr>
      <w:r w:rsidRPr="00522B1D">
        <w:rPr>
          <w:rFonts w:ascii="Arial" w:hAnsi="Arial" w:cs="Arial"/>
          <w:sz w:val="20"/>
          <w:szCs w:val="20"/>
        </w:rPr>
        <w:t xml:space="preserve">Canterbury </w:t>
      </w:r>
    </w:p>
    <w:p w14:paraId="351D4170" w14:textId="77777777" w:rsidR="009A2D37" w:rsidRPr="00522B1D" w:rsidRDefault="009A2D37" w:rsidP="007D522C">
      <w:pPr>
        <w:spacing w:after="120" w:line="240" w:lineRule="auto"/>
        <w:ind w:left="426" w:right="260"/>
        <w:jc w:val="both"/>
        <w:rPr>
          <w:rFonts w:ascii="Arial" w:hAnsi="Arial" w:cs="Arial"/>
          <w:i/>
          <w:iCs/>
          <w:sz w:val="20"/>
        </w:rPr>
      </w:pPr>
    </w:p>
    <w:p w14:paraId="3E644539" w14:textId="77777777" w:rsidR="00883204" w:rsidRPr="00522B1D" w:rsidRDefault="00883204" w:rsidP="007D522C">
      <w:pPr>
        <w:numPr>
          <w:ilvl w:val="0"/>
          <w:numId w:val="1"/>
        </w:numPr>
        <w:spacing w:after="120" w:line="240" w:lineRule="auto"/>
        <w:ind w:left="567" w:right="260" w:hanging="568"/>
        <w:jc w:val="both"/>
        <w:rPr>
          <w:rFonts w:ascii="Arial" w:hAnsi="Arial" w:cs="Arial"/>
          <w:b/>
          <w:sz w:val="20"/>
        </w:rPr>
      </w:pPr>
      <w:r w:rsidRPr="00522B1D">
        <w:rPr>
          <w:rFonts w:ascii="Arial" w:hAnsi="Arial" w:cs="Arial"/>
          <w:b/>
          <w:sz w:val="20"/>
        </w:rPr>
        <w:t xml:space="preserve">Internationalisation </w:t>
      </w:r>
    </w:p>
    <w:p w14:paraId="27C065E3" w14:textId="77777777" w:rsidR="00883204" w:rsidRPr="00522B1D" w:rsidRDefault="0037541A" w:rsidP="007D522C">
      <w:pPr>
        <w:spacing w:after="120" w:line="240" w:lineRule="auto"/>
        <w:ind w:left="567" w:right="260"/>
        <w:jc w:val="both"/>
        <w:rPr>
          <w:rFonts w:ascii="Arial" w:hAnsi="Arial" w:cs="Arial"/>
          <w:sz w:val="20"/>
          <w:highlight w:val="yellow"/>
        </w:rPr>
      </w:pPr>
      <w:r w:rsidRPr="00522B1D">
        <w:rPr>
          <w:rFonts w:ascii="Arial" w:hAnsi="Arial" w:cs="Arial"/>
          <w:sz w:val="20"/>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 engage with the broader reach of laws and legal decision making in our global times.</w:t>
      </w:r>
    </w:p>
    <w:p w14:paraId="1B118890" w14:textId="77777777" w:rsidR="00D6028E" w:rsidRPr="00522B1D" w:rsidRDefault="00D6028E" w:rsidP="007D522C">
      <w:pPr>
        <w:ind w:right="260"/>
        <w:jc w:val="both"/>
        <w:rPr>
          <w:rFonts w:ascii="Arial" w:hAnsi="Arial" w:cs="Arial"/>
          <w:sz w:val="20"/>
        </w:rPr>
      </w:pPr>
      <w:r w:rsidRPr="00522B1D">
        <w:rPr>
          <w:rFonts w:ascii="Arial" w:hAnsi="Arial" w:cs="Arial"/>
          <w:sz w:val="20"/>
        </w:rPr>
        <w:br w:type="page"/>
      </w:r>
    </w:p>
    <w:p w14:paraId="0AB0C0A7" w14:textId="77777777" w:rsidR="00641D6D" w:rsidRPr="00302082" w:rsidRDefault="00641D6D" w:rsidP="00302082">
      <w:pPr>
        <w:pBdr>
          <w:bottom w:val="single" w:sz="6" w:space="1" w:color="auto"/>
        </w:pBdr>
        <w:spacing w:after="120" w:line="240" w:lineRule="auto"/>
        <w:ind w:right="260"/>
        <w:rPr>
          <w:rFonts w:ascii="Arial" w:hAnsi="Arial" w:cs="Arial"/>
        </w:rPr>
      </w:pPr>
    </w:p>
    <w:p w14:paraId="39DB6C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EFC5E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86F82B"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EADA536" w14:textId="77777777" w:rsidTr="007D522C">
        <w:trPr>
          <w:trHeight w:val="317"/>
        </w:trPr>
        <w:tc>
          <w:tcPr>
            <w:tcW w:w="1526" w:type="dxa"/>
          </w:tcPr>
          <w:p w14:paraId="12EB62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33D8F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1735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7874EA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8617A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314A2D2" w14:textId="77777777" w:rsidTr="007D522C">
        <w:trPr>
          <w:trHeight w:val="305"/>
        </w:trPr>
        <w:tc>
          <w:tcPr>
            <w:tcW w:w="1526" w:type="dxa"/>
          </w:tcPr>
          <w:p w14:paraId="36A7BD38" w14:textId="77777777" w:rsidR="00422B69" w:rsidRPr="00302082" w:rsidRDefault="00422B69" w:rsidP="00302082">
            <w:pPr>
              <w:spacing w:after="120"/>
              <w:ind w:right="-330"/>
              <w:rPr>
                <w:rFonts w:ascii="Arial" w:hAnsi="Arial" w:cs="Arial"/>
              </w:rPr>
            </w:pPr>
          </w:p>
        </w:tc>
        <w:tc>
          <w:tcPr>
            <w:tcW w:w="1701" w:type="dxa"/>
          </w:tcPr>
          <w:p w14:paraId="5C12D473" w14:textId="77777777" w:rsidR="00422B69" w:rsidRPr="00302082" w:rsidRDefault="00422B69" w:rsidP="00302082">
            <w:pPr>
              <w:spacing w:after="120"/>
              <w:ind w:right="-330"/>
              <w:rPr>
                <w:rFonts w:ascii="Arial" w:hAnsi="Arial" w:cs="Arial"/>
              </w:rPr>
            </w:pPr>
          </w:p>
        </w:tc>
        <w:tc>
          <w:tcPr>
            <w:tcW w:w="2410" w:type="dxa"/>
          </w:tcPr>
          <w:p w14:paraId="596D2814" w14:textId="77777777" w:rsidR="00422B69" w:rsidRPr="00302082" w:rsidRDefault="00422B69" w:rsidP="00302082">
            <w:pPr>
              <w:spacing w:after="120"/>
              <w:ind w:right="-330"/>
              <w:rPr>
                <w:rFonts w:ascii="Arial" w:hAnsi="Arial" w:cs="Arial"/>
              </w:rPr>
            </w:pPr>
          </w:p>
        </w:tc>
        <w:tc>
          <w:tcPr>
            <w:tcW w:w="2448" w:type="dxa"/>
          </w:tcPr>
          <w:p w14:paraId="4BA75B1C" w14:textId="77777777" w:rsidR="00422B69" w:rsidRPr="00302082" w:rsidRDefault="00422B69" w:rsidP="00302082">
            <w:pPr>
              <w:spacing w:after="120"/>
              <w:ind w:right="-330"/>
              <w:rPr>
                <w:rFonts w:ascii="Arial" w:hAnsi="Arial" w:cs="Arial"/>
              </w:rPr>
            </w:pPr>
          </w:p>
        </w:tc>
        <w:tc>
          <w:tcPr>
            <w:tcW w:w="2400" w:type="dxa"/>
          </w:tcPr>
          <w:p w14:paraId="6E5F24D3" w14:textId="77777777" w:rsidR="00422B69" w:rsidRPr="00302082" w:rsidRDefault="00422B69" w:rsidP="00302082">
            <w:pPr>
              <w:spacing w:after="120"/>
              <w:ind w:right="-330"/>
              <w:rPr>
                <w:rFonts w:ascii="Arial" w:hAnsi="Arial" w:cs="Arial"/>
              </w:rPr>
            </w:pPr>
          </w:p>
        </w:tc>
      </w:tr>
      <w:tr w:rsidR="00302082" w:rsidRPr="00302082" w14:paraId="6F04D139" w14:textId="77777777" w:rsidTr="007D522C">
        <w:trPr>
          <w:trHeight w:val="305"/>
        </w:trPr>
        <w:tc>
          <w:tcPr>
            <w:tcW w:w="1526" w:type="dxa"/>
          </w:tcPr>
          <w:p w14:paraId="59B728FB" w14:textId="77777777" w:rsidR="00422B69" w:rsidRPr="00302082" w:rsidRDefault="00422B69" w:rsidP="00302082">
            <w:pPr>
              <w:spacing w:after="120"/>
              <w:ind w:right="-330"/>
              <w:rPr>
                <w:rFonts w:ascii="Arial" w:hAnsi="Arial" w:cs="Arial"/>
              </w:rPr>
            </w:pPr>
          </w:p>
        </w:tc>
        <w:tc>
          <w:tcPr>
            <w:tcW w:w="1701" w:type="dxa"/>
          </w:tcPr>
          <w:p w14:paraId="62AC0517" w14:textId="77777777" w:rsidR="00422B69" w:rsidRPr="00302082" w:rsidRDefault="00422B69" w:rsidP="00302082">
            <w:pPr>
              <w:spacing w:after="120"/>
              <w:ind w:right="-330"/>
              <w:rPr>
                <w:rFonts w:ascii="Arial" w:hAnsi="Arial" w:cs="Arial"/>
              </w:rPr>
            </w:pPr>
          </w:p>
        </w:tc>
        <w:tc>
          <w:tcPr>
            <w:tcW w:w="2410" w:type="dxa"/>
          </w:tcPr>
          <w:p w14:paraId="7C4C305F" w14:textId="77777777" w:rsidR="00422B69" w:rsidRPr="00302082" w:rsidRDefault="00422B69" w:rsidP="00302082">
            <w:pPr>
              <w:spacing w:after="120"/>
              <w:ind w:right="-330"/>
              <w:rPr>
                <w:rFonts w:ascii="Arial" w:hAnsi="Arial" w:cs="Arial"/>
              </w:rPr>
            </w:pPr>
          </w:p>
        </w:tc>
        <w:tc>
          <w:tcPr>
            <w:tcW w:w="2448" w:type="dxa"/>
          </w:tcPr>
          <w:p w14:paraId="11E8B7BB" w14:textId="77777777" w:rsidR="00422B69" w:rsidRPr="00302082" w:rsidRDefault="00422B69" w:rsidP="00302082">
            <w:pPr>
              <w:spacing w:after="120"/>
              <w:ind w:right="-330"/>
              <w:rPr>
                <w:rFonts w:ascii="Arial" w:hAnsi="Arial" w:cs="Arial"/>
              </w:rPr>
            </w:pPr>
          </w:p>
        </w:tc>
        <w:tc>
          <w:tcPr>
            <w:tcW w:w="2400" w:type="dxa"/>
          </w:tcPr>
          <w:p w14:paraId="27DD474B" w14:textId="77777777" w:rsidR="00422B69" w:rsidRPr="00302082" w:rsidRDefault="00422B69" w:rsidP="00302082">
            <w:pPr>
              <w:spacing w:after="120"/>
              <w:ind w:right="-330"/>
              <w:rPr>
                <w:rFonts w:ascii="Arial" w:hAnsi="Arial" w:cs="Arial"/>
              </w:rPr>
            </w:pPr>
          </w:p>
        </w:tc>
      </w:tr>
    </w:tbl>
    <w:p w14:paraId="26DB74C4" w14:textId="77777777" w:rsidR="00D83563" w:rsidRDefault="00D83563" w:rsidP="00302082">
      <w:pPr>
        <w:spacing w:after="120" w:line="240" w:lineRule="auto"/>
        <w:ind w:right="-330"/>
        <w:rPr>
          <w:rFonts w:ascii="Arial" w:hAnsi="Arial" w:cs="Arial"/>
        </w:rPr>
      </w:pPr>
    </w:p>
    <w:p w14:paraId="4C1B3CD3" w14:textId="77777777" w:rsidR="00C57028" w:rsidRPr="00302082" w:rsidRDefault="00C57028" w:rsidP="007D522C">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7D522C">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4F8E" w14:textId="77777777" w:rsidR="007D1B30" w:rsidRDefault="007D1B30" w:rsidP="009A2D37">
      <w:pPr>
        <w:spacing w:after="0" w:line="240" w:lineRule="auto"/>
      </w:pPr>
      <w:r>
        <w:separator/>
      </w:r>
    </w:p>
  </w:endnote>
  <w:endnote w:type="continuationSeparator" w:id="0">
    <w:p w14:paraId="6769280D" w14:textId="77777777" w:rsidR="007D1B30" w:rsidRDefault="007D1B30" w:rsidP="009A2D37">
      <w:pPr>
        <w:spacing w:after="0" w:line="240" w:lineRule="auto"/>
      </w:pPr>
      <w:r>
        <w:continuationSeparator/>
      </w:r>
    </w:p>
  </w:endnote>
  <w:endnote w:type="continuationNotice" w:id="1">
    <w:p w14:paraId="50A058D0" w14:textId="77777777" w:rsidR="007D1B30" w:rsidRDefault="007D1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830A9FE" w14:textId="77777777" w:rsidR="007D522C" w:rsidRDefault="007D522C" w:rsidP="009A2D37">
        <w:pPr>
          <w:pStyle w:val="Footer"/>
          <w:jc w:val="center"/>
        </w:pPr>
      </w:p>
      <w:p w14:paraId="7C39621C" w14:textId="35E11D60" w:rsidR="008B2543" w:rsidRDefault="0019787E" w:rsidP="009A2D37">
        <w:pPr>
          <w:pStyle w:val="Footer"/>
          <w:jc w:val="center"/>
        </w:pPr>
        <w:r>
          <w:fldChar w:fldCharType="begin"/>
        </w:r>
        <w:r>
          <w:instrText xml:space="preserve"> PAGE   \* MERGEFORMAT </w:instrText>
        </w:r>
        <w:r>
          <w:fldChar w:fldCharType="separate"/>
        </w:r>
        <w:r w:rsidR="005303F6">
          <w:rPr>
            <w:noProof/>
          </w:rPr>
          <w:t>4</w:t>
        </w:r>
        <w:r>
          <w:rPr>
            <w:noProof/>
          </w:rPr>
          <w:fldChar w:fldCharType="end"/>
        </w:r>
      </w:p>
    </w:sdtContent>
  </w:sdt>
  <w:p w14:paraId="4075CAE0" w14:textId="77777777" w:rsidR="008B2543" w:rsidRPr="00043573" w:rsidRDefault="00043573" w:rsidP="00D6028E">
    <w:pPr>
      <w:spacing w:after="120" w:line="240" w:lineRule="auto"/>
      <w:ind w:left="567" w:right="260"/>
      <w:jc w:val="center"/>
      <w:rPr>
        <w:rFonts w:ascii="Arial" w:hAnsi="Arial" w:cs="Arial"/>
        <w:iCs/>
      </w:rPr>
    </w:pPr>
    <w:r w:rsidRPr="00043573">
      <w:rPr>
        <w:rFonts w:ascii="Arial" w:hAnsi="Arial" w:cs="Arial"/>
      </w:rPr>
      <w:t>LAWS8001</w:t>
    </w:r>
    <w:r>
      <w:rPr>
        <w:rFonts w:ascii="Arial" w:hAnsi="Arial" w:cs="Arial"/>
      </w:rPr>
      <w:t xml:space="preserve"> (LW8001) – Public International Law (Intensive)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BF6B" w14:textId="77777777" w:rsidR="00043573" w:rsidRPr="00252BE0" w:rsidRDefault="00043573" w:rsidP="00D6028E">
    <w:pPr>
      <w:spacing w:after="120" w:line="240" w:lineRule="auto"/>
      <w:ind w:left="567" w:right="260"/>
      <w:jc w:val="center"/>
      <w:rPr>
        <w:rFonts w:ascii="Arial" w:hAnsi="Arial" w:cs="Arial"/>
        <w:iCs/>
      </w:rPr>
    </w:pPr>
    <w:r w:rsidRPr="00043573">
      <w:rPr>
        <w:rFonts w:ascii="Arial" w:hAnsi="Arial" w:cs="Arial"/>
      </w:rPr>
      <w:t>LAWS8001</w:t>
    </w:r>
    <w:r>
      <w:rPr>
        <w:rFonts w:ascii="Arial" w:hAnsi="Arial" w:cs="Arial"/>
      </w:rPr>
      <w:t xml:space="preserve"> (LW8001) – Public International Law (Intensive)</w:t>
    </w:r>
  </w:p>
  <w:p w14:paraId="447A39DF" w14:textId="77777777" w:rsidR="00043573" w:rsidRDefault="0004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CC64" w14:textId="77777777" w:rsidR="007D1B30" w:rsidRDefault="007D1B30" w:rsidP="009A2D37">
      <w:pPr>
        <w:spacing w:after="0" w:line="240" w:lineRule="auto"/>
      </w:pPr>
      <w:r>
        <w:separator/>
      </w:r>
    </w:p>
  </w:footnote>
  <w:footnote w:type="continuationSeparator" w:id="0">
    <w:p w14:paraId="1046ACB9" w14:textId="77777777" w:rsidR="007D1B30" w:rsidRDefault="007D1B30" w:rsidP="009A2D37">
      <w:pPr>
        <w:spacing w:after="0" w:line="240" w:lineRule="auto"/>
      </w:pPr>
      <w:r>
        <w:continuationSeparator/>
      </w:r>
    </w:p>
  </w:footnote>
  <w:footnote w:type="continuationNotice" w:id="1">
    <w:p w14:paraId="41DE6D2B" w14:textId="77777777" w:rsidR="007D1B30" w:rsidRDefault="007D1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D2F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6EF481F" wp14:editId="44AE85F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BFB77A" w14:textId="77777777" w:rsidR="008B2543" w:rsidRPr="008C00F8" w:rsidRDefault="008B2543" w:rsidP="005E6D38">
    <w:pPr>
      <w:pStyle w:val="Heading1"/>
      <w:spacing w:before="60" w:after="60"/>
      <w:rPr>
        <w:rFonts w:ascii="Arial" w:hAnsi="Arial" w:cs="Arial"/>
      </w:rPr>
    </w:pPr>
  </w:p>
  <w:p w14:paraId="09EE9F3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7E4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656DB47" wp14:editId="7D271E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955F5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4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C8425B"/>
    <w:multiLevelType w:val="hybridMultilevel"/>
    <w:tmpl w:val="DC1492D8"/>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95F096C"/>
    <w:multiLevelType w:val="hybridMultilevel"/>
    <w:tmpl w:val="433A9278"/>
    <w:lvl w:ilvl="0" w:tplc="22265A20">
      <w:start w:val="1"/>
      <w:numFmt w:val="decimal"/>
      <w:lvlText w:val="%1."/>
      <w:lvlJc w:val="left"/>
      <w:pPr>
        <w:ind w:left="720" w:hanging="360"/>
      </w:pPr>
      <w:rPr>
        <w:b w:val="0"/>
        <w:i w:val="0"/>
      </w:rPr>
    </w:lvl>
    <w:lvl w:ilvl="1" w:tplc="9A067C2E">
      <w:start w:val="1"/>
      <w:numFmt w:val="none"/>
      <w:lvlText w:val="9.1."/>
      <w:lvlJc w:val="left"/>
      <w:pPr>
        <w:ind w:left="1440" w:hanging="360"/>
      </w:pPr>
      <w:rPr>
        <w:rFonts w:hint="default"/>
      </w:rPr>
    </w:lvl>
    <w:lvl w:ilvl="2" w:tplc="7DF6ABCA">
      <w:start w:val="1"/>
      <w:numFmt w:val="lowerLetter"/>
      <w:lvlText w:val="%3."/>
      <w:lvlJc w:val="left"/>
      <w:pPr>
        <w:ind w:left="2340" w:hanging="360"/>
      </w:pPr>
      <w:rPr>
        <w:rFonts w:hint="default"/>
      </w:rPr>
    </w:lvl>
    <w:lvl w:ilvl="3" w:tplc="DF72CD9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81E73"/>
    <w:multiLevelType w:val="hybridMultilevel"/>
    <w:tmpl w:val="92CAB9A0"/>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B117E5"/>
    <w:multiLevelType w:val="hybridMultilevel"/>
    <w:tmpl w:val="B164DD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54F1E0F"/>
    <w:multiLevelType w:val="hybridMultilevel"/>
    <w:tmpl w:val="433A9278"/>
    <w:lvl w:ilvl="0" w:tplc="22265A20">
      <w:start w:val="1"/>
      <w:numFmt w:val="decimal"/>
      <w:lvlText w:val="%1."/>
      <w:lvlJc w:val="left"/>
      <w:pPr>
        <w:ind w:left="720" w:hanging="360"/>
      </w:pPr>
      <w:rPr>
        <w:b w:val="0"/>
        <w:i w:val="0"/>
      </w:rPr>
    </w:lvl>
    <w:lvl w:ilvl="1" w:tplc="9A067C2E">
      <w:start w:val="1"/>
      <w:numFmt w:val="none"/>
      <w:lvlText w:val="9.1."/>
      <w:lvlJc w:val="left"/>
      <w:pPr>
        <w:ind w:left="1440" w:hanging="360"/>
      </w:pPr>
      <w:rPr>
        <w:rFonts w:hint="default"/>
      </w:rPr>
    </w:lvl>
    <w:lvl w:ilvl="2" w:tplc="7DF6ABCA">
      <w:start w:val="1"/>
      <w:numFmt w:val="lowerLetter"/>
      <w:lvlText w:val="%3."/>
      <w:lvlJc w:val="left"/>
      <w:pPr>
        <w:ind w:left="2340" w:hanging="360"/>
      </w:pPr>
      <w:rPr>
        <w:rFonts w:hint="default"/>
      </w:rPr>
    </w:lvl>
    <w:lvl w:ilvl="3" w:tplc="DF72CD9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B0E08"/>
    <w:multiLevelType w:val="hybridMultilevel"/>
    <w:tmpl w:val="C22CC84A"/>
    <w:lvl w:ilvl="0" w:tplc="95F2D2F2">
      <w:start w:val="1"/>
      <w:numFmt w:val="decimal"/>
      <w:lvlText w:val="%1."/>
      <w:lvlJc w:val="left"/>
      <w:pPr>
        <w:ind w:left="360" w:hanging="360"/>
      </w:pPr>
      <w:rPr>
        <w:rFonts w:ascii="Arial" w:hAnsi="Arial" w:cs="Arial" w:hint="default"/>
        <w:sz w:val="20"/>
        <w:szCs w:val="22"/>
      </w:rPr>
    </w:lvl>
    <w:lvl w:ilvl="1" w:tplc="C01EEBC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3"/>
  </w:num>
  <w:num w:numId="8">
    <w:abstractNumId w:val="9"/>
  </w:num>
  <w:num w:numId="9">
    <w:abstractNumId w:val="4"/>
  </w:num>
  <w:num w:numId="10">
    <w:abstractNumId w:val="12"/>
  </w:num>
  <w:num w:numId="11">
    <w:abstractNumId w:val="5"/>
  </w:num>
  <w:num w:numId="12">
    <w:abstractNumId w:val="6"/>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E0"/>
    <w:rsid w:val="00000C8C"/>
    <w:rsid w:val="000017F2"/>
    <w:rsid w:val="00002EDC"/>
    <w:rsid w:val="0000456B"/>
    <w:rsid w:val="00005661"/>
    <w:rsid w:val="00010A16"/>
    <w:rsid w:val="0001243F"/>
    <w:rsid w:val="00021EA0"/>
    <w:rsid w:val="00025992"/>
    <w:rsid w:val="00027937"/>
    <w:rsid w:val="00030C9E"/>
    <w:rsid w:val="00031E67"/>
    <w:rsid w:val="000408CC"/>
    <w:rsid w:val="000412FF"/>
    <w:rsid w:val="00043573"/>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31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BE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41A"/>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AE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B1D"/>
    <w:rsid w:val="005303F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F45"/>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B30"/>
    <w:rsid w:val="007D522C"/>
    <w:rsid w:val="007E3412"/>
    <w:rsid w:val="007F393D"/>
    <w:rsid w:val="008029AF"/>
    <w:rsid w:val="00802FFA"/>
    <w:rsid w:val="008102E5"/>
    <w:rsid w:val="008111B4"/>
    <w:rsid w:val="008133F0"/>
    <w:rsid w:val="00815880"/>
    <w:rsid w:val="0082322C"/>
    <w:rsid w:val="00823942"/>
    <w:rsid w:val="008262D1"/>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C5C"/>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2E7F"/>
    <w:rsid w:val="00CD7F07"/>
    <w:rsid w:val="00CE04F3"/>
    <w:rsid w:val="00CE12D8"/>
    <w:rsid w:val="00CE4574"/>
    <w:rsid w:val="00CE70E6"/>
    <w:rsid w:val="00CF2E1E"/>
    <w:rsid w:val="00D02E99"/>
    <w:rsid w:val="00D13357"/>
    <w:rsid w:val="00D13A13"/>
    <w:rsid w:val="00D2689A"/>
    <w:rsid w:val="00D6028E"/>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37C6"/>
  <w15:docId w15:val="{2A43520B-D7DD-4F9D-B22D-1429D1EC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57F10-9199-4680-B2D7-204F8D88C1EF}">
  <ds:schemaRefs>
    <ds:schemaRef ds:uri="http://schemas.microsoft.com/sharepoint/v3/contenttype/forms"/>
  </ds:schemaRefs>
</ds:datastoreItem>
</file>

<file path=customXml/itemProps2.xml><?xml version="1.0" encoding="utf-8"?>
<ds:datastoreItem xmlns:ds="http://schemas.openxmlformats.org/officeDocument/2006/customXml" ds:itemID="{69E31BB5-1537-4C81-B48B-2B26B96F059F}"/>
</file>

<file path=customXml/itemProps3.xml><?xml version="1.0" encoding="utf-8"?>
<ds:datastoreItem xmlns:ds="http://schemas.openxmlformats.org/officeDocument/2006/customXml" ds:itemID="{19945132-F9C9-4AB7-91C1-99E5AE2B3810}">
  <ds:schemaRefs>
    <ds:schemaRef ds:uri="http://schemas.openxmlformats.org/officeDocument/2006/bibliography"/>
  </ds:schemaRefs>
</ds:datastoreItem>
</file>

<file path=customXml/itemProps4.xml><?xml version="1.0" encoding="utf-8"?>
<ds:datastoreItem xmlns:ds="http://schemas.openxmlformats.org/officeDocument/2006/customXml" ds:itemID="{39D32C0D-3403-4E82-A2BC-BE36147BB793}">
  <ds:schemaRefs>
    <ds:schemaRef ds:uri="http://schemas.microsoft.com/sharepoint/events"/>
  </ds:schemaRefs>
</ds:datastoreItem>
</file>

<file path=customXml/itemProps5.xml><?xml version="1.0" encoding="utf-8"?>
<ds:datastoreItem xmlns:ds="http://schemas.openxmlformats.org/officeDocument/2006/customXml" ds:itemID="{EDF1C8D0-8347-405D-8DD8-E9BF92D7722B}">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6</cp:revision>
  <cp:lastPrinted>2015-09-09T08:37:00Z</cp:lastPrinted>
  <dcterms:created xsi:type="dcterms:W3CDTF">2018-02-19T11:25:00Z</dcterms:created>
  <dcterms:modified xsi:type="dcterms:W3CDTF">2022-03-22T15:49:00Z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1b7483ee-e87b-41cf-89ed-91f666282c76</vt:lpwstr>
  </property>
  <property fmtid="{D5CDD505-2E9C-101B-9397-08002B2CF9AE}" pid="4" name="Order">
    <vt:r8>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