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243" w14:textId="77777777" w:rsidR="00DD03C5" w:rsidRPr="00373ACB" w:rsidRDefault="00DD03C5" w:rsidP="00DD03C5">
      <w:pPr>
        <w:spacing w:after="0" w:line="240" w:lineRule="auto"/>
        <w:rPr>
          <w:rFonts w:ascii="Arial" w:hAnsi="Arial" w:cs="Arial"/>
          <w:sz w:val="20"/>
          <w:szCs w:val="20"/>
        </w:rPr>
      </w:pPr>
    </w:p>
    <w:p w14:paraId="15793132" w14:textId="77777777" w:rsidR="00DE6DDD" w:rsidRDefault="00DE6DDD" w:rsidP="00DE6DDD">
      <w:pPr>
        <w:spacing w:after="120" w:line="240" w:lineRule="auto"/>
        <w:ind w:left="426" w:right="260"/>
        <w:jc w:val="both"/>
        <w:rPr>
          <w:rFonts w:ascii="Arial" w:hAnsi="Arial" w:cs="Arial"/>
          <w:b/>
          <w:sz w:val="20"/>
          <w:szCs w:val="20"/>
        </w:rPr>
      </w:pPr>
    </w:p>
    <w:p w14:paraId="7A495A22" w14:textId="25A79C16"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B13D27E" w14:textId="44ECB16D" w:rsidR="009A2D37" w:rsidRPr="00373ACB" w:rsidRDefault="00C81E45" w:rsidP="0066061A">
      <w:pPr>
        <w:spacing w:after="120" w:line="240" w:lineRule="auto"/>
        <w:ind w:left="426" w:right="260"/>
        <w:rPr>
          <w:rFonts w:ascii="Arial" w:hAnsi="Arial" w:cs="Arial"/>
          <w:sz w:val="20"/>
          <w:szCs w:val="20"/>
        </w:rPr>
      </w:pPr>
      <w:r>
        <w:rPr>
          <w:rFonts w:ascii="Arial" w:hAnsi="Arial" w:cs="Arial"/>
          <w:sz w:val="20"/>
          <w:szCs w:val="20"/>
        </w:rPr>
        <w:t xml:space="preserve">LAWS6270 (LW627): </w:t>
      </w:r>
      <w:r w:rsidR="00AB7DF9">
        <w:rPr>
          <w:rFonts w:ascii="Arial" w:hAnsi="Arial" w:cs="Arial"/>
          <w:sz w:val="20"/>
          <w:szCs w:val="20"/>
        </w:rPr>
        <w:t>Contemporary</w:t>
      </w:r>
      <w:r w:rsidR="00AB7DF9" w:rsidRPr="004D5904">
        <w:rPr>
          <w:rFonts w:ascii="Arial" w:hAnsi="Arial" w:cs="Arial"/>
          <w:sz w:val="20"/>
          <w:szCs w:val="20"/>
        </w:rPr>
        <w:t xml:space="preserve"> </w:t>
      </w:r>
      <w:r w:rsidR="00AB7DF9">
        <w:rPr>
          <w:rFonts w:ascii="Arial" w:hAnsi="Arial" w:cs="Arial"/>
          <w:sz w:val="20"/>
          <w:szCs w:val="20"/>
        </w:rPr>
        <w:t>Issue</w:t>
      </w:r>
      <w:r w:rsidR="00AB7DF9" w:rsidRPr="004D5904">
        <w:rPr>
          <w:rFonts w:ascii="Arial" w:hAnsi="Arial" w:cs="Arial"/>
          <w:sz w:val="20"/>
          <w:szCs w:val="20"/>
        </w:rPr>
        <w:t xml:space="preserve">s </w:t>
      </w:r>
      <w:r w:rsidR="004D5904" w:rsidRPr="004D5904">
        <w:rPr>
          <w:rFonts w:ascii="Arial" w:hAnsi="Arial" w:cs="Arial"/>
          <w:sz w:val="20"/>
          <w:szCs w:val="20"/>
        </w:rPr>
        <w:t>in Trusts</w:t>
      </w:r>
    </w:p>
    <w:p w14:paraId="727F2D9F" w14:textId="77777777" w:rsidR="00C07A56" w:rsidRPr="00373ACB" w:rsidRDefault="00C07A56" w:rsidP="0066061A">
      <w:pPr>
        <w:spacing w:after="120" w:line="240" w:lineRule="auto"/>
        <w:ind w:left="426" w:right="260"/>
        <w:jc w:val="both"/>
        <w:rPr>
          <w:rFonts w:ascii="Arial" w:hAnsi="Arial" w:cs="Arial"/>
          <w:sz w:val="20"/>
          <w:szCs w:val="20"/>
        </w:rPr>
      </w:pPr>
    </w:p>
    <w:p w14:paraId="140624B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4ABB9FB4"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1AEA95B5" w14:textId="77777777" w:rsidR="00C07A56" w:rsidRPr="00373ACB" w:rsidRDefault="00C07A56" w:rsidP="0066061A">
      <w:pPr>
        <w:spacing w:after="120" w:line="240" w:lineRule="auto"/>
        <w:ind w:left="426" w:right="260"/>
        <w:rPr>
          <w:rFonts w:ascii="Arial" w:hAnsi="Arial" w:cs="Arial"/>
          <w:iCs/>
          <w:sz w:val="20"/>
          <w:szCs w:val="20"/>
        </w:rPr>
      </w:pPr>
    </w:p>
    <w:p w14:paraId="347E080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2062AF6" w14:textId="3F4E7C5E"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4D5904">
        <w:rPr>
          <w:rFonts w:ascii="Arial" w:hAnsi="Arial" w:cs="Arial"/>
          <w:iCs/>
          <w:sz w:val="20"/>
          <w:szCs w:val="20"/>
        </w:rPr>
        <w:t>6</w:t>
      </w:r>
    </w:p>
    <w:p w14:paraId="21AB1156" w14:textId="77777777" w:rsidR="00C07A56" w:rsidRPr="00373ACB" w:rsidRDefault="00C07A56" w:rsidP="0066061A">
      <w:pPr>
        <w:spacing w:after="120" w:line="240" w:lineRule="auto"/>
        <w:ind w:left="426" w:right="260"/>
        <w:rPr>
          <w:rFonts w:ascii="Arial" w:hAnsi="Arial" w:cs="Arial"/>
          <w:iCs/>
          <w:sz w:val="20"/>
          <w:szCs w:val="20"/>
        </w:rPr>
      </w:pPr>
    </w:p>
    <w:p w14:paraId="3AC4CE4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B2A8948" w14:textId="74986373"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 credits (7.5 ECTS Credits)</w:t>
      </w:r>
    </w:p>
    <w:p w14:paraId="19E162EE" w14:textId="77777777" w:rsidR="00C07A56" w:rsidRPr="00373ACB" w:rsidRDefault="00C07A56" w:rsidP="005E3FA7">
      <w:pPr>
        <w:spacing w:after="120" w:line="240" w:lineRule="auto"/>
        <w:ind w:left="426" w:right="260"/>
        <w:rPr>
          <w:rFonts w:ascii="Arial" w:hAnsi="Arial" w:cs="Arial"/>
          <w:sz w:val="20"/>
          <w:szCs w:val="20"/>
        </w:rPr>
      </w:pPr>
    </w:p>
    <w:p w14:paraId="769CFAC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F4DBEF1" w14:textId="0215F2C3"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 Spring</w:t>
      </w:r>
    </w:p>
    <w:p w14:paraId="64A32028" w14:textId="77777777" w:rsidR="00C07A56" w:rsidRPr="00373ACB" w:rsidRDefault="00C07A56" w:rsidP="005E3FA7">
      <w:pPr>
        <w:spacing w:line="240" w:lineRule="auto"/>
        <w:ind w:left="426"/>
        <w:rPr>
          <w:rFonts w:ascii="Arial" w:hAnsi="Arial" w:cs="Arial"/>
          <w:b/>
          <w:sz w:val="20"/>
          <w:szCs w:val="20"/>
        </w:rPr>
      </w:pPr>
    </w:p>
    <w:p w14:paraId="61157B11"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15561688" w14:textId="49520BAF" w:rsidR="005E3FA7" w:rsidRDefault="004D5904" w:rsidP="005E3FA7">
      <w:pPr>
        <w:spacing w:after="120" w:line="240" w:lineRule="auto"/>
        <w:ind w:left="426" w:right="260"/>
        <w:rPr>
          <w:rFonts w:ascii="Arial" w:hAnsi="Arial" w:cs="Arial"/>
          <w:iCs/>
          <w:sz w:val="20"/>
          <w:szCs w:val="20"/>
        </w:rPr>
      </w:pPr>
      <w:r w:rsidRPr="004D5904">
        <w:rPr>
          <w:rFonts w:ascii="Arial" w:hAnsi="Arial" w:cs="Arial"/>
          <w:iCs/>
          <w:sz w:val="20"/>
          <w:szCs w:val="20"/>
        </w:rPr>
        <w:t>L</w:t>
      </w:r>
      <w:r w:rsidR="00A73EEF">
        <w:rPr>
          <w:rFonts w:ascii="Arial" w:hAnsi="Arial" w:cs="Arial"/>
          <w:iCs/>
          <w:sz w:val="20"/>
          <w:szCs w:val="20"/>
        </w:rPr>
        <w:t>A</w:t>
      </w:r>
      <w:r w:rsidRPr="004D5904">
        <w:rPr>
          <w:rFonts w:ascii="Arial" w:hAnsi="Arial" w:cs="Arial"/>
          <w:iCs/>
          <w:sz w:val="20"/>
          <w:szCs w:val="20"/>
        </w:rPr>
        <w:t>W</w:t>
      </w:r>
      <w:r w:rsidR="00A73EEF">
        <w:rPr>
          <w:rFonts w:ascii="Arial" w:hAnsi="Arial" w:cs="Arial"/>
          <w:iCs/>
          <w:sz w:val="20"/>
          <w:szCs w:val="20"/>
        </w:rPr>
        <w:t>S</w:t>
      </w:r>
      <w:r w:rsidRPr="004D5904">
        <w:rPr>
          <w:rFonts w:ascii="Arial" w:hAnsi="Arial" w:cs="Arial"/>
          <w:iCs/>
          <w:sz w:val="20"/>
          <w:szCs w:val="20"/>
        </w:rPr>
        <w:t>598</w:t>
      </w:r>
      <w:r w:rsidR="00A73EEF">
        <w:rPr>
          <w:rFonts w:ascii="Arial" w:hAnsi="Arial" w:cs="Arial"/>
          <w:iCs/>
          <w:sz w:val="20"/>
          <w:szCs w:val="20"/>
        </w:rPr>
        <w:t>0</w:t>
      </w:r>
      <w:r w:rsidRPr="004D5904">
        <w:rPr>
          <w:rFonts w:ascii="Arial" w:hAnsi="Arial" w:cs="Arial"/>
          <w:iCs/>
          <w:sz w:val="20"/>
          <w:szCs w:val="20"/>
        </w:rPr>
        <w:t xml:space="preserve"> Equity and Trusts is a prerequisite for this module</w:t>
      </w:r>
      <w:r w:rsidR="00FC50A1">
        <w:rPr>
          <w:rFonts w:ascii="Arial" w:hAnsi="Arial" w:cs="Arial"/>
          <w:iCs/>
          <w:sz w:val="20"/>
          <w:szCs w:val="20"/>
        </w:rPr>
        <w:t>.</w:t>
      </w:r>
    </w:p>
    <w:p w14:paraId="6B4F17A3" w14:textId="77777777" w:rsidR="004D5904" w:rsidRPr="005E3FA7" w:rsidRDefault="004D5904" w:rsidP="005E3FA7">
      <w:pPr>
        <w:spacing w:after="120" w:line="240" w:lineRule="auto"/>
        <w:ind w:left="426" w:right="260"/>
        <w:rPr>
          <w:rFonts w:ascii="Arial" w:hAnsi="Arial" w:cs="Arial"/>
          <w:b/>
          <w:sz w:val="20"/>
          <w:szCs w:val="20"/>
        </w:rPr>
      </w:pPr>
    </w:p>
    <w:p w14:paraId="22AB14C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848168B" w14:textId="20CF270B" w:rsidR="009A2D37" w:rsidRPr="00373ACB" w:rsidRDefault="004D5904" w:rsidP="0066061A">
      <w:pPr>
        <w:spacing w:after="120" w:line="240" w:lineRule="auto"/>
        <w:ind w:left="426" w:right="260"/>
        <w:rPr>
          <w:rFonts w:ascii="Arial" w:hAnsi="Arial" w:cs="Arial"/>
          <w:iCs/>
          <w:sz w:val="20"/>
          <w:szCs w:val="20"/>
        </w:rPr>
      </w:pPr>
      <w:r w:rsidRPr="004D5904">
        <w:rPr>
          <w:rFonts w:ascii="Arial" w:hAnsi="Arial" w:cs="Arial"/>
          <w:iCs/>
          <w:sz w:val="20"/>
          <w:szCs w:val="20"/>
        </w:rPr>
        <w:t>All single and joint honours undergraduate law programmes.</w:t>
      </w:r>
    </w:p>
    <w:p w14:paraId="20959197" w14:textId="77777777" w:rsidR="00C07A56" w:rsidRPr="00373ACB" w:rsidRDefault="00C07A56" w:rsidP="0066061A">
      <w:pPr>
        <w:spacing w:after="120" w:line="240" w:lineRule="auto"/>
        <w:ind w:left="426" w:right="260"/>
        <w:rPr>
          <w:rFonts w:ascii="Arial" w:hAnsi="Arial" w:cs="Arial"/>
          <w:iCs/>
          <w:sz w:val="20"/>
          <w:szCs w:val="20"/>
        </w:rPr>
      </w:pPr>
    </w:p>
    <w:p w14:paraId="24FEFF16" w14:textId="27C73F4B"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658CAF6E" w14:textId="77777777" w:rsidR="00380EAE" w:rsidRPr="00373ACB" w:rsidRDefault="00380EAE" w:rsidP="004D5904">
      <w:pPr>
        <w:spacing w:after="120" w:line="240" w:lineRule="auto"/>
        <w:ind w:left="294" w:right="260"/>
        <w:rPr>
          <w:rFonts w:ascii="Arial" w:hAnsi="Arial" w:cs="Arial"/>
          <w:b/>
          <w:sz w:val="20"/>
          <w:szCs w:val="20"/>
        </w:rPr>
      </w:pPr>
    </w:p>
    <w:p w14:paraId="14F7416C" w14:textId="475F7ACA" w:rsidR="004D5904" w:rsidRDefault="00FC50A1" w:rsidP="00DD03C5">
      <w:pPr>
        <w:pStyle w:val="ListParagraph"/>
        <w:numPr>
          <w:ilvl w:val="1"/>
          <w:numId w:val="1"/>
        </w:numPr>
        <w:spacing w:before="60" w:after="60" w:line="240" w:lineRule="auto"/>
        <w:ind w:left="851" w:right="260" w:hanging="435"/>
        <w:jc w:val="both"/>
        <w:rPr>
          <w:rFonts w:ascii="Arial" w:hAnsi="Arial" w:cs="Arial"/>
          <w:sz w:val="20"/>
          <w:szCs w:val="20"/>
        </w:rPr>
      </w:pPr>
      <w:r>
        <w:rPr>
          <w:rFonts w:ascii="Arial" w:hAnsi="Arial" w:cs="Arial"/>
          <w:sz w:val="20"/>
          <w:szCs w:val="20"/>
        </w:rPr>
        <w:t xml:space="preserve">Demonstrate </w:t>
      </w:r>
      <w:r w:rsidR="00292386">
        <w:rPr>
          <w:rFonts w:ascii="Arial" w:hAnsi="Arial" w:cs="Arial"/>
          <w:sz w:val="20"/>
          <w:szCs w:val="20"/>
        </w:rPr>
        <w:t>a critical</w:t>
      </w:r>
      <w:r w:rsidR="004D5904">
        <w:rPr>
          <w:rFonts w:ascii="Arial" w:hAnsi="Arial" w:cs="Arial"/>
          <w:sz w:val="20"/>
          <w:szCs w:val="20"/>
        </w:rPr>
        <w:t xml:space="preserve"> understanding of </w:t>
      </w:r>
      <w:r w:rsidR="00292386">
        <w:rPr>
          <w:rFonts w:ascii="Arial" w:hAnsi="Arial" w:cs="Arial"/>
          <w:sz w:val="20"/>
          <w:szCs w:val="20"/>
        </w:rPr>
        <w:t>trusts in socio-economic context.</w:t>
      </w:r>
    </w:p>
    <w:p w14:paraId="6C957E0F" w14:textId="1F452D80" w:rsidR="004D5904" w:rsidRDefault="00FC50A1" w:rsidP="00DD03C5">
      <w:pPr>
        <w:pStyle w:val="ListParagraph"/>
        <w:numPr>
          <w:ilvl w:val="1"/>
          <w:numId w:val="1"/>
        </w:numPr>
        <w:spacing w:before="60" w:after="60" w:line="240" w:lineRule="auto"/>
        <w:ind w:left="851" w:right="260" w:hanging="435"/>
        <w:jc w:val="both"/>
        <w:rPr>
          <w:rFonts w:ascii="Arial" w:hAnsi="Arial" w:cs="Arial"/>
          <w:sz w:val="20"/>
          <w:szCs w:val="20"/>
        </w:rPr>
      </w:pPr>
      <w:r>
        <w:rPr>
          <w:rFonts w:ascii="Arial" w:hAnsi="Arial" w:cs="Arial"/>
          <w:sz w:val="20"/>
          <w:szCs w:val="20"/>
        </w:rPr>
        <w:t xml:space="preserve">Demonstrate a </w:t>
      </w:r>
      <w:r w:rsidR="004D5904">
        <w:rPr>
          <w:rFonts w:ascii="Arial" w:hAnsi="Arial" w:cs="Arial"/>
          <w:sz w:val="20"/>
          <w:szCs w:val="20"/>
        </w:rPr>
        <w:t>systematic understanding of the different views on the nature of the trust.</w:t>
      </w:r>
    </w:p>
    <w:p w14:paraId="3E120923" w14:textId="34F66935" w:rsidR="004D5904" w:rsidRDefault="00FC50A1" w:rsidP="00DD03C5">
      <w:pPr>
        <w:pStyle w:val="ListParagraph"/>
        <w:numPr>
          <w:ilvl w:val="1"/>
          <w:numId w:val="1"/>
        </w:numPr>
        <w:spacing w:before="60" w:after="60" w:line="240" w:lineRule="auto"/>
        <w:ind w:left="851" w:right="260" w:hanging="435"/>
        <w:jc w:val="both"/>
        <w:rPr>
          <w:rFonts w:ascii="Arial" w:hAnsi="Arial" w:cs="Arial"/>
          <w:sz w:val="20"/>
          <w:szCs w:val="20"/>
        </w:rPr>
      </w:pPr>
      <w:r>
        <w:rPr>
          <w:rFonts w:ascii="Arial" w:hAnsi="Arial" w:cs="Arial"/>
          <w:sz w:val="20"/>
          <w:szCs w:val="20"/>
        </w:rPr>
        <w:t xml:space="preserve">Critically </w:t>
      </w:r>
      <w:r w:rsidR="004D5904">
        <w:rPr>
          <w:rFonts w:ascii="Arial" w:hAnsi="Arial" w:cs="Arial"/>
          <w:sz w:val="20"/>
          <w:szCs w:val="20"/>
        </w:rPr>
        <w:t>analyse trust as a juridical relation and institution in contemporary contexts.</w:t>
      </w:r>
    </w:p>
    <w:p w14:paraId="54F5535D" w14:textId="65B8E357" w:rsidR="004D5904" w:rsidRDefault="00FC50A1" w:rsidP="00DD03C5">
      <w:pPr>
        <w:pStyle w:val="ListParagraph"/>
        <w:numPr>
          <w:ilvl w:val="1"/>
          <w:numId w:val="1"/>
        </w:numPr>
        <w:spacing w:before="60" w:after="60" w:line="240" w:lineRule="auto"/>
        <w:ind w:left="851" w:right="260" w:hanging="435"/>
        <w:jc w:val="both"/>
        <w:rPr>
          <w:rFonts w:ascii="Arial" w:hAnsi="Arial" w:cs="Arial"/>
          <w:sz w:val="20"/>
          <w:szCs w:val="20"/>
        </w:rPr>
      </w:pPr>
      <w:r>
        <w:rPr>
          <w:rFonts w:ascii="Arial" w:hAnsi="Arial" w:cs="Arial"/>
          <w:sz w:val="20"/>
          <w:szCs w:val="20"/>
        </w:rPr>
        <w:t>Show a</w:t>
      </w:r>
      <w:r w:rsidR="004D5904">
        <w:rPr>
          <w:rFonts w:ascii="Arial" w:hAnsi="Arial" w:cs="Arial"/>
          <w:sz w:val="20"/>
          <w:szCs w:val="20"/>
        </w:rPr>
        <w:t>n appreciation of the limits of the trust concept.</w:t>
      </w:r>
    </w:p>
    <w:p w14:paraId="628BF3D8" w14:textId="0A56C6C8" w:rsidR="004D5904" w:rsidRDefault="00FC50A1" w:rsidP="00DD03C5">
      <w:pPr>
        <w:pStyle w:val="ListParagraph"/>
        <w:numPr>
          <w:ilvl w:val="1"/>
          <w:numId w:val="1"/>
        </w:numPr>
        <w:spacing w:before="60" w:after="60" w:line="240" w:lineRule="auto"/>
        <w:ind w:left="851" w:right="260" w:hanging="435"/>
        <w:jc w:val="both"/>
        <w:rPr>
          <w:rFonts w:ascii="Arial" w:hAnsi="Arial" w:cs="Arial"/>
          <w:sz w:val="20"/>
          <w:szCs w:val="20"/>
        </w:rPr>
      </w:pPr>
      <w:r>
        <w:rPr>
          <w:rFonts w:ascii="Arial" w:hAnsi="Arial" w:cs="Arial"/>
          <w:sz w:val="20"/>
          <w:szCs w:val="20"/>
        </w:rPr>
        <w:t>D</w:t>
      </w:r>
      <w:r w:rsidR="004D5904">
        <w:rPr>
          <w:rFonts w:ascii="Arial" w:hAnsi="Arial" w:cs="Arial"/>
          <w:sz w:val="20"/>
          <w:szCs w:val="20"/>
        </w:rPr>
        <w:t>emonstrate a comparative understanding of trust and trust-like institutions.</w:t>
      </w:r>
    </w:p>
    <w:p w14:paraId="2E16963D" w14:textId="6C2ED737" w:rsidR="004D5904" w:rsidRDefault="00FC50A1" w:rsidP="00DD03C5">
      <w:pPr>
        <w:pStyle w:val="ListParagraph"/>
        <w:numPr>
          <w:ilvl w:val="1"/>
          <w:numId w:val="1"/>
        </w:numPr>
        <w:spacing w:before="60" w:after="60" w:line="240" w:lineRule="auto"/>
        <w:ind w:left="851" w:right="260" w:hanging="435"/>
        <w:jc w:val="both"/>
        <w:rPr>
          <w:rFonts w:ascii="Arial" w:hAnsi="Arial" w:cs="Arial"/>
          <w:sz w:val="20"/>
          <w:szCs w:val="20"/>
        </w:rPr>
      </w:pPr>
      <w:r>
        <w:rPr>
          <w:rFonts w:ascii="Arial" w:hAnsi="Arial" w:cs="Arial"/>
          <w:sz w:val="20"/>
          <w:szCs w:val="20"/>
        </w:rPr>
        <w:t>D</w:t>
      </w:r>
      <w:r w:rsidR="004D5904">
        <w:rPr>
          <w:rFonts w:ascii="Arial" w:hAnsi="Arial" w:cs="Arial"/>
          <w:sz w:val="20"/>
          <w:szCs w:val="20"/>
        </w:rPr>
        <w:t>emonstrate a critical awareness of historical and contemporary theoretical and policy problems in trusts.</w:t>
      </w:r>
    </w:p>
    <w:p w14:paraId="338E63CC" w14:textId="5C034553" w:rsidR="004D5904" w:rsidRDefault="00FC50A1" w:rsidP="00DD03C5">
      <w:pPr>
        <w:pStyle w:val="ListParagraph"/>
        <w:numPr>
          <w:ilvl w:val="1"/>
          <w:numId w:val="1"/>
        </w:numPr>
        <w:spacing w:before="60" w:after="60" w:line="240" w:lineRule="auto"/>
        <w:ind w:left="851" w:right="260" w:hanging="435"/>
        <w:jc w:val="both"/>
        <w:rPr>
          <w:rFonts w:ascii="Arial" w:hAnsi="Arial" w:cs="Arial"/>
          <w:sz w:val="20"/>
          <w:szCs w:val="20"/>
        </w:rPr>
      </w:pPr>
      <w:r>
        <w:rPr>
          <w:rFonts w:ascii="Arial" w:hAnsi="Arial" w:cs="Arial"/>
          <w:sz w:val="20"/>
          <w:szCs w:val="20"/>
        </w:rPr>
        <w:t>Display a</w:t>
      </w:r>
      <w:r w:rsidR="004D5904">
        <w:rPr>
          <w:rFonts w:ascii="Arial" w:hAnsi="Arial" w:cs="Arial"/>
          <w:sz w:val="20"/>
          <w:szCs w:val="20"/>
        </w:rPr>
        <w:t>n appreciation of the contribution of critical methods to the understanding of law in modern society.</w:t>
      </w:r>
    </w:p>
    <w:p w14:paraId="78976771" w14:textId="52598AB7" w:rsidR="004D5904" w:rsidRDefault="00FC50A1" w:rsidP="00DD03C5">
      <w:pPr>
        <w:pStyle w:val="ListParagraph"/>
        <w:numPr>
          <w:ilvl w:val="1"/>
          <w:numId w:val="1"/>
        </w:numPr>
        <w:spacing w:before="60" w:after="60" w:line="240" w:lineRule="auto"/>
        <w:ind w:left="851" w:right="260" w:hanging="435"/>
        <w:jc w:val="both"/>
        <w:rPr>
          <w:rFonts w:ascii="Arial" w:hAnsi="Arial" w:cs="Arial"/>
          <w:sz w:val="20"/>
          <w:szCs w:val="20"/>
        </w:rPr>
      </w:pPr>
      <w:r>
        <w:rPr>
          <w:rFonts w:ascii="Arial" w:hAnsi="Arial" w:cs="Arial"/>
          <w:sz w:val="20"/>
          <w:szCs w:val="20"/>
        </w:rPr>
        <w:t>C</w:t>
      </w:r>
      <w:r w:rsidR="004D5904">
        <w:rPr>
          <w:rFonts w:ascii="Arial" w:hAnsi="Arial" w:cs="Arial"/>
          <w:sz w:val="20"/>
          <w:szCs w:val="20"/>
        </w:rPr>
        <w:t xml:space="preserve">ritically analyse and evaluate </w:t>
      </w:r>
      <w:r w:rsidR="00AB7DF9">
        <w:rPr>
          <w:rFonts w:ascii="Arial" w:hAnsi="Arial" w:cs="Arial"/>
          <w:sz w:val="20"/>
          <w:szCs w:val="20"/>
        </w:rPr>
        <w:t>the trust industry’s impact on contemporary trusts law and practice</w:t>
      </w:r>
      <w:r w:rsidR="004D5904">
        <w:rPr>
          <w:rFonts w:ascii="Arial" w:hAnsi="Arial" w:cs="Arial"/>
          <w:sz w:val="20"/>
          <w:szCs w:val="20"/>
        </w:rPr>
        <w:t>.</w:t>
      </w:r>
    </w:p>
    <w:p w14:paraId="6132F0E4" w14:textId="77777777" w:rsidR="008A4BCA" w:rsidRDefault="008A4BCA" w:rsidP="004D5904">
      <w:pPr>
        <w:pStyle w:val="ListParagraph"/>
        <w:spacing w:after="120" w:line="240" w:lineRule="auto"/>
        <w:ind w:left="851" w:right="260"/>
        <w:rPr>
          <w:rFonts w:ascii="Arial" w:hAnsi="Arial" w:cs="Arial"/>
          <w:sz w:val="20"/>
          <w:szCs w:val="20"/>
        </w:rPr>
      </w:pPr>
    </w:p>
    <w:p w14:paraId="7A50442D"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4545B05" w14:textId="7896D5B2"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6334C593" w14:textId="77777777" w:rsidR="00380EAE" w:rsidRPr="00380EAE" w:rsidRDefault="00380EAE" w:rsidP="0066061A">
      <w:pPr>
        <w:spacing w:after="120" w:line="240" w:lineRule="auto"/>
        <w:ind w:left="426" w:right="260"/>
        <w:rPr>
          <w:rFonts w:ascii="Arial" w:hAnsi="Arial" w:cs="Arial"/>
          <w:b/>
          <w:sz w:val="20"/>
          <w:szCs w:val="20"/>
        </w:rPr>
      </w:pPr>
    </w:p>
    <w:p w14:paraId="5FA5D4E2" w14:textId="3A85C588" w:rsidR="004D5904" w:rsidRDefault="00FC50A1" w:rsidP="00DD03C5">
      <w:pPr>
        <w:pStyle w:val="ListParagraph"/>
        <w:numPr>
          <w:ilvl w:val="1"/>
          <w:numId w:val="1"/>
        </w:numPr>
        <w:spacing w:before="60" w:after="60" w:line="240" w:lineRule="auto"/>
        <w:ind w:left="851" w:right="260" w:hanging="435"/>
        <w:jc w:val="both"/>
        <w:rPr>
          <w:rFonts w:ascii="Arial" w:hAnsi="Arial" w:cs="Arial"/>
          <w:sz w:val="20"/>
          <w:szCs w:val="20"/>
        </w:rPr>
      </w:pPr>
      <w:r>
        <w:rPr>
          <w:rFonts w:ascii="Arial" w:hAnsi="Arial" w:cs="Arial"/>
          <w:sz w:val="20"/>
          <w:szCs w:val="20"/>
        </w:rPr>
        <w:t>P</w:t>
      </w:r>
      <w:r w:rsidR="004D5904">
        <w:rPr>
          <w:rFonts w:ascii="Arial" w:hAnsi="Arial" w:cs="Arial"/>
          <w:sz w:val="20"/>
          <w:szCs w:val="20"/>
        </w:rPr>
        <w:t>resent relevant knowledge and understanding in the form of reasoned argument through written assessment.</w:t>
      </w:r>
    </w:p>
    <w:p w14:paraId="77E4DC88" w14:textId="502B7EF2" w:rsidR="004D5904" w:rsidRDefault="00FC50A1" w:rsidP="00DD03C5">
      <w:pPr>
        <w:pStyle w:val="ListParagraph"/>
        <w:numPr>
          <w:ilvl w:val="1"/>
          <w:numId w:val="1"/>
        </w:numPr>
        <w:spacing w:before="60" w:after="60" w:line="240" w:lineRule="auto"/>
        <w:ind w:left="851" w:right="260" w:hanging="435"/>
        <w:jc w:val="both"/>
        <w:rPr>
          <w:rFonts w:ascii="Arial" w:hAnsi="Arial" w:cs="Arial"/>
          <w:sz w:val="20"/>
          <w:szCs w:val="20"/>
        </w:rPr>
      </w:pPr>
      <w:r>
        <w:rPr>
          <w:rFonts w:ascii="Arial" w:hAnsi="Arial" w:cs="Arial"/>
          <w:sz w:val="20"/>
          <w:szCs w:val="20"/>
        </w:rPr>
        <w:t>I</w:t>
      </w:r>
      <w:r w:rsidR="004D5904">
        <w:rPr>
          <w:rFonts w:ascii="Arial" w:hAnsi="Arial" w:cs="Arial"/>
          <w:sz w:val="20"/>
          <w:szCs w:val="20"/>
        </w:rPr>
        <w:t>dentify and evaluate legal and policy problems according to their political and legal context.</w:t>
      </w:r>
    </w:p>
    <w:p w14:paraId="21ED45F8" w14:textId="16B68F4D" w:rsidR="004D5904" w:rsidRDefault="00FC50A1" w:rsidP="00DD03C5">
      <w:pPr>
        <w:pStyle w:val="ListParagraph"/>
        <w:numPr>
          <w:ilvl w:val="1"/>
          <w:numId w:val="1"/>
        </w:numPr>
        <w:spacing w:before="60" w:after="60" w:line="240" w:lineRule="auto"/>
        <w:ind w:left="851" w:right="260" w:hanging="435"/>
        <w:jc w:val="both"/>
        <w:rPr>
          <w:rFonts w:ascii="Arial" w:hAnsi="Arial" w:cs="Arial"/>
          <w:sz w:val="20"/>
          <w:szCs w:val="20"/>
        </w:rPr>
      </w:pPr>
      <w:r>
        <w:rPr>
          <w:rFonts w:ascii="Arial" w:hAnsi="Arial" w:cs="Arial"/>
          <w:sz w:val="20"/>
          <w:szCs w:val="20"/>
        </w:rPr>
        <w:t xml:space="preserve">Demonstrate </w:t>
      </w:r>
      <w:r w:rsidR="004D5904">
        <w:rPr>
          <w:rFonts w:ascii="Arial" w:hAnsi="Arial" w:cs="Arial"/>
          <w:sz w:val="20"/>
          <w:szCs w:val="20"/>
        </w:rPr>
        <w:t>further research from a variety of sources informing a sustained and detailed argument.</w:t>
      </w:r>
    </w:p>
    <w:p w14:paraId="26A1F89D" w14:textId="74A43C6F" w:rsidR="004D5904" w:rsidRDefault="00FC50A1" w:rsidP="00DD03C5">
      <w:pPr>
        <w:pStyle w:val="ListParagraph"/>
        <w:numPr>
          <w:ilvl w:val="1"/>
          <w:numId w:val="1"/>
        </w:numPr>
        <w:spacing w:before="60" w:after="60" w:line="240" w:lineRule="auto"/>
        <w:ind w:left="851" w:right="260" w:hanging="435"/>
        <w:jc w:val="both"/>
        <w:rPr>
          <w:rFonts w:ascii="Arial" w:hAnsi="Arial" w:cs="Arial"/>
          <w:sz w:val="20"/>
          <w:szCs w:val="20"/>
        </w:rPr>
      </w:pPr>
      <w:r>
        <w:rPr>
          <w:rFonts w:ascii="Arial" w:hAnsi="Arial" w:cs="Arial"/>
          <w:sz w:val="20"/>
          <w:szCs w:val="20"/>
        </w:rPr>
        <w:t>S</w:t>
      </w:r>
      <w:r w:rsidR="004D5904">
        <w:rPr>
          <w:rFonts w:ascii="Arial" w:hAnsi="Arial" w:cs="Arial"/>
          <w:sz w:val="20"/>
          <w:szCs w:val="20"/>
        </w:rPr>
        <w:t>ummarise detailed historical and conceptual material, recognising different positions that arise in the literature surveyed.</w:t>
      </w:r>
    </w:p>
    <w:p w14:paraId="2ECB5762" w14:textId="5BAF68C1" w:rsidR="004D5904" w:rsidRDefault="00FC50A1" w:rsidP="00DD03C5">
      <w:pPr>
        <w:pStyle w:val="ListParagraph"/>
        <w:numPr>
          <w:ilvl w:val="1"/>
          <w:numId w:val="1"/>
        </w:numPr>
        <w:spacing w:before="60" w:after="60" w:line="240" w:lineRule="auto"/>
        <w:ind w:left="851" w:right="260" w:hanging="435"/>
        <w:jc w:val="both"/>
        <w:rPr>
          <w:rFonts w:ascii="Arial" w:hAnsi="Arial" w:cs="Arial"/>
          <w:sz w:val="20"/>
          <w:szCs w:val="20"/>
        </w:rPr>
      </w:pPr>
      <w:r>
        <w:rPr>
          <w:rFonts w:ascii="Arial" w:hAnsi="Arial" w:cs="Arial"/>
          <w:sz w:val="20"/>
          <w:szCs w:val="20"/>
        </w:rPr>
        <w:lastRenderedPageBreak/>
        <w:t>Display a</w:t>
      </w:r>
      <w:r w:rsidR="004D5904">
        <w:rPr>
          <w:rFonts w:ascii="Arial" w:hAnsi="Arial" w:cs="Arial"/>
          <w:sz w:val="20"/>
          <w:szCs w:val="20"/>
        </w:rPr>
        <w:t>n appreciation of the legal forms that arise and operate within complex historical and political conditions.</w:t>
      </w:r>
    </w:p>
    <w:p w14:paraId="49E414DB" w14:textId="7352ACD2" w:rsidR="004D5904" w:rsidRPr="006D5C64" w:rsidRDefault="00FC50A1" w:rsidP="00DD03C5">
      <w:pPr>
        <w:pStyle w:val="ListParagraph"/>
        <w:numPr>
          <w:ilvl w:val="1"/>
          <w:numId w:val="1"/>
        </w:numPr>
        <w:spacing w:before="60" w:after="60" w:line="240" w:lineRule="auto"/>
        <w:ind w:left="851" w:right="260" w:hanging="435"/>
        <w:jc w:val="both"/>
        <w:rPr>
          <w:rFonts w:ascii="Arial" w:hAnsi="Arial" w:cs="Arial"/>
          <w:sz w:val="20"/>
          <w:szCs w:val="20"/>
        </w:rPr>
      </w:pPr>
      <w:r>
        <w:rPr>
          <w:rFonts w:ascii="Arial" w:hAnsi="Arial" w:cs="Arial"/>
          <w:sz w:val="20"/>
          <w:szCs w:val="20"/>
        </w:rPr>
        <w:t>D</w:t>
      </w:r>
      <w:r w:rsidR="004D5904">
        <w:rPr>
          <w:rFonts w:ascii="Arial" w:hAnsi="Arial" w:cs="Arial"/>
          <w:sz w:val="20"/>
          <w:szCs w:val="20"/>
        </w:rPr>
        <w:t>emonstrate an awareness of the economic, political and/or social implications of legal forms and remedies.</w:t>
      </w:r>
    </w:p>
    <w:p w14:paraId="7E378A71" w14:textId="61613CA9" w:rsidR="00373ACB" w:rsidRPr="00373ACB" w:rsidRDefault="00373ACB" w:rsidP="0066061A">
      <w:pPr>
        <w:pStyle w:val="Default"/>
        <w:spacing w:after="120"/>
        <w:ind w:right="260"/>
        <w:rPr>
          <w:color w:val="auto"/>
          <w:sz w:val="20"/>
          <w:szCs w:val="20"/>
        </w:rPr>
      </w:pPr>
    </w:p>
    <w:p w14:paraId="33C71F0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43665854" w14:textId="1886AEAB" w:rsidR="004D5904" w:rsidRDefault="004D5904" w:rsidP="00DD03C5">
      <w:pPr>
        <w:spacing w:before="60" w:after="60" w:line="240" w:lineRule="auto"/>
        <w:ind w:left="426" w:right="260"/>
        <w:jc w:val="both"/>
        <w:rPr>
          <w:rFonts w:ascii="Arial" w:hAnsi="Arial" w:cs="Arial"/>
          <w:iCs/>
          <w:sz w:val="20"/>
          <w:szCs w:val="20"/>
        </w:rPr>
      </w:pPr>
      <w:r>
        <w:rPr>
          <w:rFonts w:ascii="Arial" w:hAnsi="Arial" w:cs="Arial"/>
          <w:iCs/>
          <w:sz w:val="20"/>
          <w:szCs w:val="20"/>
        </w:rPr>
        <w:t xml:space="preserve">This module, building on knowledge and understanding of certain concepts and principles from Equity &amp; Trusts, will explore </w:t>
      </w:r>
      <w:r w:rsidR="00D071EA">
        <w:rPr>
          <w:rFonts w:ascii="Arial" w:hAnsi="Arial" w:cs="Arial"/>
          <w:iCs/>
          <w:sz w:val="20"/>
          <w:szCs w:val="20"/>
        </w:rPr>
        <w:t xml:space="preserve">trusts </w:t>
      </w:r>
      <w:r>
        <w:rPr>
          <w:rFonts w:ascii="Arial" w:hAnsi="Arial" w:cs="Arial"/>
          <w:iCs/>
          <w:sz w:val="20"/>
          <w:szCs w:val="20"/>
        </w:rPr>
        <w:t>in further detail and examine new contexts in which they operate. Students will be introduced to a number of theoretical frameworks through which to understand and critically evaluate the role, function and concepts of equity and trusts historically and in contemporary society. These will be studied through a range of case studies and a range of different topics, including</w:t>
      </w:r>
      <w:r w:rsidR="00D071EA">
        <w:rPr>
          <w:rFonts w:ascii="Arial" w:hAnsi="Arial" w:cs="Arial"/>
          <w:iCs/>
          <w:sz w:val="20"/>
          <w:szCs w:val="20"/>
        </w:rPr>
        <w:t>:</w:t>
      </w:r>
      <w:r>
        <w:rPr>
          <w:rFonts w:ascii="Arial" w:hAnsi="Arial" w:cs="Arial"/>
          <w:iCs/>
          <w:sz w:val="20"/>
          <w:szCs w:val="20"/>
        </w:rPr>
        <w:t xml:space="preserve"> trusts and associations; secured equitable interests; pension trusts; family wealth</w:t>
      </w:r>
      <w:r w:rsidR="00D071EA">
        <w:rPr>
          <w:rFonts w:ascii="Arial" w:hAnsi="Arial" w:cs="Arial"/>
          <w:iCs/>
          <w:sz w:val="20"/>
          <w:szCs w:val="20"/>
        </w:rPr>
        <w:t xml:space="preserve"> planning</w:t>
      </w:r>
      <w:r>
        <w:rPr>
          <w:rFonts w:ascii="Arial" w:hAnsi="Arial" w:cs="Arial"/>
          <w:iCs/>
          <w:sz w:val="20"/>
          <w:szCs w:val="20"/>
        </w:rPr>
        <w:t xml:space="preserve">; </w:t>
      </w:r>
      <w:r w:rsidR="00D071EA">
        <w:rPr>
          <w:rFonts w:ascii="Arial" w:hAnsi="Arial" w:cs="Arial"/>
          <w:iCs/>
          <w:sz w:val="20"/>
          <w:szCs w:val="20"/>
        </w:rPr>
        <w:t xml:space="preserve">asset-partitioning and securitisation; </w:t>
      </w:r>
      <w:r>
        <w:rPr>
          <w:rFonts w:ascii="Arial" w:hAnsi="Arial" w:cs="Arial"/>
          <w:iCs/>
          <w:sz w:val="20"/>
          <w:szCs w:val="20"/>
        </w:rPr>
        <w:t xml:space="preserve">trusts in the offshore world; </w:t>
      </w:r>
      <w:r w:rsidR="00D071EA">
        <w:rPr>
          <w:rFonts w:ascii="Arial" w:hAnsi="Arial" w:cs="Arial"/>
          <w:iCs/>
          <w:sz w:val="20"/>
          <w:szCs w:val="20"/>
        </w:rPr>
        <w:t>and international trusts and trust-like institutions</w:t>
      </w:r>
      <w:r>
        <w:rPr>
          <w:rFonts w:ascii="Arial" w:hAnsi="Arial" w:cs="Arial"/>
          <w:iCs/>
          <w:sz w:val="20"/>
          <w:szCs w:val="20"/>
        </w:rPr>
        <w:t>.</w:t>
      </w:r>
    </w:p>
    <w:p w14:paraId="485775EB" w14:textId="77777777" w:rsidR="004D5904" w:rsidRDefault="004D5904" w:rsidP="004D5904">
      <w:pPr>
        <w:spacing w:before="60" w:after="60" w:line="240" w:lineRule="auto"/>
        <w:ind w:right="-330" w:firstLine="426"/>
        <w:rPr>
          <w:rFonts w:ascii="Arial" w:hAnsi="Arial" w:cs="Arial"/>
          <w:iCs/>
          <w:sz w:val="20"/>
          <w:szCs w:val="20"/>
        </w:rPr>
      </w:pPr>
    </w:p>
    <w:p w14:paraId="703E6937" w14:textId="20A35D4D" w:rsidR="009A2D37"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363F0912" w14:textId="77777777" w:rsidR="00DD03C5" w:rsidRPr="00373ACB" w:rsidRDefault="00DD03C5" w:rsidP="00DD03C5">
      <w:pPr>
        <w:spacing w:after="120" w:line="240" w:lineRule="auto"/>
        <w:ind w:left="426" w:right="260"/>
        <w:jc w:val="both"/>
        <w:rPr>
          <w:rFonts w:ascii="Arial" w:hAnsi="Arial" w:cs="Arial"/>
          <w:b/>
          <w:sz w:val="20"/>
          <w:szCs w:val="20"/>
        </w:rPr>
      </w:pPr>
    </w:p>
    <w:p w14:paraId="313E0344" w14:textId="77777777" w:rsidR="004D5904" w:rsidRPr="00DD03C5" w:rsidRDefault="004D5904" w:rsidP="00DD03C5">
      <w:pPr>
        <w:pStyle w:val="ListParagraph"/>
        <w:numPr>
          <w:ilvl w:val="0"/>
          <w:numId w:val="15"/>
        </w:numPr>
        <w:spacing w:before="60" w:after="60" w:line="240" w:lineRule="auto"/>
        <w:ind w:right="260"/>
        <w:jc w:val="both"/>
        <w:rPr>
          <w:rFonts w:ascii="Arial" w:hAnsi="Arial" w:cs="Arial"/>
          <w:iCs/>
          <w:sz w:val="20"/>
          <w:szCs w:val="20"/>
        </w:rPr>
      </w:pPr>
      <w:r w:rsidRPr="00DD03C5">
        <w:rPr>
          <w:rFonts w:ascii="Arial" w:hAnsi="Arial" w:cs="Arial"/>
          <w:iCs/>
          <w:sz w:val="20"/>
          <w:szCs w:val="20"/>
        </w:rPr>
        <w:t xml:space="preserve">M. Chesterman, </w:t>
      </w:r>
      <w:r w:rsidRPr="00DD03C5">
        <w:rPr>
          <w:rFonts w:ascii="Arial" w:hAnsi="Arial" w:cs="Arial"/>
          <w:i/>
          <w:iCs/>
          <w:sz w:val="20"/>
          <w:szCs w:val="20"/>
        </w:rPr>
        <w:t>Charities, Trusts and Social Welfare</w:t>
      </w:r>
      <w:r w:rsidRPr="00DD03C5">
        <w:rPr>
          <w:rFonts w:ascii="Arial" w:hAnsi="Arial" w:cs="Arial"/>
          <w:iCs/>
          <w:sz w:val="20"/>
          <w:szCs w:val="20"/>
        </w:rPr>
        <w:t xml:space="preserve"> (London: Weidenfeld and Nicolson, 1979)</w:t>
      </w:r>
    </w:p>
    <w:p w14:paraId="0BFDAD84" w14:textId="77777777" w:rsidR="004D5904" w:rsidRPr="00DD03C5" w:rsidRDefault="004D5904" w:rsidP="00DD03C5">
      <w:pPr>
        <w:pStyle w:val="ListParagraph"/>
        <w:numPr>
          <w:ilvl w:val="0"/>
          <w:numId w:val="15"/>
        </w:numPr>
        <w:spacing w:before="60" w:after="60" w:line="240" w:lineRule="auto"/>
        <w:ind w:right="260"/>
        <w:jc w:val="both"/>
        <w:rPr>
          <w:rFonts w:ascii="Arial" w:hAnsi="Arial" w:cs="Arial"/>
          <w:iCs/>
          <w:sz w:val="20"/>
          <w:szCs w:val="20"/>
        </w:rPr>
      </w:pPr>
      <w:r w:rsidRPr="00DD03C5">
        <w:rPr>
          <w:rFonts w:ascii="Arial" w:hAnsi="Arial" w:cs="Arial"/>
          <w:iCs/>
          <w:sz w:val="20"/>
          <w:szCs w:val="20"/>
        </w:rPr>
        <w:t xml:space="preserve">S. </w:t>
      </w:r>
      <w:proofErr w:type="spellStart"/>
      <w:r w:rsidRPr="00DD03C5">
        <w:rPr>
          <w:rFonts w:ascii="Arial" w:hAnsi="Arial" w:cs="Arial"/>
          <w:iCs/>
          <w:sz w:val="20"/>
          <w:szCs w:val="20"/>
        </w:rPr>
        <w:t>Degeling</w:t>
      </w:r>
      <w:proofErr w:type="spellEnd"/>
      <w:r w:rsidRPr="00DD03C5">
        <w:rPr>
          <w:rFonts w:ascii="Arial" w:hAnsi="Arial" w:cs="Arial"/>
          <w:iCs/>
          <w:sz w:val="20"/>
          <w:szCs w:val="20"/>
        </w:rPr>
        <w:t xml:space="preserve"> and J. Edelman (eds) </w:t>
      </w:r>
      <w:r w:rsidRPr="00DD03C5">
        <w:rPr>
          <w:rFonts w:ascii="Arial" w:hAnsi="Arial" w:cs="Arial"/>
          <w:i/>
          <w:iCs/>
          <w:sz w:val="20"/>
          <w:szCs w:val="20"/>
        </w:rPr>
        <w:t>Equity in Commercial Law</w:t>
      </w:r>
      <w:r w:rsidRPr="00DD03C5">
        <w:rPr>
          <w:rFonts w:ascii="Arial" w:hAnsi="Arial" w:cs="Arial"/>
          <w:iCs/>
          <w:sz w:val="20"/>
          <w:szCs w:val="20"/>
        </w:rPr>
        <w:t xml:space="preserve"> (Sydney: Law Book co, 2005)</w:t>
      </w:r>
    </w:p>
    <w:p w14:paraId="116A6B19" w14:textId="1C6F6A32" w:rsidR="004D5904" w:rsidRPr="00DD03C5" w:rsidRDefault="00292386" w:rsidP="00DD03C5">
      <w:pPr>
        <w:pStyle w:val="ListParagraph"/>
        <w:numPr>
          <w:ilvl w:val="0"/>
          <w:numId w:val="15"/>
        </w:numPr>
        <w:spacing w:before="60" w:after="60" w:line="240" w:lineRule="auto"/>
        <w:ind w:right="260"/>
        <w:jc w:val="both"/>
        <w:rPr>
          <w:rFonts w:ascii="Arial" w:hAnsi="Arial" w:cs="Arial"/>
          <w:iCs/>
          <w:sz w:val="20"/>
          <w:szCs w:val="20"/>
        </w:rPr>
      </w:pPr>
      <w:r w:rsidRPr="00DD03C5">
        <w:rPr>
          <w:rFonts w:ascii="Arial" w:hAnsi="Arial" w:cs="Arial"/>
          <w:iCs/>
          <w:sz w:val="20"/>
          <w:szCs w:val="20"/>
        </w:rPr>
        <w:t xml:space="preserve">J. Garton (ed), </w:t>
      </w:r>
      <w:proofErr w:type="spellStart"/>
      <w:r w:rsidRPr="00DD03C5">
        <w:rPr>
          <w:rFonts w:ascii="Arial" w:hAnsi="Arial" w:cs="Arial"/>
          <w:i/>
          <w:iCs/>
          <w:sz w:val="20"/>
          <w:szCs w:val="20"/>
        </w:rPr>
        <w:t>Moffat’s</w:t>
      </w:r>
      <w:proofErr w:type="spellEnd"/>
      <w:r w:rsidR="004D5904" w:rsidRPr="00DD03C5">
        <w:rPr>
          <w:rFonts w:ascii="Arial" w:hAnsi="Arial" w:cs="Arial"/>
          <w:iCs/>
          <w:sz w:val="20"/>
          <w:szCs w:val="20"/>
        </w:rPr>
        <w:t xml:space="preserve"> </w:t>
      </w:r>
      <w:r w:rsidR="004D5904" w:rsidRPr="00DD03C5">
        <w:rPr>
          <w:rFonts w:ascii="Arial" w:hAnsi="Arial" w:cs="Arial"/>
          <w:i/>
          <w:iCs/>
          <w:sz w:val="20"/>
          <w:szCs w:val="20"/>
        </w:rPr>
        <w:t>Trust</w:t>
      </w:r>
      <w:r w:rsidRPr="00DD03C5">
        <w:rPr>
          <w:rFonts w:ascii="Arial" w:hAnsi="Arial" w:cs="Arial"/>
          <w:i/>
          <w:iCs/>
          <w:sz w:val="20"/>
          <w:szCs w:val="20"/>
        </w:rPr>
        <w:t>s</w:t>
      </w:r>
      <w:r w:rsidR="004D5904" w:rsidRPr="00DD03C5">
        <w:rPr>
          <w:rFonts w:ascii="Arial" w:hAnsi="Arial" w:cs="Arial"/>
          <w:i/>
          <w:iCs/>
          <w:sz w:val="20"/>
          <w:szCs w:val="20"/>
        </w:rPr>
        <w:t xml:space="preserve"> Law: Texts and Materials</w:t>
      </w:r>
      <w:r w:rsidR="004D5904" w:rsidRPr="00DD03C5">
        <w:rPr>
          <w:rFonts w:ascii="Arial" w:hAnsi="Arial" w:cs="Arial"/>
          <w:iCs/>
          <w:sz w:val="20"/>
          <w:szCs w:val="20"/>
        </w:rPr>
        <w:t xml:space="preserve"> (Cambridge: Cambridge University Press,</w:t>
      </w:r>
      <w:r w:rsidRPr="00DD03C5">
        <w:rPr>
          <w:rFonts w:ascii="Arial" w:hAnsi="Arial" w:cs="Arial"/>
          <w:iCs/>
          <w:sz w:val="20"/>
          <w:szCs w:val="20"/>
        </w:rPr>
        <w:t xml:space="preserve"> 6</w:t>
      </w:r>
      <w:r w:rsidRPr="00DD03C5">
        <w:rPr>
          <w:rFonts w:ascii="Arial" w:hAnsi="Arial" w:cs="Arial"/>
          <w:iCs/>
          <w:sz w:val="20"/>
          <w:szCs w:val="20"/>
          <w:vertAlign w:val="superscript"/>
        </w:rPr>
        <w:t>th</w:t>
      </w:r>
      <w:r w:rsidRPr="00DD03C5">
        <w:rPr>
          <w:rFonts w:ascii="Arial" w:hAnsi="Arial" w:cs="Arial"/>
          <w:iCs/>
          <w:sz w:val="20"/>
          <w:szCs w:val="20"/>
        </w:rPr>
        <w:t xml:space="preserve"> ed,</w:t>
      </w:r>
      <w:r w:rsidR="004D5904" w:rsidRPr="00DD03C5">
        <w:rPr>
          <w:rFonts w:ascii="Arial" w:hAnsi="Arial" w:cs="Arial"/>
          <w:iCs/>
          <w:sz w:val="20"/>
          <w:szCs w:val="20"/>
        </w:rPr>
        <w:t xml:space="preserve"> 20</w:t>
      </w:r>
      <w:r w:rsidRPr="00DD03C5">
        <w:rPr>
          <w:rFonts w:ascii="Arial" w:hAnsi="Arial" w:cs="Arial"/>
          <w:iCs/>
          <w:sz w:val="20"/>
          <w:szCs w:val="20"/>
        </w:rPr>
        <w:t>15</w:t>
      </w:r>
      <w:r w:rsidR="004D5904" w:rsidRPr="00DD03C5">
        <w:rPr>
          <w:rFonts w:ascii="Arial" w:hAnsi="Arial" w:cs="Arial"/>
          <w:iCs/>
          <w:sz w:val="20"/>
          <w:szCs w:val="20"/>
        </w:rPr>
        <w:t>)</w:t>
      </w:r>
    </w:p>
    <w:p w14:paraId="53AC7BE5" w14:textId="6BDE30DF" w:rsidR="00CF3F46" w:rsidRPr="00DD03C5" w:rsidRDefault="00CF3F46" w:rsidP="00DD03C5">
      <w:pPr>
        <w:pStyle w:val="ListParagraph"/>
        <w:numPr>
          <w:ilvl w:val="0"/>
          <w:numId w:val="15"/>
        </w:numPr>
        <w:spacing w:before="60" w:after="60" w:line="240" w:lineRule="auto"/>
        <w:ind w:right="260"/>
        <w:jc w:val="both"/>
        <w:rPr>
          <w:rFonts w:ascii="Arial" w:hAnsi="Arial" w:cs="Arial"/>
          <w:iCs/>
          <w:sz w:val="20"/>
          <w:szCs w:val="20"/>
        </w:rPr>
      </w:pPr>
      <w:r w:rsidRPr="00DD03C5">
        <w:rPr>
          <w:rFonts w:ascii="Arial" w:hAnsi="Arial" w:cs="Arial"/>
          <w:iCs/>
          <w:sz w:val="20"/>
          <w:szCs w:val="20"/>
        </w:rPr>
        <w:t>B. Harrington, Capital Without Borders: Wealth Managers and the One Percent (London: Harvard University Press, 2016)</w:t>
      </w:r>
    </w:p>
    <w:p w14:paraId="149AFD87" w14:textId="77777777" w:rsidR="00CF3F46" w:rsidRPr="00DD03C5" w:rsidRDefault="00CF3F46" w:rsidP="00DD03C5">
      <w:pPr>
        <w:pStyle w:val="ListParagraph"/>
        <w:numPr>
          <w:ilvl w:val="0"/>
          <w:numId w:val="15"/>
        </w:numPr>
        <w:spacing w:before="60" w:after="60" w:line="240" w:lineRule="auto"/>
        <w:ind w:right="260"/>
        <w:jc w:val="both"/>
        <w:rPr>
          <w:rFonts w:ascii="Arial" w:hAnsi="Arial" w:cs="Arial"/>
          <w:iCs/>
          <w:sz w:val="20"/>
          <w:szCs w:val="20"/>
        </w:rPr>
      </w:pPr>
      <w:r w:rsidRPr="00DD03C5">
        <w:rPr>
          <w:rFonts w:ascii="Arial" w:hAnsi="Arial" w:cs="Arial"/>
          <w:iCs/>
          <w:sz w:val="20"/>
          <w:szCs w:val="20"/>
        </w:rPr>
        <w:t>D. Hayton (ed.), The International Trust (Bristol: Jordans, 3rd ed, 2011)</w:t>
      </w:r>
    </w:p>
    <w:p w14:paraId="1AE9DC2D" w14:textId="1E6AC3FD" w:rsidR="00CF3F46" w:rsidRPr="00DD03C5" w:rsidRDefault="00CF3F46" w:rsidP="00DD03C5">
      <w:pPr>
        <w:pStyle w:val="ListParagraph"/>
        <w:numPr>
          <w:ilvl w:val="0"/>
          <w:numId w:val="15"/>
        </w:numPr>
        <w:spacing w:before="60" w:after="60" w:line="240" w:lineRule="auto"/>
        <w:ind w:right="260"/>
        <w:jc w:val="both"/>
        <w:rPr>
          <w:rFonts w:ascii="Arial" w:hAnsi="Arial" w:cs="Arial"/>
          <w:iCs/>
          <w:sz w:val="20"/>
          <w:szCs w:val="20"/>
        </w:rPr>
      </w:pPr>
      <w:r w:rsidRPr="00DD03C5">
        <w:rPr>
          <w:rFonts w:ascii="Arial" w:hAnsi="Arial" w:cs="Arial"/>
          <w:iCs/>
          <w:sz w:val="20"/>
          <w:szCs w:val="20"/>
        </w:rPr>
        <w:t xml:space="preserve">G. </w:t>
      </w:r>
      <w:proofErr w:type="spellStart"/>
      <w:r w:rsidRPr="00DD03C5">
        <w:rPr>
          <w:rFonts w:ascii="Arial" w:hAnsi="Arial" w:cs="Arial"/>
          <w:iCs/>
          <w:sz w:val="20"/>
          <w:szCs w:val="20"/>
        </w:rPr>
        <w:t>Ingham</w:t>
      </w:r>
      <w:proofErr w:type="spellEnd"/>
      <w:r w:rsidRPr="00DD03C5">
        <w:rPr>
          <w:rFonts w:ascii="Arial" w:hAnsi="Arial" w:cs="Arial"/>
          <w:iCs/>
          <w:sz w:val="20"/>
          <w:szCs w:val="20"/>
        </w:rPr>
        <w:t>, Capitalism (Cambridge: Polity, 2008)</w:t>
      </w:r>
    </w:p>
    <w:p w14:paraId="42711EBA" w14:textId="1205661A" w:rsidR="00FB7CC7" w:rsidRPr="00DD03C5" w:rsidRDefault="00FB7CC7" w:rsidP="00DD03C5">
      <w:pPr>
        <w:pStyle w:val="ListParagraph"/>
        <w:numPr>
          <w:ilvl w:val="0"/>
          <w:numId w:val="15"/>
        </w:numPr>
        <w:spacing w:before="60" w:after="60" w:line="240" w:lineRule="auto"/>
        <w:ind w:right="260"/>
        <w:jc w:val="both"/>
        <w:rPr>
          <w:rFonts w:ascii="Arial" w:hAnsi="Arial" w:cs="Arial"/>
          <w:iCs/>
          <w:sz w:val="20"/>
          <w:szCs w:val="20"/>
        </w:rPr>
      </w:pPr>
      <w:r w:rsidRPr="00DD03C5">
        <w:rPr>
          <w:rFonts w:ascii="Arial" w:hAnsi="Arial" w:cs="Arial"/>
          <w:iCs/>
          <w:sz w:val="20"/>
          <w:szCs w:val="20"/>
        </w:rPr>
        <w:t xml:space="preserve">M. W. Lau, </w:t>
      </w:r>
      <w:r w:rsidRPr="00DD03C5">
        <w:rPr>
          <w:rFonts w:ascii="Arial" w:hAnsi="Arial" w:cs="Arial"/>
          <w:i/>
          <w:iCs/>
          <w:sz w:val="20"/>
          <w:szCs w:val="20"/>
        </w:rPr>
        <w:t xml:space="preserve">The Economic Structure of Trusts: Towards a </w:t>
      </w:r>
      <w:proofErr w:type="gramStart"/>
      <w:r w:rsidRPr="00DD03C5">
        <w:rPr>
          <w:rFonts w:ascii="Arial" w:hAnsi="Arial" w:cs="Arial"/>
          <w:i/>
          <w:iCs/>
          <w:sz w:val="20"/>
          <w:szCs w:val="20"/>
        </w:rPr>
        <w:t>Property</w:t>
      </w:r>
      <w:proofErr w:type="gramEnd"/>
      <w:r w:rsidRPr="00DD03C5">
        <w:rPr>
          <w:rFonts w:ascii="Arial" w:hAnsi="Arial" w:cs="Arial"/>
          <w:i/>
          <w:iCs/>
          <w:sz w:val="20"/>
          <w:szCs w:val="20"/>
        </w:rPr>
        <w:t>-based Approach</w:t>
      </w:r>
      <w:r w:rsidRPr="00DD03C5">
        <w:rPr>
          <w:rFonts w:ascii="Arial" w:hAnsi="Arial" w:cs="Arial"/>
          <w:iCs/>
          <w:sz w:val="20"/>
          <w:szCs w:val="20"/>
        </w:rPr>
        <w:t xml:space="preserve"> (Oxford: Oxford University Press, 2011)</w:t>
      </w:r>
    </w:p>
    <w:p w14:paraId="3A9B50A9" w14:textId="0EDE230C" w:rsidR="004D5904" w:rsidRPr="00DD03C5" w:rsidRDefault="004D5904" w:rsidP="00DD03C5">
      <w:pPr>
        <w:pStyle w:val="ListParagraph"/>
        <w:numPr>
          <w:ilvl w:val="0"/>
          <w:numId w:val="15"/>
        </w:numPr>
        <w:spacing w:before="60" w:after="60" w:line="240" w:lineRule="auto"/>
        <w:ind w:right="260"/>
        <w:jc w:val="both"/>
        <w:rPr>
          <w:rFonts w:ascii="Arial" w:hAnsi="Arial" w:cs="Arial"/>
          <w:iCs/>
          <w:sz w:val="20"/>
          <w:szCs w:val="20"/>
        </w:rPr>
      </w:pPr>
      <w:r w:rsidRPr="00DD03C5">
        <w:rPr>
          <w:rFonts w:ascii="Arial" w:hAnsi="Arial" w:cs="Arial"/>
          <w:iCs/>
          <w:sz w:val="20"/>
          <w:szCs w:val="20"/>
        </w:rPr>
        <w:t xml:space="preserve">R. Nobles, </w:t>
      </w:r>
      <w:r w:rsidRPr="00DD03C5">
        <w:rPr>
          <w:rFonts w:ascii="Arial" w:hAnsi="Arial" w:cs="Arial"/>
          <w:i/>
          <w:iCs/>
          <w:sz w:val="20"/>
          <w:szCs w:val="20"/>
        </w:rPr>
        <w:t>Pensions, Employment and the Law</w:t>
      </w:r>
      <w:r w:rsidRPr="00DD03C5">
        <w:rPr>
          <w:rFonts w:ascii="Arial" w:hAnsi="Arial" w:cs="Arial"/>
          <w:iCs/>
          <w:sz w:val="20"/>
          <w:szCs w:val="20"/>
        </w:rPr>
        <w:t xml:space="preserve"> (Oxford: Clarendon Press, 1993)</w:t>
      </w:r>
    </w:p>
    <w:p w14:paraId="7AF33196" w14:textId="3E3C6568" w:rsidR="00CF3F46" w:rsidRPr="00DD03C5" w:rsidRDefault="00CF3F46" w:rsidP="00DD03C5">
      <w:pPr>
        <w:pStyle w:val="ListParagraph"/>
        <w:numPr>
          <w:ilvl w:val="0"/>
          <w:numId w:val="15"/>
        </w:numPr>
        <w:spacing w:before="60" w:after="60" w:line="240" w:lineRule="auto"/>
        <w:ind w:right="260"/>
        <w:jc w:val="both"/>
        <w:rPr>
          <w:rFonts w:ascii="Arial" w:hAnsi="Arial" w:cs="Arial"/>
          <w:iCs/>
          <w:sz w:val="20"/>
          <w:szCs w:val="20"/>
        </w:rPr>
      </w:pPr>
      <w:r w:rsidRPr="00DD03C5">
        <w:rPr>
          <w:rFonts w:ascii="Arial" w:hAnsi="Arial" w:cs="Arial"/>
          <w:iCs/>
          <w:sz w:val="20"/>
          <w:szCs w:val="20"/>
        </w:rPr>
        <w:t>A.J. Oakley (ed.), Trends in Contemporary Trust Law (Oxford: OUP, 1996)</w:t>
      </w:r>
    </w:p>
    <w:p w14:paraId="73722E2C" w14:textId="77777777" w:rsidR="004D5904" w:rsidRPr="00DD03C5" w:rsidRDefault="004D5904" w:rsidP="00DD03C5">
      <w:pPr>
        <w:pStyle w:val="ListParagraph"/>
        <w:numPr>
          <w:ilvl w:val="0"/>
          <w:numId w:val="15"/>
        </w:numPr>
        <w:spacing w:before="60" w:after="60" w:line="240" w:lineRule="auto"/>
        <w:ind w:right="260"/>
        <w:jc w:val="both"/>
        <w:rPr>
          <w:rFonts w:ascii="Arial" w:hAnsi="Arial" w:cs="Arial"/>
          <w:iCs/>
          <w:sz w:val="20"/>
          <w:szCs w:val="20"/>
        </w:rPr>
      </w:pPr>
      <w:r w:rsidRPr="00DD03C5">
        <w:rPr>
          <w:rFonts w:ascii="Arial" w:hAnsi="Arial" w:cs="Arial"/>
          <w:iCs/>
          <w:sz w:val="20"/>
          <w:szCs w:val="20"/>
        </w:rPr>
        <w:t xml:space="preserve">L. Smith, </w:t>
      </w:r>
      <w:r w:rsidRPr="00DD03C5">
        <w:rPr>
          <w:rFonts w:ascii="Arial" w:hAnsi="Arial" w:cs="Arial"/>
          <w:i/>
          <w:iCs/>
          <w:sz w:val="20"/>
          <w:szCs w:val="20"/>
        </w:rPr>
        <w:t>The Worlds of Trust</w:t>
      </w:r>
      <w:r w:rsidRPr="00DD03C5">
        <w:rPr>
          <w:rFonts w:ascii="Arial" w:hAnsi="Arial" w:cs="Arial"/>
          <w:iCs/>
          <w:sz w:val="20"/>
          <w:szCs w:val="20"/>
        </w:rPr>
        <w:t xml:space="preserve"> (Cambridge: Cambridge University Press, 2013)</w:t>
      </w:r>
    </w:p>
    <w:p w14:paraId="7E623276" w14:textId="77777777" w:rsidR="004D5904" w:rsidRPr="00DD03C5" w:rsidRDefault="004D5904" w:rsidP="00DD03C5">
      <w:pPr>
        <w:pStyle w:val="ListParagraph"/>
        <w:numPr>
          <w:ilvl w:val="0"/>
          <w:numId w:val="15"/>
        </w:numPr>
        <w:spacing w:before="60" w:after="60" w:line="240" w:lineRule="auto"/>
        <w:ind w:right="260"/>
        <w:jc w:val="both"/>
        <w:rPr>
          <w:rFonts w:ascii="Arial" w:hAnsi="Arial" w:cs="Arial"/>
          <w:iCs/>
          <w:sz w:val="20"/>
          <w:szCs w:val="20"/>
        </w:rPr>
      </w:pPr>
      <w:r w:rsidRPr="00DD03C5">
        <w:rPr>
          <w:rFonts w:ascii="Arial" w:hAnsi="Arial" w:cs="Arial"/>
          <w:iCs/>
          <w:sz w:val="20"/>
          <w:szCs w:val="20"/>
        </w:rPr>
        <w:t xml:space="preserve">C. </w:t>
      </w:r>
      <w:proofErr w:type="spellStart"/>
      <w:r w:rsidRPr="00DD03C5">
        <w:rPr>
          <w:rFonts w:ascii="Arial" w:hAnsi="Arial" w:cs="Arial"/>
          <w:iCs/>
          <w:sz w:val="20"/>
          <w:szCs w:val="20"/>
        </w:rPr>
        <w:t>Stebbings</w:t>
      </w:r>
      <w:proofErr w:type="spellEnd"/>
      <w:r w:rsidRPr="00DD03C5">
        <w:rPr>
          <w:rFonts w:ascii="Arial" w:hAnsi="Arial" w:cs="Arial"/>
          <w:iCs/>
          <w:sz w:val="20"/>
          <w:szCs w:val="20"/>
        </w:rPr>
        <w:t xml:space="preserve">, </w:t>
      </w:r>
      <w:r w:rsidRPr="00DD03C5">
        <w:rPr>
          <w:rFonts w:ascii="Arial" w:hAnsi="Arial" w:cs="Arial"/>
          <w:i/>
          <w:iCs/>
          <w:sz w:val="20"/>
          <w:szCs w:val="20"/>
        </w:rPr>
        <w:t>The Private Trustee in Victorian England</w:t>
      </w:r>
      <w:r w:rsidRPr="00DD03C5">
        <w:rPr>
          <w:rFonts w:ascii="Arial" w:hAnsi="Arial" w:cs="Arial"/>
          <w:iCs/>
          <w:sz w:val="20"/>
          <w:szCs w:val="20"/>
        </w:rPr>
        <w:t xml:space="preserve"> (Cambridge: Cambridge University Press, 2002)</w:t>
      </w:r>
    </w:p>
    <w:p w14:paraId="08CB34F7" w14:textId="7B549582" w:rsidR="004D5904" w:rsidRDefault="004D5904" w:rsidP="00DD03C5">
      <w:pPr>
        <w:pStyle w:val="ListParagraph"/>
        <w:numPr>
          <w:ilvl w:val="0"/>
          <w:numId w:val="15"/>
        </w:numPr>
        <w:spacing w:before="60" w:after="60" w:line="240" w:lineRule="auto"/>
        <w:ind w:right="260"/>
        <w:jc w:val="both"/>
        <w:rPr>
          <w:rFonts w:ascii="Arial" w:hAnsi="Arial" w:cs="Arial"/>
          <w:iCs/>
          <w:sz w:val="20"/>
          <w:szCs w:val="20"/>
        </w:rPr>
      </w:pPr>
      <w:r w:rsidRPr="00DD03C5">
        <w:rPr>
          <w:rFonts w:ascii="Arial" w:hAnsi="Arial" w:cs="Arial"/>
          <w:iCs/>
          <w:sz w:val="20"/>
          <w:szCs w:val="20"/>
        </w:rPr>
        <w:t xml:space="preserve">S. Worthington, </w:t>
      </w:r>
      <w:r w:rsidRPr="00DD03C5">
        <w:rPr>
          <w:rFonts w:ascii="Arial" w:hAnsi="Arial" w:cs="Arial"/>
          <w:i/>
          <w:iCs/>
          <w:sz w:val="20"/>
          <w:szCs w:val="20"/>
        </w:rPr>
        <w:t>Proprietary Interests in Commercial Transactions</w:t>
      </w:r>
      <w:r w:rsidRPr="00DD03C5">
        <w:rPr>
          <w:rFonts w:ascii="Arial" w:hAnsi="Arial" w:cs="Arial"/>
          <w:iCs/>
          <w:sz w:val="20"/>
          <w:szCs w:val="20"/>
        </w:rPr>
        <w:t xml:space="preserve"> (Oxford: Clarendon Press, 1996)</w:t>
      </w:r>
    </w:p>
    <w:p w14:paraId="76F89502" w14:textId="77777777" w:rsidR="00DD03C5" w:rsidRPr="00DD03C5" w:rsidRDefault="00DD03C5" w:rsidP="00DD03C5">
      <w:pPr>
        <w:pStyle w:val="ListParagraph"/>
        <w:spacing w:before="60" w:after="60" w:line="240" w:lineRule="auto"/>
        <w:ind w:left="1146" w:right="118"/>
        <w:rPr>
          <w:rFonts w:ascii="Arial" w:hAnsi="Arial" w:cs="Arial"/>
          <w:iCs/>
          <w:sz w:val="20"/>
          <w:szCs w:val="20"/>
        </w:rPr>
      </w:pPr>
    </w:p>
    <w:p w14:paraId="26BBA91A" w14:textId="77777777" w:rsidR="004D5904" w:rsidRPr="00C40365" w:rsidRDefault="004D5904" w:rsidP="004D5904">
      <w:pPr>
        <w:spacing w:before="60" w:after="60" w:line="240" w:lineRule="auto"/>
        <w:ind w:left="360" w:right="-330"/>
        <w:rPr>
          <w:rFonts w:ascii="Arial" w:hAnsi="Arial" w:cs="Arial"/>
          <w:iCs/>
          <w:sz w:val="20"/>
          <w:szCs w:val="20"/>
        </w:rPr>
      </w:pPr>
    </w:p>
    <w:p w14:paraId="00FC4712"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8045B4E" w14:textId="5A9E5542" w:rsidR="00A73EEF" w:rsidRDefault="00DE4F08" w:rsidP="00DD03C5">
      <w:pPr>
        <w:spacing w:after="120" w:line="240" w:lineRule="auto"/>
        <w:ind w:left="426" w:right="260"/>
        <w:rPr>
          <w:rFonts w:ascii="Arial" w:hAnsi="Arial" w:cs="Arial"/>
          <w:iCs/>
          <w:sz w:val="20"/>
          <w:szCs w:val="20"/>
        </w:rPr>
      </w:pPr>
      <w:r w:rsidRPr="00C001F6">
        <w:rPr>
          <w:rFonts w:ascii="Arial" w:hAnsi="Arial" w:cs="Arial"/>
          <w:iCs/>
          <w:sz w:val="20"/>
          <w:szCs w:val="20"/>
        </w:rPr>
        <w:t>T</w:t>
      </w:r>
      <w:r w:rsidR="00A73EEF">
        <w:rPr>
          <w:rFonts w:ascii="Arial" w:hAnsi="Arial" w:cs="Arial"/>
          <w:iCs/>
          <w:sz w:val="20"/>
          <w:szCs w:val="20"/>
        </w:rPr>
        <w:t>otal study hours: 150</w:t>
      </w:r>
    </w:p>
    <w:p w14:paraId="091E5989" w14:textId="43380AD5" w:rsidR="00A73EEF" w:rsidRDefault="00A73EEF" w:rsidP="0066061A">
      <w:pPr>
        <w:spacing w:after="120" w:line="240" w:lineRule="auto"/>
        <w:ind w:left="426" w:right="260"/>
        <w:rPr>
          <w:rFonts w:ascii="Arial" w:hAnsi="Arial" w:cs="Arial"/>
          <w:iCs/>
          <w:sz w:val="20"/>
          <w:szCs w:val="20"/>
        </w:rPr>
      </w:pPr>
      <w:r>
        <w:rPr>
          <w:rFonts w:ascii="Arial" w:hAnsi="Arial" w:cs="Arial"/>
          <w:iCs/>
          <w:sz w:val="20"/>
          <w:szCs w:val="20"/>
        </w:rPr>
        <w:t>Contact hours: 20</w:t>
      </w:r>
    </w:p>
    <w:p w14:paraId="693F3343" w14:textId="58D699E8" w:rsidR="00DE4F08" w:rsidRPr="00C001F6" w:rsidRDefault="00A73EEF" w:rsidP="0066061A">
      <w:pPr>
        <w:spacing w:after="120" w:line="240" w:lineRule="auto"/>
        <w:ind w:left="426" w:right="260"/>
        <w:rPr>
          <w:rFonts w:ascii="Arial" w:hAnsi="Arial" w:cs="Arial"/>
          <w:iCs/>
          <w:sz w:val="20"/>
          <w:szCs w:val="20"/>
        </w:rPr>
      </w:pPr>
      <w:r>
        <w:rPr>
          <w:rFonts w:ascii="Arial" w:hAnsi="Arial" w:cs="Arial"/>
          <w:iCs/>
          <w:sz w:val="20"/>
          <w:szCs w:val="20"/>
        </w:rPr>
        <w:t>Private study hours: 130</w:t>
      </w:r>
    </w:p>
    <w:p w14:paraId="7751D9F7" w14:textId="77777777" w:rsidR="004D5904" w:rsidRPr="004D5904" w:rsidRDefault="004D5904" w:rsidP="00C81E45">
      <w:pPr>
        <w:spacing w:after="120" w:line="240" w:lineRule="auto"/>
        <w:ind w:right="260"/>
        <w:rPr>
          <w:rFonts w:ascii="Arial" w:hAnsi="Arial" w:cs="Arial"/>
          <w:iCs/>
          <w:sz w:val="20"/>
          <w:szCs w:val="20"/>
        </w:rPr>
      </w:pPr>
    </w:p>
    <w:p w14:paraId="61D0BDDA"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0103E25"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2A2CE523" w14:textId="77777777" w:rsidR="006F3F43" w:rsidRDefault="006F3F43" w:rsidP="0066061A">
      <w:pPr>
        <w:spacing w:after="120" w:line="240" w:lineRule="auto"/>
        <w:ind w:left="426" w:right="260"/>
        <w:rPr>
          <w:rFonts w:ascii="Arial" w:hAnsi="Arial" w:cs="Arial"/>
          <w:iCs/>
          <w:sz w:val="20"/>
          <w:szCs w:val="20"/>
        </w:rPr>
      </w:pPr>
    </w:p>
    <w:p w14:paraId="175F4570" w14:textId="65887AC7" w:rsidR="0066061A" w:rsidRPr="005E3FA7"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502B93">
        <w:rPr>
          <w:rFonts w:ascii="Arial" w:hAnsi="Arial" w:cs="Arial"/>
          <w:iCs/>
          <w:sz w:val="20"/>
          <w:szCs w:val="20"/>
        </w:rPr>
        <w:t xml:space="preserve">50% Coursework and 50% Exam </w:t>
      </w:r>
      <w:r w:rsidR="00865CBA">
        <w:rPr>
          <w:rFonts w:ascii="Arial" w:hAnsi="Arial" w:cs="Arial"/>
          <w:iCs/>
          <w:sz w:val="20"/>
          <w:szCs w:val="20"/>
        </w:rPr>
        <w:t>as follows</w:t>
      </w:r>
      <w:r w:rsidRPr="005E3FA7">
        <w:rPr>
          <w:rFonts w:ascii="Arial" w:hAnsi="Arial" w:cs="Arial"/>
          <w:iCs/>
          <w:sz w:val="20"/>
          <w:szCs w:val="20"/>
        </w:rPr>
        <w:t>:</w:t>
      </w:r>
    </w:p>
    <w:p w14:paraId="69234C48" w14:textId="77777777" w:rsidR="00502B93" w:rsidRDefault="00502B93" w:rsidP="00502B93">
      <w:pPr>
        <w:pStyle w:val="ListParagraph"/>
        <w:numPr>
          <w:ilvl w:val="0"/>
          <w:numId w:val="14"/>
        </w:numPr>
        <w:spacing w:before="60" w:after="60" w:line="240" w:lineRule="auto"/>
        <w:ind w:right="-330"/>
        <w:rPr>
          <w:rFonts w:ascii="Arial" w:hAnsi="Arial" w:cs="Arial"/>
          <w:iCs/>
          <w:sz w:val="20"/>
          <w:szCs w:val="20"/>
        </w:rPr>
      </w:pPr>
      <w:r>
        <w:rPr>
          <w:rFonts w:ascii="Arial" w:hAnsi="Arial" w:cs="Arial"/>
          <w:iCs/>
          <w:sz w:val="20"/>
          <w:szCs w:val="20"/>
        </w:rPr>
        <w:t>50% w</w:t>
      </w:r>
      <w:r w:rsidRPr="00AA0A39">
        <w:rPr>
          <w:rFonts w:ascii="Arial" w:hAnsi="Arial" w:cs="Arial"/>
          <w:iCs/>
          <w:sz w:val="20"/>
          <w:szCs w:val="20"/>
        </w:rPr>
        <w:t xml:space="preserve">ritten essay </w:t>
      </w:r>
      <w:r>
        <w:rPr>
          <w:rFonts w:ascii="Arial" w:hAnsi="Arial" w:cs="Arial"/>
          <w:iCs/>
          <w:sz w:val="20"/>
          <w:szCs w:val="20"/>
        </w:rPr>
        <w:t xml:space="preserve">3,000 </w:t>
      </w:r>
      <w:r w:rsidRPr="00AA0A39">
        <w:rPr>
          <w:rFonts w:ascii="Arial" w:hAnsi="Arial" w:cs="Arial"/>
          <w:iCs/>
          <w:sz w:val="20"/>
          <w:szCs w:val="20"/>
        </w:rPr>
        <w:t>words</w:t>
      </w:r>
      <w:r>
        <w:rPr>
          <w:rFonts w:ascii="Arial" w:hAnsi="Arial" w:cs="Arial"/>
          <w:iCs/>
          <w:sz w:val="20"/>
          <w:szCs w:val="20"/>
        </w:rPr>
        <w:t>; and</w:t>
      </w:r>
    </w:p>
    <w:p w14:paraId="0A326277" w14:textId="5D206B22" w:rsidR="00502B93" w:rsidRPr="00502B93" w:rsidRDefault="00502B93" w:rsidP="00502B93">
      <w:pPr>
        <w:pStyle w:val="ListParagraph"/>
        <w:numPr>
          <w:ilvl w:val="0"/>
          <w:numId w:val="14"/>
        </w:numPr>
        <w:spacing w:before="60" w:after="60" w:line="240" w:lineRule="auto"/>
        <w:ind w:right="-330"/>
        <w:rPr>
          <w:rFonts w:ascii="Arial" w:hAnsi="Arial" w:cs="Arial"/>
          <w:b/>
          <w:iCs/>
          <w:sz w:val="20"/>
          <w:szCs w:val="20"/>
        </w:rPr>
      </w:pPr>
      <w:r>
        <w:rPr>
          <w:rFonts w:ascii="Arial" w:hAnsi="Arial" w:cs="Arial"/>
          <w:iCs/>
          <w:sz w:val="20"/>
          <w:szCs w:val="20"/>
        </w:rPr>
        <w:t>50% 2-hour examination.</w:t>
      </w:r>
    </w:p>
    <w:p w14:paraId="3FBAD6BC" w14:textId="77777777" w:rsidR="00502B93" w:rsidRPr="00AA4365" w:rsidRDefault="00502B93" w:rsidP="00502B93">
      <w:pPr>
        <w:pStyle w:val="ListParagraph"/>
        <w:spacing w:before="60" w:after="60" w:line="240" w:lineRule="auto"/>
        <w:ind w:left="1080" w:right="-330"/>
        <w:rPr>
          <w:rFonts w:ascii="Arial" w:hAnsi="Arial" w:cs="Arial"/>
          <w:b/>
          <w:iCs/>
          <w:sz w:val="20"/>
          <w:szCs w:val="20"/>
        </w:rPr>
      </w:pPr>
    </w:p>
    <w:p w14:paraId="698DA321" w14:textId="77777777" w:rsidR="00502B93" w:rsidRPr="00502B93" w:rsidRDefault="00502B93" w:rsidP="00C81E45">
      <w:pPr>
        <w:spacing w:after="120" w:line="240" w:lineRule="auto"/>
        <w:ind w:right="260"/>
        <w:rPr>
          <w:rFonts w:ascii="Arial" w:hAnsi="Arial" w:cs="Arial"/>
          <w:iCs/>
          <w:sz w:val="20"/>
          <w:szCs w:val="20"/>
        </w:rPr>
      </w:pPr>
    </w:p>
    <w:p w14:paraId="7EC46360"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lastRenderedPageBreak/>
        <w:t>13.2 Reassessment methods</w:t>
      </w:r>
    </w:p>
    <w:p w14:paraId="4F256039" w14:textId="77777777" w:rsidR="006F3F43" w:rsidRDefault="006F3F43" w:rsidP="0066061A">
      <w:pPr>
        <w:spacing w:after="120" w:line="240" w:lineRule="auto"/>
        <w:ind w:left="426" w:right="260"/>
        <w:rPr>
          <w:rFonts w:ascii="Arial" w:hAnsi="Arial" w:cs="Arial"/>
          <w:iCs/>
          <w:sz w:val="20"/>
          <w:szCs w:val="20"/>
          <w:u w:val="single"/>
        </w:rPr>
      </w:pPr>
    </w:p>
    <w:p w14:paraId="67E93868" w14:textId="2D69D4D2" w:rsidR="006F3F43" w:rsidRPr="00C001F6" w:rsidRDefault="006F3F43" w:rsidP="0066061A">
      <w:pPr>
        <w:spacing w:after="120" w:line="240" w:lineRule="auto"/>
        <w:ind w:left="426" w:right="260"/>
        <w:rPr>
          <w:rFonts w:ascii="Arial" w:hAnsi="Arial" w:cs="Arial"/>
          <w:iCs/>
          <w:sz w:val="20"/>
          <w:szCs w:val="20"/>
        </w:rPr>
      </w:pPr>
      <w:r w:rsidRPr="00C001F6">
        <w:rPr>
          <w:rFonts w:ascii="Arial" w:hAnsi="Arial" w:cs="Arial"/>
          <w:iCs/>
          <w:sz w:val="20"/>
          <w:szCs w:val="20"/>
        </w:rPr>
        <w:t>The module will be reassessed by like-for-like reassessment of failed individual component(s) of assessment</w:t>
      </w:r>
      <w:r w:rsidR="00D14A68">
        <w:rPr>
          <w:rFonts w:ascii="Arial" w:hAnsi="Arial" w:cs="Arial"/>
          <w:iCs/>
          <w:sz w:val="20"/>
          <w:szCs w:val="20"/>
        </w:rPr>
        <w:t>.</w:t>
      </w:r>
      <w:r w:rsidRPr="00C001F6">
        <w:rPr>
          <w:rFonts w:ascii="Arial" w:hAnsi="Arial" w:cs="Arial"/>
          <w:iCs/>
          <w:sz w:val="20"/>
          <w:szCs w:val="20"/>
        </w:rPr>
        <w:t xml:space="preserve"> The reassessment will test </w:t>
      </w:r>
      <w:r w:rsidR="00D14A68">
        <w:rPr>
          <w:rFonts w:ascii="Arial" w:hAnsi="Arial" w:cs="Arial"/>
          <w:iCs/>
          <w:sz w:val="20"/>
          <w:szCs w:val="20"/>
        </w:rPr>
        <w:t xml:space="preserve">all </w:t>
      </w:r>
      <w:r w:rsidRPr="00C001F6">
        <w:rPr>
          <w:rFonts w:ascii="Arial" w:hAnsi="Arial" w:cs="Arial"/>
          <w:iCs/>
          <w:sz w:val="20"/>
          <w:szCs w:val="20"/>
        </w:rPr>
        <w:t>learning outcomes</w:t>
      </w:r>
      <w:r w:rsidR="00D14A68">
        <w:rPr>
          <w:rFonts w:ascii="Arial" w:hAnsi="Arial" w:cs="Arial"/>
          <w:iCs/>
          <w:sz w:val="20"/>
          <w:szCs w:val="20"/>
        </w:rPr>
        <w:t>.</w:t>
      </w:r>
      <w:r w:rsidRPr="00C001F6">
        <w:rPr>
          <w:rFonts w:ascii="Arial" w:hAnsi="Arial" w:cs="Arial"/>
          <w:iCs/>
          <w:sz w:val="20"/>
          <w:szCs w:val="20"/>
        </w:rPr>
        <w:t xml:space="preserve"> </w:t>
      </w:r>
    </w:p>
    <w:p w14:paraId="7925D57B" w14:textId="77777777" w:rsidR="00373ACB" w:rsidRPr="00373ACB" w:rsidRDefault="00373ACB" w:rsidP="0066061A">
      <w:pPr>
        <w:spacing w:after="120" w:line="240" w:lineRule="auto"/>
        <w:ind w:left="426" w:right="260"/>
        <w:rPr>
          <w:rFonts w:ascii="Arial" w:hAnsi="Arial" w:cs="Arial"/>
          <w:b/>
          <w:i/>
          <w:iCs/>
          <w:sz w:val="20"/>
          <w:szCs w:val="20"/>
        </w:rPr>
      </w:pPr>
    </w:p>
    <w:p w14:paraId="3B7BB882"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14623190"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666" w:type="pct"/>
        <w:jc w:val="center"/>
        <w:tblLook w:val="04A0" w:firstRow="1" w:lastRow="0" w:firstColumn="1" w:lastColumn="0" w:noHBand="0" w:noVBand="1"/>
      </w:tblPr>
      <w:tblGrid>
        <w:gridCol w:w="1416"/>
        <w:gridCol w:w="1400"/>
        <w:gridCol w:w="495"/>
        <w:gridCol w:w="495"/>
        <w:gridCol w:w="496"/>
        <w:gridCol w:w="496"/>
        <w:gridCol w:w="496"/>
        <w:gridCol w:w="496"/>
        <w:gridCol w:w="496"/>
        <w:gridCol w:w="496"/>
        <w:gridCol w:w="496"/>
        <w:gridCol w:w="496"/>
        <w:gridCol w:w="496"/>
        <w:gridCol w:w="496"/>
        <w:gridCol w:w="496"/>
        <w:gridCol w:w="496"/>
      </w:tblGrid>
      <w:tr w:rsidR="00C001F6" w:rsidRPr="00373ACB" w14:paraId="108A4FAE" w14:textId="77777777" w:rsidTr="00DD03C5">
        <w:trPr>
          <w:trHeight w:val="397"/>
          <w:jc w:val="center"/>
        </w:trPr>
        <w:tc>
          <w:tcPr>
            <w:tcW w:w="1444" w:type="pct"/>
            <w:gridSpan w:val="2"/>
            <w:shd w:val="clear" w:color="auto" w:fill="D9D9D9" w:themeFill="background1" w:themeFillShade="D9"/>
            <w:vAlign w:val="center"/>
          </w:tcPr>
          <w:p w14:paraId="16142F17" w14:textId="77777777" w:rsidR="00C001F6" w:rsidRPr="00373ACB" w:rsidRDefault="00C001F6" w:rsidP="0066061A">
            <w:pPr>
              <w:spacing w:after="120"/>
              <w:rPr>
                <w:rFonts w:ascii="Arial" w:hAnsi="Arial" w:cs="Arial"/>
                <w:i/>
                <w:sz w:val="20"/>
                <w:szCs w:val="20"/>
              </w:rPr>
            </w:pPr>
            <w:r w:rsidRPr="00373ACB">
              <w:rPr>
                <w:rFonts w:ascii="Arial" w:hAnsi="Arial" w:cs="Arial"/>
                <w:b/>
                <w:sz w:val="20"/>
                <w:szCs w:val="20"/>
              </w:rPr>
              <w:t>Module learning outcome</w:t>
            </w:r>
          </w:p>
        </w:tc>
        <w:tc>
          <w:tcPr>
            <w:tcW w:w="254" w:type="pct"/>
            <w:vAlign w:val="center"/>
          </w:tcPr>
          <w:p w14:paraId="1F5F4DAA" w14:textId="77777777" w:rsidR="00C001F6" w:rsidRPr="007103E4" w:rsidRDefault="00C001F6" w:rsidP="0066061A">
            <w:pPr>
              <w:spacing w:after="120"/>
              <w:rPr>
                <w:rFonts w:ascii="Arial" w:hAnsi="Arial" w:cs="Arial"/>
                <w:sz w:val="20"/>
                <w:szCs w:val="20"/>
              </w:rPr>
            </w:pPr>
            <w:r>
              <w:rPr>
                <w:rFonts w:ascii="Arial" w:hAnsi="Arial" w:cs="Arial"/>
                <w:sz w:val="20"/>
                <w:szCs w:val="20"/>
              </w:rPr>
              <w:t>8.1</w:t>
            </w:r>
          </w:p>
        </w:tc>
        <w:tc>
          <w:tcPr>
            <w:tcW w:w="254" w:type="pct"/>
            <w:vAlign w:val="center"/>
          </w:tcPr>
          <w:p w14:paraId="2633311A" w14:textId="77777777" w:rsidR="00C001F6" w:rsidRPr="007103E4" w:rsidRDefault="00C001F6" w:rsidP="0066061A">
            <w:pPr>
              <w:spacing w:after="120"/>
              <w:rPr>
                <w:rFonts w:ascii="Arial" w:hAnsi="Arial" w:cs="Arial"/>
                <w:sz w:val="20"/>
                <w:szCs w:val="20"/>
              </w:rPr>
            </w:pPr>
            <w:r>
              <w:rPr>
                <w:rFonts w:ascii="Arial" w:hAnsi="Arial" w:cs="Arial"/>
                <w:sz w:val="20"/>
                <w:szCs w:val="20"/>
              </w:rPr>
              <w:t>8.2</w:t>
            </w:r>
          </w:p>
        </w:tc>
        <w:tc>
          <w:tcPr>
            <w:tcW w:w="254" w:type="pct"/>
            <w:vAlign w:val="center"/>
          </w:tcPr>
          <w:p w14:paraId="14EF6AB8" w14:textId="77777777" w:rsidR="00C001F6" w:rsidRPr="007103E4" w:rsidRDefault="00C001F6" w:rsidP="0066061A">
            <w:pPr>
              <w:spacing w:after="120"/>
              <w:rPr>
                <w:rFonts w:ascii="Arial" w:hAnsi="Arial" w:cs="Arial"/>
                <w:sz w:val="20"/>
                <w:szCs w:val="20"/>
              </w:rPr>
            </w:pPr>
            <w:r>
              <w:rPr>
                <w:rFonts w:ascii="Arial" w:hAnsi="Arial" w:cs="Arial"/>
                <w:sz w:val="20"/>
                <w:szCs w:val="20"/>
              </w:rPr>
              <w:t>8.3</w:t>
            </w:r>
          </w:p>
        </w:tc>
        <w:tc>
          <w:tcPr>
            <w:tcW w:w="254" w:type="pct"/>
            <w:vAlign w:val="center"/>
          </w:tcPr>
          <w:p w14:paraId="3FDDD821" w14:textId="17A25006" w:rsidR="00C001F6" w:rsidRPr="007103E4" w:rsidRDefault="00C001F6" w:rsidP="0066061A">
            <w:pPr>
              <w:spacing w:after="120"/>
              <w:rPr>
                <w:rFonts w:ascii="Arial" w:hAnsi="Arial" w:cs="Arial"/>
                <w:sz w:val="20"/>
                <w:szCs w:val="20"/>
              </w:rPr>
            </w:pPr>
            <w:r>
              <w:rPr>
                <w:rFonts w:ascii="Arial" w:hAnsi="Arial" w:cs="Arial"/>
                <w:sz w:val="20"/>
                <w:szCs w:val="20"/>
              </w:rPr>
              <w:t>8.4</w:t>
            </w:r>
          </w:p>
        </w:tc>
        <w:tc>
          <w:tcPr>
            <w:tcW w:w="254" w:type="pct"/>
            <w:vAlign w:val="center"/>
          </w:tcPr>
          <w:p w14:paraId="3CB9482C" w14:textId="1F344A80" w:rsidR="00C001F6" w:rsidRPr="007103E4" w:rsidRDefault="00C001F6" w:rsidP="0066061A">
            <w:pPr>
              <w:spacing w:after="120"/>
              <w:rPr>
                <w:rFonts w:ascii="Arial" w:hAnsi="Arial" w:cs="Arial"/>
                <w:sz w:val="20"/>
                <w:szCs w:val="20"/>
              </w:rPr>
            </w:pPr>
            <w:r>
              <w:rPr>
                <w:rFonts w:ascii="Arial" w:hAnsi="Arial" w:cs="Arial"/>
                <w:sz w:val="20"/>
                <w:szCs w:val="20"/>
              </w:rPr>
              <w:t>8.5</w:t>
            </w:r>
          </w:p>
        </w:tc>
        <w:tc>
          <w:tcPr>
            <w:tcW w:w="254" w:type="pct"/>
            <w:vAlign w:val="center"/>
          </w:tcPr>
          <w:p w14:paraId="2B12A630" w14:textId="62EEC5B5" w:rsidR="00C001F6" w:rsidRPr="007103E4" w:rsidRDefault="00C001F6" w:rsidP="0066061A">
            <w:pPr>
              <w:spacing w:after="120"/>
              <w:rPr>
                <w:rFonts w:ascii="Arial" w:hAnsi="Arial" w:cs="Arial"/>
                <w:sz w:val="20"/>
                <w:szCs w:val="20"/>
              </w:rPr>
            </w:pPr>
            <w:r>
              <w:rPr>
                <w:rFonts w:ascii="Arial" w:hAnsi="Arial" w:cs="Arial"/>
                <w:sz w:val="20"/>
                <w:szCs w:val="20"/>
              </w:rPr>
              <w:t>8.6</w:t>
            </w:r>
          </w:p>
        </w:tc>
        <w:tc>
          <w:tcPr>
            <w:tcW w:w="254" w:type="pct"/>
            <w:vAlign w:val="center"/>
          </w:tcPr>
          <w:p w14:paraId="057E4FFD" w14:textId="2C4698C2" w:rsidR="00C001F6" w:rsidRPr="007103E4" w:rsidRDefault="00C001F6" w:rsidP="00C001F6">
            <w:pPr>
              <w:spacing w:after="120"/>
              <w:rPr>
                <w:rFonts w:ascii="Arial" w:hAnsi="Arial" w:cs="Arial"/>
                <w:sz w:val="20"/>
                <w:szCs w:val="20"/>
              </w:rPr>
            </w:pPr>
            <w:r>
              <w:rPr>
                <w:rFonts w:ascii="Arial" w:hAnsi="Arial" w:cs="Arial"/>
                <w:sz w:val="20"/>
                <w:szCs w:val="20"/>
              </w:rPr>
              <w:t>8.7</w:t>
            </w:r>
          </w:p>
        </w:tc>
        <w:tc>
          <w:tcPr>
            <w:tcW w:w="254" w:type="pct"/>
            <w:vAlign w:val="center"/>
          </w:tcPr>
          <w:p w14:paraId="59CF5A80" w14:textId="14D48D52" w:rsidR="00C001F6" w:rsidRPr="007103E4" w:rsidRDefault="00C001F6" w:rsidP="00C001F6">
            <w:pPr>
              <w:spacing w:after="120"/>
              <w:rPr>
                <w:rFonts w:ascii="Arial" w:hAnsi="Arial" w:cs="Arial"/>
                <w:sz w:val="20"/>
                <w:szCs w:val="20"/>
              </w:rPr>
            </w:pPr>
            <w:r>
              <w:rPr>
                <w:rFonts w:ascii="Arial" w:hAnsi="Arial" w:cs="Arial"/>
                <w:sz w:val="20"/>
                <w:szCs w:val="20"/>
              </w:rPr>
              <w:t>8.8</w:t>
            </w:r>
          </w:p>
        </w:tc>
        <w:tc>
          <w:tcPr>
            <w:tcW w:w="254" w:type="pct"/>
            <w:vAlign w:val="center"/>
          </w:tcPr>
          <w:p w14:paraId="02CFC62F" w14:textId="2D468645" w:rsidR="00C001F6" w:rsidRPr="007103E4" w:rsidRDefault="00C001F6" w:rsidP="00C001F6">
            <w:pPr>
              <w:spacing w:after="120"/>
              <w:rPr>
                <w:rFonts w:ascii="Arial" w:hAnsi="Arial" w:cs="Arial"/>
                <w:sz w:val="20"/>
                <w:szCs w:val="20"/>
              </w:rPr>
            </w:pPr>
            <w:r>
              <w:rPr>
                <w:rFonts w:ascii="Arial" w:hAnsi="Arial" w:cs="Arial"/>
                <w:sz w:val="20"/>
                <w:szCs w:val="20"/>
              </w:rPr>
              <w:t>9.1</w:t>
            </w:r>
          </w:p>
        </w:tc>
        <w:tc>
          <w:tcPr>
            <w:tcW w:w="254" w:type="pct"/>
            <w:vAlign w:val="center"/>
          </w:tcPr>
          <w:p w14:paraId="77F298D7" w14:textId="79F1B43A" w:rsidR="00C001F6" w:rsidRPr="007103E4" w:rsidRDefault="00C001F6" w:rsidP="0066061A">
            <w:pPr>
              <w:spacing w:after="120"/>
              <w:rPr>
                <w:rFonts w:ascii="Arial" w:hAnsi="Arial" w:cs="Arial"/>
                <w:sz w:val="20"/>
                <w:szCs w:val="20"/>
              </w:rPr>
            </w:pPr>
            <w:r>
              <w:rPr>
                <w:rFonts w:ascii="Arial" w:hAnsi="Arial" w:cs="Arial"/>
                <w:sz w:val="20"/>
                <w:szCs w:val="20"/>
              </w:rPr>
              <w:t>9.2</w:t>
            </w:r>
          </w:p>
        </w:tc>
        <w:tc>
          <w:tcPr>
            <w:tcW w:w="254" w:type="pct"/>
            <w:vAlign w:val="center"/>
          </w:tcPr>
          <w:p w14:paraId="30DE70E9" w14:textId="7993D1D6" w:rsidR="00C001F6" w:rsidRPr="007103E4" w:rsidRDefault="00C001F6" w:rsidP="0066061A">
            <w:pPr>
              <w:spacing w:after="120"/>
              <w:rPr>
                <w:rFonts w:ascii="Arial" w:hAnsi="Arial" w:cs="Arial"/>
                <w:sz w:val="20"/>
                <w:szCs w:val="20"/>
              </w:rPr>
            </w:pPr>
            <w:r>
              <w:rPr>
                <w:rFonts w:ascii="Arial" w:hAnsi="Arial" w:cs="Arial"/>
                <w:sz w:val="20"/>
                <w:szCs w:val="20"/>
              </w:rPr>
              <w:t>9.3</w:t>
            </w:r>
          </w:p>
        </w:tc>
        <w:tc>
          <w:tcPr>
            <w:tcW w:w="254" w:type="pct"/>
            <w:vAlign w:val="center"/>
          </w:tcPr>
          <w:p w14:paraId="609E6E56" w14:textId="25162E83" w:rsidR="00C001F6" w:rsidRPr="007103E4" w:rsidRDefault="00C001F6" w:rsidP="0066061A">
            <w:pPr>
              <w:spacing w:after="120"/>
              <w:rPr>
                <w:rFonts w:ascii="Arial" w:hAnsi="Arial" w:cs="Arial"/>
                <w:sz w:val="20"/>
                <w:szCs w:val="20"/>
              </w:rPr>
            </w:pPr>
            <w:r>
              <w:rPr>
                <w:rFonts w:ascii="Arial" w:hAnsi="Arial" w:cs="Arial"/>
                <w:sz w:val="20"/>
                <w:szCs w:val="20"/>
              </w:rPr>
              <w:t>9.4</w:t>
            </w:r>
          </w:p>
        </w:tc>
        <w:tc>
          <w:tcPr>
            <w:tcW w:w="254" w:type="pct"/>
            <w:vAlign w:val="center"/>
          </w:tcPr>
          <w:p w14:paraId="38FBD553" w14:textId="4603959B" w:rsidR="00C001F6" w:rsidRPr="007103E4" w:rsidRDefault="00C001F6" w:rsidP="00C001F6">
            <w:pPr>
              <w:spacing w:after="120"/>
              <w:rPr>
                <w:rFonts w:ascii="Arial" w:hAnsi="Arial" w:cs="Arial"/>
                <w:sz w:val="20"/>
                <w:szCs w:val="20"/>
              </w:rPr>
            </w:pPr>
            <w:r>
              <w:rPr>
                <w:rFonts w:ascii="Arial" w:hAnsi="Arial" w:cs="Arial"/>
                <w:sz w:val="20"/>
                <w:szCs w:val="20"/>
              </w:rPr>
              <w:t>9.5</w:t>
            </w:r>
          </w:p>
        </w:tc>
        <w:tc>
          <w:tcPr>
            <w:tcW w:w="254" w:type="pct"/>
            <w:vAlign w:val="center"/>
          </w:tcPr>
          <w:p w14:paraId="3033A333" w14:textId="37933611" w:rsidR="00C001F6" w:rsidRPr="007103E4" w:rsidRDefault="00C001F6" w:rsidP="00C001F6">
            <w:pPr>
              <w:spacing w:after="120"/>
              <w:rPr>
                <w:rFonts w:ascii="Arial" w:hAnsi="Arial" w:cs="Arial"/>
                <w:sz w:val="20"/>
                <w:szCs w:val="20"/>
              </w:rPr>
            </w:pPr>
            <w:r>
              <w:rPr>
                <w:rFonts w:ascii="Arial" w:hAnsi="Arial" w:cs="Arial"/>
                <w:sz w:val="20"/>
                <w:szCs w:val="20"/>
              </w:rPr>
              <w:t>9.6</w:t>
            </w:r>
          </w:p>
        </w:tc>
      </w:tr>
      <w:tr w:rsidR="00DD03C5" w:rsidRPr="00373ACB" w14:paraId="1C4A5AB3" w14:textId="77777777" w:rsidTr="00DD03C5">
        <w:trPr>
          <w:trHeight w:val="397"/>
          <w:jc w:val="center"/>
        </w:trPr>
        <w:tc>
          <w:tcPr>
            <w:tcW w:w="1444" w:type="pct"/>
            <w:gridSpan w:val="2"/>
            <w:shd w:val="clear" w:color="auto" w:fill="D9D9D9" w:themeFill="background1" w:themeFillShade="D9"/>
            <w:vAlign w:val="center"/>
          </w:tcPr>
          <w:p w14:paraId="41B79BB1" w14:textId="7B970F6E" w:rsidR="00DD03C5" w:rsidRPr="00373ACB" w:rsidRDefault="00DD03C5"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54" w:type="pct"/>
            <w:vAlign w:val="center"/>
          </w:tcPr>
          <w:p w14:paraId="3BDC9BE2" w14:textId="77777777" w:rsidR="00DD03C5" w:rsidRPr="007103E4" w:rsidRDefault="00DD03C5" w:rsidP="0066061A">
            <w:pPr>
              <w:spacing w:after="120"/>
              <w:rPr>
                <w:rFonts w:ascii="Arial" w:hAnsi="Arial" w:cs="Arial"/>
                <w:b/>
                <w:sz w:val="20"/>
                <w:szCs w:val="20"/>
              </w:rPr>
            </w:pPr>
          </w:p>
        </w:tc>
        <w:tc>
          <w:tcPr>
            <w:tcW w:w="254" w:type="pct"/>
            <w:vAlign w:val="center"/>
          </w:tcPr>
          <w:p w14:paraId="19550AFD" w14:textId="77777777" w:rsidR="00DD03C5" w:rsidRPr="007103E4" w:rsidRDefault="00DD03C5" w:rsidP="0066061A">
            <w:pPr>
              <w:spacing w:after="120"/>
              <w:rPr>
                <w:rFonts w:ascii="Arial" w:hAnsi="Arial" w:cs="Arial"/>
                <w:b/>
                <w:sz w:val="20"/>
                <w:szCs w:val="20"/>
              </w:rPr>
            </w:pPr>
          </w:p>
        </w:tc>
        <w:tc>
          <w:tcPr>
            <w:tcW w:w="254" w:type="pct"/>
            <w:vAlign w:val="center"/>
          </w:tcPr>
          <w:p w14:paraId="6E93563D" w14:textId="77777777" w:rsidR="00DD03C5" w:rsidRPr="007103E4" w:rsidRDefault="00DD03C5" w:rsidP="0066061A">
            <w:pPr>
              <w:spacing w:after="120"/>
              <w:rPr>
                <w:rFonts w:ascii="Arial" w:hAnsi="Arial" w:cs="Arial"/>
                <w:b/>
                <w:sz w:val="20"/>
                <w:szCs w:val="20"/>
              </w:rPr>
            </w:pPr>
          </w:p>
        </w:tc>
        <w:tc>
          <w:tcPr>
            <w:tcW w:w="254" w:type="pct"/>
            <w:vAlign w:val="center"/>
          </w:tcPr>
          <w:p w14:paraId="25604332" w14:textId="77777777" w:rsidR="00DD03C5" w:rsidRPr="007103E4" w:rsidRDefault="00DD03C5" w:rsidP="0066061A">
            <w:pPr>
              <w:spacing w:after="120"/>
              <w:rPr>
                <w:rFonts w:ascii="Arial" w:hAnsi="Arial" w:cs="Arial"/>
                <w:b/>
                <w:sz w:val="20"/>
                <w:szCs w:val="20"/>
              </w:rPr>
            </w:pPr>
          </w:p>
        </w:tc>
        <w:tc>
          <w:tcPr>
            <w:tcW w:w="254" w:type="pct"/>
            <w:vAlign w:val="center"/>
          </w:tcPr>
          <w:p w14:paraId="78FE9154" w14:textId="77777777" w:rsidR="00DD03C5" w:rsidRPr="007103E4" w:rsidRDefault="00DD03C5" w:rsidP="0066061A">
            <w:pPr>
              <w:spacing w:after="120"/>
              <w:rPr>
                <w:rFonts w:ascii="Arial" w:hAnsi="Arial" w:cs="Arial"/>
                <w:b/>
                <w:sz w:val="20"/>
                <w:szCs w:val="20"/>
              </w:rPr>
            </w:pPr>
          </w:p>
        </w:tc>
        <w:tc>
          <w:tcPr>
            <w:tcW w:w="254" w:type="pct"/>
            <w:vAlign w:val="center"/>
          </w:tcPr>
          <w:p w14:paraId="591A3E3F" w14:textId="77777777" w:rsidR="00DD03C5" w:rsidRPr="007103E4" w:rsidRDefault="00DD03C5" w:rsidP="0066061A">
            <w:pPr>
              <w:spacing w:after="120"/>
              <w:rPr>
                <w:rFonts w:ascii="Arial" w:hAnsi="Arial" w:cs="Arial"/>
                <w:b/>
                <w:sz w:val="20"/>
                <w:szCs w:val="20"/>
              </w:rPr>
            </w:pPr>
          </w:p>
        </w:tc>
        <w:tc>
          <w:tcPr>
            <w:tcW w:w="254" w:type="pct"/>
            <w:vAlign w:val="center"/>
          </w:tcPr>
          <w:p w14:paraId="5ED2E51B" w14:textId="77777777" w:rsidR="00DD03C5" w:rsidRPr="007103E4" w:rsidRDefault="00DD03C5" w:rsidP="0066061A">
            <w:pPr>
              <w:spacing w:after="120"/>
              <w:rPr>
                <w:rFonts w:ascii="Arial" w:hAnsi="Arial" w:cs="Arial"/>
                <w:b/>
                <w:sz w:val="20"/>
                <w:szCs w:val="20"/>
              </w:rPr>
            </w:pPr>
          </w:p>
        </w:tc>
        <w:tc>
          <w:tcPr>
            <w:tcW w:w="254" w:type="pct"/>
            <w:vAlign w:val="center"/>
          </w:tcPr>
          <w:p w14:paraId="5BAC1E10" w14:textId="77777777" w:rsidR="00DD03C5" w:rsidRPr="007103E4" w:rsidRDefault="00DD03C5" w:rsidP="0066061A">
            <w:pPr>
              <w:spacing w:after="120"/>
              <w:rPr>
                <w:rFonts w:ascii="Arial" w:hAnsi="Arial" w:cs="Arial"/>
                <w:b/>
                <w:sz w:val="20"/>
                <w:szCs w:val="20"/>
              </w:rPr>
            </w:pPr>
          </w:p>
        </w:tc>
        <w:tc>
          <w:tcPr>
            <w:tcW w:w="254" w:type="pct"/>
            <w:vAlign w:val="center"/>
          </w:tcPr>
          <w:p w14:paraId="750A432C" w14:textId="77777777" w:rsidR="00DD03C5" w:rsidRPr="007103E4" w:rsidRDefault="00DD03C5" w:rsidP="0066061A">
            <w:pPr>
              <w:spacing w:after="120"/>
              <w:rPr>
                <w:rFonts w:ascii="Arial" w:hAnsi="Arial" w:cs="Arial"/>
                <w:b/>
                <w:sz w:val="20"/>
                <w:szCs w:val="20"/>
              </w:rPr>
            </w:pPr>
          </w:p>
        </w:tc>
        <w:tc>
          <w:tcPr>
            <w:tcW w:w="254" w:type="pct"/>
            <w:vAlign w:val="center"/>
          </w:tcPr>
          <w:p w14:paraId="25BFD663" w14:textId="77777777" w:rsidR="00DD03C5" w:rsidRPr="007103E4" w:rsidRDefault="00DD03C5" w:rsidP="0066061A">
            <w:pPr>
              <w:spacing w:after="120"/>
              <w:rPr>
                <w:rFonts w:ascii="Arial" w:hAnsi="Arial" w:cs="Arial"/>
                <w:b/>
                <w:sz w:val="20"/>
                <w:szCs w:val="20"/>
              </w:rPr>
            </w:pPr>
          </w:p>
        </w:tc>
        <w:tc>
          <w:tcPr>
            <w:tcW w:w="254" w:type="pct"/>
            <w:vAlign w:val="center"/>
          </w:tcPr>
          <w:p w14:paraId="4B9060EA" w14:textId="77777777" w:rsidR="00DD03C5" w:rsidRPr="007103E4" w:rsidRDefault="00DD03C5" w:rsidP="0066061A">
            <w:pPr>
              <w:spacing w:after="120"/>
              <w:rPr>
                <w:rFonts w:ascii="Arial" w:hAnsi="Arial" w:cs="Arial"/>
                <w:b/>
                <w:sz w:val="20"/>
                <w:szCs w:val="20"/>
              </w:rPr>
            </w:pPr>
          </w:p>
        </w:tc>
        <w:tc>
          <w:tcPr>
            <w:tcW w:w="254" w:type="pct"/>
            <w:vAlign w:val="center"/>
          </w:tcPr>
          <w:p w14:paraId="7CE2DFC0" w14:textId="77777777" w:rsidR="00DD03C5" w:rsidRPr="007103E4" w:rsidRDefault="00DD03C5" w:rsidP="0066061A">
            <w:pPr>
              <w:spacing w:after="120"/>
              <w:rPr>
                <w:rFonts w:ascii="Arial" w:hAnsi="Arial" w:cs="Arial"/>
                <w:b/>
                <w:sz w:val="20"/>
                <w:szCs w:val="20"/>
              </w:rPr>
            </w:pPr>
          </w:p>
        </w:tc>
        <w:tc>
          <w:tcPr>
            <w:tcW w:w="254" w:type="pct"/>
            <w:vAlign w:val="center"/>
          </w:tcPr>
          <w:p w14:paraId="26AEB46D" w14:textId="77777777" w:rsidR="00DD03C5" w:rsidRPr="007103E4" w:rsidRDefault="00DD03C5" w:rsidP="0066061A">
            <w:pPr>
              <w:spacing w:after="120"/>
              <w:rPr>
                <w:rFonts w:ascii="Arial" w:hAnsi="Arial" w:cs="Arial"/>
                <w:b/>
                <w:sz w:val="20"/>
                <w:szCs w:val="20"/>
              </w:rPr>
            </w:pPr>
          </w:p>
        </w:tc>
        <w:tc>
          <w:tcPr>
            <w:tcW w:w="254" w:type="pct"/>
            <w:vAlign w:val="center"/>
          </w:tcPr>
          <w:p w14:paraId="174C6DD3" w14:textId="77777777" w:rsidR="00DD03C5" w:rsidRPr="007103E4" w:rsidRDefault="00DD03C5" w:rsidP="0066061A">
            <w:pPr>
              <w:spacing w:after="120"/>
              <w:rPr>
                <w:rFonts w:ascii="Arial" w:hAnsi="Arial" w:cs="Arial"/>
                <w:b/>
                <w:sz w:val="20"/>
                <w:szCs w:val="20"/>
              </w:rPr>
            </w:pPr>
          </w:p>
        </w:tc>
      </w:tr>
      <w:tr w:rsidR="00DD03C5" w:rsidRPr="00373ACB" w14:paraId="6489F664" w14:textId="77777777" w:rsidTr="00DD03C5">
        <w:trPr>
          <w:trHeight w:val="397"/>
          <w:jc w:val="center"/>
        </w:trPr>
        <w:tc>
          <w:tcPr>
            <w:tcW w:w="1444" w:type="pct"/>
            <w:gridSpan w:val="2"/>
            <w:vAlign w:val="center"/>
          </w:tcPr>
          <w:p w14:paraId="1BC469E7" w14:textId="650B0F47" w:rsidR="00DD03C5" w:rsidRPr="007103E4" w:rsidRDefault="00DD03C5" w:rsidP="0066061A">
            <w:pPr>
              <w:spacing w:after="120"/>
              <w:rPr>
                <w:rFonts w:ascii="Arial" w:hAnsi="Arial" w:cs="Arial"/>
                <w:sz w:val="20"/>
                <w:szCs w:val="20"/>
              </w:rPr>
            </w:pPr>
            <w:r>
              <w:rPr>
                <w:rFonts w:ascii="Arial" w:hAnsi="Arial" w:cs="Arial"/>
                <w:sz w:val="20"/>
                <w:szCs w:val="20"/>
              </w:rPr>
              <w:t>Combined Lecture/Seminar</w:t>
            </w:r>
          </w:p>
        </w:tc>
        <w:tc>
          <w:tcPr>
            <w:tcW w:w="254" w:type="pct"/>
            <w:vAlign w:val="center"/>
          </w:tcPr>
          <w:p w14:paraId="591F80BC" w14:textId="0902D233"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289A8085" w14:textId="78D22CE0"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4A412816" w14:textId="16FDF497"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40ABAF8E" w14:textId="59FC5664"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157AB314" w14:textId="3AB7690F"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1F34CD9A" w14:textId="0C37E57E"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47C03D6C" w14:textId="440A4878"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35014615" w14:textId="79B13030"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0CEA520C" w14:textId="5EF442F0"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145A559A" w14:textId="6EA92384"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6892B41C" w14:textId="77777777" w:rsidR="00DD03C5" w:rsidRPr="007103E4" w:rsidRDefault="00DD03C5" w:rsidP="0066061A">
            <w:pPr>
              <w:spacing w:after="120"/>
              <w:rPr>
                <w:rFonts w:ascii="Arial" w:hAnsi="Arial" w:cs="Arial"/>
                <w:sz w:val="20"/>
                <w:szCs w:val="20"/>
              </w:rPr>
            </w:pPr>
          </w:p>
        </w:tc>
        <w:tc>
          <w:tcPr>
            <w:tcW w:w="254" w:type="pct"/>
            <w:vAlign w:val="center"/>
          </w:tcPr>
          <w:p w14:paraId="5F1474BB" w14:textId="246AF006"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2ECF0C9E" w14:textId="744546CC"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5823C557" w14:textId="24C82119" w:rsidR="00DD03C5" w:rsidRPr="007103E4" w:rsidRDefault="00DD03C5" w:rsidP="0066061A">
            <w:pPr>
              <w:spacing w:after="120"/>
              <w:rPr>
                <w:rFonts w:ascii="Arial" w:hAnsi="Arial" w:cs="Arial"/>
                <w:sz w:val="20"/>
                <w:szCs w:val="20"/>
              </w:rPr>
            </w:pPr>
            <w:r>
              <w:rPr>
                <w:rFonts w:ascii="Arial" w:hAnsi="Arial" w:cs="Arial"/>
                <w:sz w:val="20"/>
                <w:szCs w:val="20"/>
              </w:rPr>
              <w:t>x</w:t>
            </w:r>
          </w:p>
        </w:tc>
      </w:tr>
      <w:tr w:rsidR="00DD03C5" w:rsidRPr="00373ACB" w14:paraId="461F5953" w14:textId="77777777" w:rsidTr="00DD03C5">
        <w:trPr>
          <w:trHeight w:val="397"/>
          <w:jc w:val="center"/>
        </w:trPr>
        <w:tc>
          <w:tcPr>
            <w:tcW w:w="1444" w:type="pct"/>
            <w:gridSpan w:val="2"/>
            <w:vAlign w:val="center"/>
          </w:tcPr>
          <w:p w14:paraId="2E9097D9" w14:textId="191B9116" w:rsidR="00DD03C5" w:rsidRPr="007103E4" w:rsidRDefault="00DD03C5" w:rsidP="0066061A">
            <w:pPr>
              <w:spacing w:after="120"/>
              <w:rPr>
                <w:rFonts w:ascii="Arial" w:hAnsi="Arial" w:cs="Arial"/>
                <w:sz w:val="20"/>
                <w:szCs w:val="20"/>
              </w:rPr>
            </w:pPr>
            <w:r>
              <w:rPr>
                <w:rFonts w:ascii="Arial" w:hAnsi="Arial" w:cs="Arial"/>
                <w:sz w:val="20"/>
                <w:szCs w:val="20"/>
              </w:rPr>
              <w:t>Private Study</w:t>
            </w:r>
          </w:p>
        </w:tc>
        <w:tc>
          <w:tcPr>
            <w:tcW w:w="254" w:type="pct"/>
            <w:vAlign w:val="center"/>
          </w:tcPr>
          <w:p w14:paraId="7C1E309A" w14:textId="355C4C35"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2D3B7CCE" w14:textId="6993149E"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5E2FC439" w14:textId="144D6F6F"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6987B34B" w14:textId="5A0073DD"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15F6365D" w14:textId="411AA7B9"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219059C4" w14:textId="67F6C9BF"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39D06EB9" w14:textId="5837E1E1"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0C3483BB" w14:textId="700AD647"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55AE4C36" w14:textId="6661EA99"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1AAEA510" w14:textId="01293101"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38FF0A70" w14:textId="63BF1367"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2B404A4C" w14:textId="2FCF574A"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5C6F16C1" w14:textId="7908FBDE" w:rsidR="00DD03C5" w:rsidRPr="007103E4" w:rsidRDefault="00DD03C5"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2CC8DF74" w14:textId="50722609" w:rsidR="00DD03C5" w:rsidRPr="007103E4" w:rsidRDefault="00DD03C5" w:rsidP="0066061A">
            <w:pPr>
              <w:spacing w:after="120"/>
              <w:rPr>
                <w:rFonts w:ascii="Arial" w:hAnsi="Arial" w:cs="Arial"/>
                <w:sz w:val="20"/>
                <w:szCs w:val="20"/>
              </w:rPr>
            </w:pPr>
            <w:r>
              <w:rPr>
                <w:rFonts w:ascii="Arial" w:hAnsi="Arial" w:cs="Arial"/>
                <w:sz w:val="20"/>
                <w:szCs w:val="20"/>
              </w:rPr>
              <w:t>x</w:t>
            </w:r>
          </w:p>
        </w:tc>
      </w:tr>
      <w:tr w:rsidR="00C001F6" w:rsidRPr="00373ACB" w14:paraId="2BA4DDCA" w14:textId="77777777" w:rsidTr="00DD03C5">
        <w:trPr>
          <w:trHeight w:val="397"/>
          <w:jc w:val="center"/>
        </w:trPr>
        <w:tc>
          <w:tcPr>
            <w:tcW w:w="726" w:type="pct"/>
            <w:shd w:val="clear" w:color="auto" w:fill="D9D9D9" w:themeFill="background1" w:themeFillShade="D9"/>
            <w:vAlign w:val="center"/>
          </w:tcPr>
          <w:p w14:paraId="3BB2A9C8" w14:textId="77777777" w:rsidR="00C001F6" w:rsidRPr="00373ACB" w:rsidRDefault="00C001F6" w:rsidP="0066061A">
            <w:pPr>
              <w:spacing w:after="120"/>
              <w:rPr>
                <w:rFonts w:ascii="Arial" w:hAnsi="Arial" w:cs="Arial"/>
                <w:b/>
                <w:sz w:val="20"/>
                <w:szCs w:val="20"/>
              </w:rPr>
            </w:pPr>
            <w:r w:rsidRPr="00373ACB">
              <w:rPr>
                <w:rFonts w:ascii="Arial" w:hAnsi="Arial" w:cs="Arial"/>
                <w:b/>
                <w:sz w:val="20"/>
                <w:szCs w:val="20"/>
              </w:rPr>
              <w:t>Assessment method</w:t>
            </w:r>
          </w:p>
        </w:tc>
        <w:tc>
          <w:tcPr>
            <w:tcW w:w="718" w:type="pct"/>
            <w:shd w:val="clear" w:color="auto" w:fill="D9D9D9" w:themeFill="background1" w:themeFillShade="D9"/>
            <w:vAlign w:val="center"/>
          </w:tcPr>
          <w:p w14:paraId="50283552" w14:textId="77777777" w:rsidR="00C001F6" w:rsidRPr="007103E4" w:rsidRDefault="00C001F6"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254" w:type="pct"/>
            <w:vAlign w:val="center"/>
          </w:tcPr>
          <w:p w14:paraId="3192788F" w14:textId="77777777" w:rsidR="00C001F6" w:rsidRPr="007103E4" w:rsidRDefault="00C001F6" w:rsidP="0066061A">
            <w:pPr>
              <w:spacing w:after="120"/>
              <w:rPr>
                <w:rFonts w:ascii="Arial" w:hAnsi="Arial" w:cs="Arial"/>
                <w:b/>
                <w:sz w:val="20"/>
                <w:szCs w:val="20"/>
              </w:rPr>
            </w:pPr>
          </w:p>
        </w:tc>
        <w:tc>
          <w:tcPr>
            <w:tcW w:w="254" w:type="pct"/>
            <w:vAlign w:val="center"/>
          </w:tcPr>
          <w:p w14:paraId="5B27E3C2" w14:textId="77777777" w:rsidR="00C001F6" w:rsidRPr="007103E4" w:rsidRDefault="00C001F6" w:rsidP="0066061A">
            <w:pPr>
              <w:spacing w:after="120"/>
              <w:rPr>
                <w:rFonts w:ascii="Arial" w:hAnsi="Arial" w:cs="Arial"/>
                <w:b/>
                <w:sz w:val="20"/>
                <w:szCs w:val="20"/>
              </w:rPr>
            </w:pPr>
          </w:p>
        </w:tc>
        <w:tc>
          <w:tcPr>
            <w:tcW w:w="254" w:type="pct"/>
            <w:vAlign w:val="center"/>
          </w:tcPr>
          <w:p w14:paraId="24597334" w14:textId="77777777" w:rsidR="00C001F6" w:rsidRPr="007103E4" w:rsidRDefault="00C001F6" w:rsidP="0066061A">
            <w:pPr>
              <w:spacing w:after="120"/>
              <w:rPr>
                <w:rFonts w:ascii="Arial" w:hAnsi="Arial" w:cs="Arial"/>
                <w:b/>
                <w:sz w:val="20"/>
                <w:szCs w:val="20"/>
              </w:rPr>
            </w:pPr>
          </w:p>
        </w:tc>
        <w:tc>
          <w:tcPr>
            <w:tcW w:w="254" w:type="pct"/>
            <w:vAlign w:val="center"/>
          </w:tcPr>
          <w:p w14:paraId="16A550AF" w14:textId="77777777" w:rsidR="00C001F6" w:rsidRPr="007103E4" w:rsidRDefault="00C001F6" w:rsidP="0066061A">
            <w:pPr>
              <w:spacing w:after="120"/>
              <w:rPr>
                <w:rFonts w:ascii="Arial" w:hAnsi="Arial" w:cs="Arial"/>
                <w:b/>
                <w:sz w:val="20"/>
                <w:szCs w:val="20"/>
              </w:rPr>
            </w:pPr>
          </w:p>
        </w:tc>
        <w:tc>
          <w:tcPr>
            <w:tcW w:w="254" w:type="pct"/>
            <w:vAlign w:val="center"/>
          </w:tcPr>
          <w:p w14:paraId="5F15054A" w14:textId="77777777" w:rsidR="00C001F6" w:rsidRPr="007103E4" w:rsidRDefault="00C001F6" w:rsidP="0066061A">
            <w:pPr>
              <w:spacing w:after="120"/>
              <w:rPr>
                <w:rFonts w:ascii="Arial" w:hAnsi="Arial" w:cs="Arial"/>
                <w:b/>
                <w:sz w:val="20"/>
                <w:szCs w:val="20"/>
              </w:rPr>
            </w:pPr>
          </w:p>
        </w:tc>
        <w:tc>
          <w:tcPr>
            <w:tcW w:w="254" w:type="pct"/>
            <w:vAlign w:val="center"/>
          </w:tcPr>
          <w:p w14:paraId="4478DF2B" w14:textId="77777777" w:rsidR="00C001F6" w:rsidRPr="007103E4" w:rsidRDefault="00C001F6" w:rsidP="0066061A">
            <w:pPr>
              <w:spacing w:after="120"/>
              <w:rPr>
                <w:rFonts w:ascii="Arial" w:hAnsi="Arial" w:cs="Arial"/>
                <w:b/>
                <w:sz w:val="20"/>
                <w:szCs w:val="20"/>
              </w:rPr>
            </w:pPr>
          </w:p>
        </w:tc>
        <w:tc>
          <w:tcPr>
            <w:tcW w:w="254" w:type="pct"/>
            <w:vAlign w:val="center"/>
          </w:tcPr>
          <w:p w14:paraId="6C16550D" w14:textId="77777777" w:rsidR="00C001F6" w:rsidRPr="007103E4" w:rsidRDefault="00C001F6" w:rsidP="0066061A">
            <w:pPr>
              <w:spacing w:after="120"/>
              <w:rPr>
                <w:rFonts w:ascii="Arial" w:hAnsi="Arial" w:cs="Arial"/>
                <w:b/>
                <w:sz w:val="20"/>
                <w:szCs w:val="20"/>
              </w:rPr>
            </w:pPr>
          </w:p>
        </w:tc>
        <w:tc>
          <w:tcPr>
            <w:tcW w:w="254" w:type="pct"/>
            <w:vAlign w:val="center"/>
          </w:tcPr>
          <w:p w14:paraId="2FC9CB29" w14:textId="77777777" w:rsidR="00C001F6" w:rsidRPr="007103E4" w:rsidRDefault="00C001F6" w:rsidP="0066061A">
            <w:pPr>
              <w:spacing w:after="120"/>
              <w:rPr>
                <w:rFonts w:ascii="Arial" w:hAnsi="Arial" w:cs="Arial"/>
                <w:b/>
                <w:sz w:val="20"/>
                <w:szCs w:val="20"/>
              </w:rPr>
            </w:pPr>
          </w:p>
        </w:tc>
        <w:tc>
          <w:tcPr>
            <w:tcW w:w="254" w:type="pct"/>
            <w:vAlign w:val="center"/>
          </w:tcPr>
          <w:p w14:paraId="6B83AC0C" w14:textId="77777777" w:rsidR="00C001F6" w:rsidRPr="007103E4" w:rsidRDefault="00C001F6" w:rsidP="0066061A">
            <w:pPr>
              <w:spacing w:after="120"/>
              <w:rPr>
                <w:rFonts w:ascii="Arial" w:hAnsi="Arial" w:cs="Arial"/>
                <w:b/>
                <w:sz w:val="20"/>
                <w:szCs w:val="20"/>
              </w:rPr>
            </w:pPr>
          </w:p>
        </w:tc>
        <w:tc>
          <w:tcPr>
            <w:tcW w:w="254" w:type="pct"/>
            <w:vAlign w:val="center"/>
          </w:tcPr>
          <w:p w14:paraId="356C457E" w14:textId="77777777" w:rsidR="00C001F6" w:rsidRPr="007103E4" w:rsidRDefault="00C001F6" w:rsidP="0066061A">
            <w:pPr>
              <w:spacing w:after="120"/>
              <w:rPr>
                <w:rFonts w:ascii="Arial" w:hAnsi="Arial" w:cs="Arial"/>
                <w:b/>
                <w:sz w:val="20"/>
                <w:szCs w:val="20"/>
              </w:rPr>
            </w:pPr>
          </w:p>
        </w:tc>
        <w:tc>
          <w:tcPr>
            <w:tcW w:w="254" w:type="pct"/>
            <w:vAlign w:val="center"/>
          </w:tcPr>
          <w:p w14:paraId="15B2B371" w14:textId="77777777" w:rsidR="00C001F6" w:rsidRPr="007103E4" w:rsidRDefault="00C001F6" w:rsidP="0066061A">
            <w:pPr>
              <w:spacing w:after="120"/>
              <w:rPr>
                <w:rFonts w:ascii="Arial" w:hAnsi="Arial" w:cs="Arial"/>
                <w:b/>
                <w:sz w:val="20"/>
                <w:szCs w:val="20"/>
              </w:rPr>
            </w:pPr>
          </w:p>
        </w:tc>
        <w:tc>
          <w:tcPr>
            <w:tcW w:w="254" w:type="pct"/>
            <w:vAlign w:val="center"/>
          </w:tcPr>
          <w:p w14:paraId="039AA02A" w14:textId="77777777" w:rsidR="00C001F6" w:rsidRPr="007103E4" w:rsidRDefault="00C001F6" w:rsidP="0066061A">
            <w:pPr>
              <w:spacing w:after="120"/>
              <w:rPr>
                <w:rFonts w:ascii="Arial" w:hAnsi="Arial" w:cs="Arial"/>
                <w:b/>
                <w:sz w:val="20"/>
                <w:szCs w:val="20"/>
              </w:rPr>
            </w:pPr>
          </w:p>
        </w:tc>
        <w:tc>
          <w:tcPr>
            <w:tcW w:w="254" w:type="pct"/>
            <w:vAlign w:val="center"/>
          </w:tcPr>
          <w:p w14:paraId="5DFF21E1" w14:textId="77777777" w:rsidR="00C001F6" w:rsidRPr="007103E4" w:rsidRDefault="00C001F6" w:rsidP="0066061A">
            <w:pPr>
              <w:spacing w:after="120"/>
              <w:rPr>
                <w:rFonts w:ascii="Arial" w:hAnsi="Arial" w:cs="Arial"/>
                <w:b/>
                <w:sz w:val="20"/>
                <w:szCs w:val="20"/>
              </w:rPr>
            </w:pPr>
          </w:p>
        </w:tc>
        <w:tc>
          <w:tcPr>
            <w:tcW w:w="254" w:type="pct"/>
            <w:vAlign w:val="center"/>
          </w:tcPr>
          <w:p w14:paraId="1FC39E8A" w14:textId="77777777" w:rsidR="00C001F6" w:rsidRPr="007103E4" w:rsidRDefault="00C001F6" w:rsidP="0066061A">
            <w:pPr>
              <w:spacing w:after="120"/>
              <w:rPr>
                <w:rFonts w:ascii="Arial" w:hAnsi="Arial" w:cs="Arial"/>
                <w:b/>
                <w:sz w:val="20"/>
                <w:szCs w:val="20"/>
              </w:rPr>
            </w:pPr>
          </w:p>
        </w:tc>
      </w:tr>
      <w:tr w:rsidR="00C001F6" w:rsidRPr="00373ACB" w14:paraId="5942BBA3" w14:textId="77777777" w:rsidTr="00DD03C5">
        <w:trPr>
          <w:trHeight w:val="397"/>
          <w:jc w:val="center"/>
        </w:trPr>
        <w:tc>
          <w:tcPr>
            <w:tcW w:w="726" w:type="pct"/>
            <w:vAlign w:val="center"/>
          </w:tcPr>
          <w:p w14:paraId="6EDD5FAD" w14:textId="322D1B5A" w:rsidR="00C001F6" w:rsidRPr="00D71DF4" w:rsidRDefault="00C001F6" w:rsidP="00C001F6">
            <w:pPr>
              <w:spacing w:after="120"/>
              <w:rPr>
                <w:rFonts w:ascii="Arial" w:hAnsi="Arial" w:cs="Arial"/>
                <w:sz w:val="20"/>
                <w:szCs w:val="20"/>
              </w:rPr>
            </w:pPr>
            <w:r>
              <w:rPr>
                <w:rFonts w:ascii="Arial" w:hAnsi="Arial" w:cs="Arial"/>
                <w:sz w:val="20"/>
                <w:szCs w:val="20"/>
              </w:rPr>
              <w:t>Essay (50%)</w:t>
            </w:r>
          </w:p>
        </w:tc>
        <w:tc>
          <w:tcPr>
            <w:tcW w:w="718" w:type="pct"/>
            <w:vAlign w:val="center"/>
          </w:tcPr>
          <w:p w14:paraId="3DAC731F" w14:textId="79E7E593" w:rsidR="00C001F6" w:rsidRPr="00D71DF4" w:rsidRDefault="00C001F6" w:rsidP="0066061A">
            <w:pPr>
              <w:spacing w:after="120"/>
              <w:rPr>
                <w:rFonts w:ascii="Arial" w:hAnsi="Arial" w:cs="Arial"/>
                <w:sz w:val="20"/>
                <w:szCs w:val="20"/>
              </w:rPr>
            </w:pPr>
            <w:r>
              <w:rPr>
                <w:rFonts w:ascii="Arial" w:hAnsi="Arial" w:cs="Arial"/>
                <w:sz w:val="20"/>
                <w:szCs w:val="20"/>
              </w:rPr>
              <w:t>3000 words</w:t>
            </w:r>
          </w:p>
        </w:tc>
        <w:tc>
          <w:tcPr>
            <w:tcW w:w="254" w:type="pct"/>
            <w:vAlign w:val="center"/>
          </w:tcPr>
          <w:p w14:paraId="1BC94F18" w14:textId="252D37F5"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14EC159A" w14:textId="1024B095"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40056C2B" w14:textId="3045ABEC"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2B138271" w14:textId="788DE0FA"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267FF435" w14:textId="0FFBE0FB"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15C84FDA" w14:textId="0C271ED4"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40AC1352" w14:textId="1F7BE422"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246E0250" w14:textId="59934512"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2B5B8284" w14:textId="198A73D4"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70AAD86B" w14:textId="56771764"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653D723C" w14:textId="444DDC79"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01546143" w14:textId="1D932873"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1D23E550" w14:textId="46AEB55D"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0520FAB8" w14:textId="0EF6B8E3" w:rsidR="00C001F6" w:rsidRPr="007103E4" w:rsidRDefault="00C001F6" w:rsidP="0066061A">
            <w:pPr>
              <w:spacing w:after="120"/>
              <w:rPr>
                <w:rFonts w:ascii="Arial" w:hAnsi="Arial" w:cs="Arial"/>
                <w:sz w:val="20"/>
                <w:szCs w:val="20"/>
              </w:rPr>
            </w:pPr>
            <w:r>
              <w:rPr>
                <w:rFonts w:ascii="Arial" w:hAnsi="Arial" w:cs="Arial"/>
                <w:sz w:val="20"/>
                <w:szCs w:val="20"/>
              </w:rPr>
              <w:t>x</w:t>
            </w:r>
          </w:p>
        </w:tc>
      </w:tr>
      <w:tr w:rsidR="00C001F6" w:rsidRPr="00373ACB" w14:paraId="78571771" w14:textId="77777777" w:rsidTr="00DD03C5">
        <w:trPr>
          <w:trHeight w:val="397"/>
          <w:jc w:val="center"/>
        </w:trPr>
        <w:tc>
          <w:tcPr>
            <w:tcW w:w="726" w:type="pct"/>
            <w:vAlign w:val="center"/>
          </w:tcPr>
          <w:p w14:paraId="7DFCCD8A" w14:textId="20211EE7" w:rsidR="00C001F6" w:rsidRPr="00D71DF4" w:rsidRDefault="00C001F6" w:rsidP="00C001F6">
            <w:pPr>
              <w:spacing w:after="120"/>
              <w:rPr>
                <w:rFonts w:ascii="Arial" w:hAnsi="Arial" w:cs="Arial"/>
                <w:sz w:val="20"/>
                <w:szCs w:val="20"/>
              </w:rPr>
            </w:pPr>
            <w:r>
              <w:rPr>
                <w:rFonts w:ascii="Arial" w:hAnsi="Arial" w:cs="Arial"/>
                <w:sz w:val="20"/>
                <w:szCs w:val="20"/>
              </w:rPr>
              <w:t>Exam (50%)</w:t>
            </w:r>
          </w:p>
        </w:tc>
        <w:tc>
          <w:tcPr>
            <w:tcW w:w="718" w:type="pct"/>
            <w:vAlign w:val="center"/>
          </w:tcPr>
          <w:p w14:paraId="66662B28" w14:textId="29FA49AD" w:rsidR="00C001F6" w:rsidRPr="00D71DF4" w:rsidRDefault="00C001F6" w:rsidP="0066061A">
            <w:pPr>
              <w:spacing w:after="120"/>
              <w:rPr>
                <w:rFonts w:ascii="Arial" w:hAnsi="Arial" w:cs="Arial"/>
                <w:sz w:val="20"/>
                <w:szCs w:val="20"/>
              </w:rPr>
            </w:pPr>
            <w:r>
              <w:rPr>
                <w:rFonts w:ascii="Arial" w:hAnsi="Arial" w:cs="Arial"/>
                <w:sz w:val="20"/>
                <w:szCs w:val="20"/>
              </w:rPr>
              <w:t>2 hours</w:t>
            </w:r>
          </w:p>
        </w:tc>
        <w:tc>
          <w:tcPr>
            <w:tcW w:w="254" w:type="pct"/>
            <w:vAlign w:val="center"/>
          </w:tcPr>
          <w:p w14:paraId="78927977" w14:textId="4A1A3203"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264AC590" w14:textId="512DA35D"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1D89FE8E" w14:textId="46E79C85"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51F74DE0" w14:textId="19FA8770"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17735E5F" w14:textId="31900B9F"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3FF82DBD" w14:textId="74E7AD92"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2EFF9396" w14:textId="4232D3AE"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1DCDB8DC" w14:textId="290C97D4"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7839A1D1" w14:textId="3873352D"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5601BD38" w14:textId="1BC12983"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1BC4F592" w14:textId="55EE28A4"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6E0DAEEA" w14:textId="48F05F58"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1DFC2EC9" w14:textId="31F2661B" w:rsidR="00C001F6" w:rsidRPr="007103E4" w:rsidRDefault="00C001F6" w:rsidP="0066061A">
            <w:pPr>
              <w:spacing w:after="120"/>
              <w:rPr>
                <w:rFonts w:ascii="Arial" w:hAnsi="Arial" w:cs="Arial"/>
                <w:sz w:val="20"/>
                <w:szCs w:val="20"/>
              </w:rPr>
            </w:pPr>
            <w:r>
              <w:rPr>
                <w:rFonts w:ascii="Arial" w:hAnsi="Arial" w:cs="Arial"/>
                <w:sz w:val="20"/>
                <w:szCs w:val="20"/>
              </w:rPr>
              <w:t>x</w:t>
            </w:r>
          </w:p>
        </w:tc>
        <w:tc>
          <w:tcPr>
            <w:tcW w:w="254" w:type="pct"/>
            <w:vAlign w:val="center"/>
          </w:tcPr>
          <w:p w14:paraId="6E9B9E86" w14:textId="0FB7EB89" w:rsidR="00C001F6" w:rsidRPr="007103E4" w:rsidRDefault="00C001F6" w:rsidP="0066061A">
            <w:pPr>
              <w:spacing w:after="120"/>
              <w:rPr>
                <w:rFonts w:ascii="Arial" w:hAnsi="Arial" w:cs="Arial"/>
                <w:sz w:val="20"/>
                <w:szCs w:val="20"/>
              </w:rPr>
            </w:pPr>
            <w:r>
              <w:rPr>
                <w:rFonts w:ascii="Arial" w:hAnsi="Arial" w:cs="Arial"/>
                <w:sz w:val="20"/>
                <w:szCs w:val="20"/>
              </w:rPr>
              <w:t>x</w:t>
            </w:r>
          </w:p>
        </w:tc>
      </w:tr>
    </w:tbl>
    <w:p w14:paraId="0716ACDD" w14:textId="77777777" w:rsidR="007A6245" w:rsidRPr="00373ACB" w:rsidRDefault="007A6245" w:rsidP="0066061A">
      <w:pPr>
        <w:spacing w:after="120" w:line="240" w:lineRule="auto"/>
        <w:ind w:left="426" w:right="260"/>
        <w:rPr>
          <w:rFonts w:ascii="Arial" w:hAnsi="Arial" w:cs="Arial"/>
          <w:b/>
          <w:iCs/>
          <w:sz w:val="20"/>
          <w:szCs w:val="20"/>
        </w:rPr>
      </w:pPr>
    </w:p>
    <w:p w14:paraId="6DDA5F54" w14:textId="77777777" w:rsidR="00DD03C5" w:rsidRDefault="00DF2132" w:rsidP="00DD03C5">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DD03C5">
        <w:rPr>
          <w:rFonts w:ascii="Arial" w:hAnsi="Arial" w:cs="Arial"/>
          <w:sz w:val="20"/>
          <w:szCs w:val="20"/>
        </w:rPr>
        <w:t xml:space="preserve"> policies and support services.</w:t>
      </w:r>
    </w:p>
    <w:p w14:paraId="2A177830" w14:textId="77777777" w:rsidR="00DD03C5" w:rsidRDefault="00DD03C5" w:rsidP="00DD03C5">
      <w:pPr>
        <w:spacing w:after="120" w:line="240" w:lineRule="auto"/>
        <w:ind w:left="426" w:right="260"/>
        <w:jc w:val="both"/>
        <w:rPr>
          <w:rFonts w:ascii="Arial" w:hAnsi="Arial" w:cs="Arial"/>
          <w:sz w:val="20"/>
          <w:szCs w:val="20"/>
        </w:rPr>
      </w:pPr>
    </w:p>
    <w:p w14:paraId="6BB78B53" w14:textId="5A848CB9" w:rsidR="00DF2132" w:rsidRPr="00DD03C5" w:rsidRDefault="00DF2132" w:rsidP="00DD03C5">
      <w:pPr>
        <w:spacing w:after="120" w:line="240" w:lineRule="auto"/>
        <w:ind w:left="426" w:right="260"/>
        <w:jc w:val="both"/>
        <w:rPr>
          <w:rFonts w:ascii="Arial" w:hAnsi="Arial" w:cs="Arial"/>
          <w:sz w:val="20"/>
          <w:szCs w:val="20"/>
        </w:rPr>
      </w:pPr>
      <w:r w:rsidRPr="00DD03C5">
        <w:rPr>
          <w:rFonts w:ascii="Arial" w:hAnsi="Arial" w:cs="Arial"/>
          <w:sz w:val="20"/>
          <w:szCs w:val="20"/>
        </w:rPr>
        <w:t>The inclusive practices in the guidance (see Annex B Appendix A) have been considered in order to support all students in the following areas:</w:t>
      </w:r>
    </w:p>
    <w:p w14:paraId="7B68EB88"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320AE55" w14:textId="77777777" w:rsidR="00971465" w:rsidRPr="00D023E6" w:rsidRDefault="00971465" w:rsidP="00DD03C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7CC91FA" w14:textId="77777777" w:rsidR="00971465" w:rsidRPr="00D023E6" w:rsidRDefault="00971465" w:rsidP="00DD03C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E08E5E9" w14:textId="77777777" w:rsidR="00971465" w:rsidRPr="00D023E6" w:rsidRDefault="00971465" w:rsidP="00DD03C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668EE11" w14:textId="77777777" w:rsidR="00971465" w:rsidRDefault="00971465" w:rsidP="00DD03C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281D486" w14:textId="0AF09704" w:rsidR="00DF2132" w:rsidRPr="00971465" w:rsidRDefault="00971465" w:rsidP="00DD03C5">
      <w:pPr>
        <w:pStyle w:val="ListParagraph"/>
        <w:numPr>
          <w:ilvl w:val="0"/>
          <w:numId w:val="13"/>
        </w:numPr>
        <w:spacing w:after="120" w:line="240" w:lineRule="auto"/>
        <w:ind w:right="260"/>
        <w:rPr>
          <w:rFonts w:ascii="Arial" w:hAnsi="Arial" w:cs="Arial"/>
          <w:sz w:val="20"/>
          <w:szCs w:val="20"/>
        </w:rPr>
      </w:pPr>
      <w:r w:rsidRPr="00971465">
        <w:rPr>
          <w:rFonts w:ascii="Arial" w:hAnsi="Arial" w:cs="Arial"/>
          <w:sz w:val="20"/>
          <w:szCs w:val="20"/>
        </w:rPr>
        <w:t xml:space="preserve">In accordance with the KLS school-level statement on Lecture Capture, lectures will </w:t>
      </w:r>
      <w:r w:rsidR="00C001F6">
        <w:rPr>
          <w:rFonts w:ascii="Arial" w:hAnsi="Arial" w:cs="Arial"/>
          <w:sz w:val="20"/>
          <w:szCs w:val="20"/>
        </w:rPr>
        <w:t>not be recorded in the case of combined lecture/seminar.</w:t>
      </w:r>
      <w:r w:rsidR="00A73EEF">
        <w:rPr>
          <w:rFonts w:ascii="Arial" w:hAnsi="Arial" w:cs="Arial"/>
          <w:sz w:val="20"/>
          <w:szCs w:val="20"/>
        </w:rPr>
        <w:br/>
      </w:r>
      <w:r w:rsidR="00C001F6">
        <w:rPr>
          <w:rFonts w:ascii="Arial" w:hAnsi="Arial" w:cs="Arial"/>
          <w:sz w:val="20"/>
          <w:szCs w:val="20"/>
        </w:rPr>
        <w:t xml:space="preserve"> </w:t>
      </w:r>
    </w:p>
    <w:p w14:paraId="19C2E40F"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4B3E2F2" w14:textId="427F0190" w:rsidR="009A2D37" w:rsidRPr="00373ACB" w:rsidRDefault="00971465" w:rsidP="00DD03C5">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C001F6">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6416536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78A6910" w14:textId="3F73EA52"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23ED7211" w14:textId="77777777" w:rsidR="00DF2132" w:rsidRDefault="00DF2132" w:rsidP="0066061A">
      <w:pPr>
        <w:spacing w:after="120" w:line="240" w:lineRule="auto"/>
        <w:ind w:left="426" w:right="260"/>
        <w:rPr>
          <w:rFonts w:ascii="Arial" w:hAnsi="Arial" w:cs="Arial"/>
          <w:iCs/>
          <w:sz w:val="20"/>
          <w:szCs w:val="20"/>
        </w:rPr>
      </w:pPr>
    </w:p>
    <w:p w14:paraId="673DB530"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55CE96C" w14:textId="50730970" w:rsidR="00DF2132" w:rsidRPr="00DF2132" w:rsidRDefault="00214594" w:rsidP="00DF2132">
      <w:pPr>
        <w:spacing w:after="120" w:line="240" w:lineRule="auto"/>
        <w:ind w:left="426" w:right="260"/>
        <w:jc w:val="both"/>
        <w:rPr>
          <w:rFonts w:ascii="Arial" w:hAnsi="Arial" w:cs="Arial"/>
          <w:sz w:val="20"/>
          <w:szCs w:val="20"/>
        </w:rPr>
      </w:pPr>
      <w:r>
        <w:rPr>
          <w:rFonts w:ascii="Arial" w:hAnsi="Arial" w:cs="Arial"/>
          <w:sz w:val="20"/>
          <w:szCs w:val="20"/>
        </w:rPr>
        <w:t>This module includes comparative analysis of the law of trusts, taking specific examples from trusts law in the USA and certain ‘offshore’ jurisdictions (for example Cayman Islands, British Virgin Islands and the Channel Islands). It also examines the development of what has become known as the ‘international trust’ and a European law of trusts. The course introduces students to the role of trusts on international financial markets, and how trusts law contributed to the Global Financial Crisis. Materials from the course refer to international legislation, articles and differences in legal, social and economic cultures between jurisdictions. Students are assessed on their comparative understanding of the trust and are expected to draw on the international materials used in the course.</w:t>
      </w:r>
    </w:p>
    <w:p w14:paraId="690A1A01" w14:textId="77777777" w:rsidR="00FB7CC7" w:rsidRDefault="00FB7CC7" w:rsidP="00FC50A1">
      <w:pPr>
        <w:spacing w:line="240" w:lineRule="auto"/>
        <w:rPr>
          <w:rFonts w:ascii="Arial" w:hAnsi="Arial" w:cs="Arial"/>
          <w:b/>
          <w:sz w:val="20"/>
          <w:szCs w:val="20"/>
        </w:rPr>
      </w:pPr>
    </w:p>
    <w:p w14:paraId="5581BFF0" w14:textId="77777777" w:rsidR="00DD03C5" w:rsidRDefault="00DD03C5">
      <w:pPr>
        <w:rPr>
          <w:rFonts w:ascii="Arial" w:hAnsi="Arial" w:cs="Arial"/>
          <w:b/>
          <w:sz w:val="20"/>
          <w:szCs w:val="20"/>
        </w:rPr>
      </w:pPr>
      <w:r>
        <w:rPr>
          <w:rFonts w:ascii="Arial" w:hAnsi="Arial" w:cs="Arial"/>
          <w:b/>
          <w:sz w:val="20"/>
          <w:szCs w:val="20"/>
        </w:rPr>
        <w:br w:type="page"/>
      </w:r>
    </w:p>
    <w:p w14:paraId="660F8FDC" w14:textId="6FB0322C" w:rsidR="00441E76" w:rsidRPr="00C81E45" w:rsidRDefault="00422B69" w:rsidP="00C81E45">
      <w:pPr>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E0EE833"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CEEE158"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4BB4203" w14:textId="77777777" w:rsidTr="00DD03C5">
        <w:trPr>
          <w:trHeight w:val="317"/>
        </w:trPr>
        <w:tc>
          <w:tcPr>
            <w:tcW w:w="1673" w:type="dxa"/>
          </w:tcPr>
          <w:p w14:paraId="1347A75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EEB7B30"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AE1BE52"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714F407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08698FB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5AF532B" w14:textId="77777777" w:rsidTr="00DD03C5">
        <w:trPr>
          <w:trHeight w:val="305"/>
        </w:trPr>
        <w:tc>
          <w:tcPr>
            <w:tcW w:w="1673" w:type="dxa"/>
          </w:tcPr>
          <w:p w14:paraId="2EE04176" w14:textId="7D55A0FF" w:rsidR="00422B69" w:rsidRPr="00373ACB" w:rsidRDefault="00C81E45"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6C3C1392" w14:textId="590E4814" w:rsidR="00422B69" w:rsidRPr="00373ACB" w:rsidRDefault="00C81E45"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57C7C1B9" w14:textId="13F00168" w:rsidR="00422B69" w:rsidRPr="00373ACB" w:rsidRDefault="00C81E45"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255FAF73" w14:textId="205724AF" w:rsidR="00422B69" w:rsidRPr="00373ACB" w:rsidRDefault="00C81E45" w:rsidP="0066061A">
            <w:pPr>
              <w:spacing w:after="120"/>
              <w:ind w:right="-330"/>
              <w:rPr>
                <w:rFonts w:ascii="Arial" w:hAnsi="Arial" w:cs="Arial"/>
                <w:sz w:val="20"/>
                <w:szCs w:val="20"/>
              </w:rPr>
            </w:pPr>
            <w:r>
              <w:rPr>
                <w:rFonts w:ascii="Arial" w:hAnsi="Arial" w:cs="Arial"/>
                <w:sz w:val="20"/>
                <w:szCs w:val="20"/>
              </w:rPr>
              <w:t>8-9, 11, 13, 15, 17</w:t>
            </w:r>
          </w:p>
        </w:tc>
        <w:tc>
          <w:tcPr>
            <w:tcW w:w="2400" w:type="dxa"/>
          </w:tcPr>
          <w:p w14:paraId="62DA8F10" w14:textId="4A271881" w:rsidR="00422B69" w:rsidRPr="00373ACB" w:rsidRDefault="00C81E45"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1076D97" w14:textId="77777777" w:rsidTr="00DD03C5">
        <w:trPr>
          <w:trHeight w:val="305"/>
        </w:trPr>
        <w:tc>
          <w:tcPr>
            <w:tcW w:w="1673" w:type="dxa"/>
          </w:tcPr>
          <w:p w14:paraId="62168A36" w14:textId="71C107A0" w:rsidR="00422B69" w:rsidRPr="00373ACB" w:rsidRDefault="00DE6DDD" w:rsidP="0066061A">
            <w:pPr>
              <w:spacing w:after="120"/>
              <w:ind w:right="-330"/>
              <w:rPr>
                <w:rFonts w:ascii="Arial" w:hAnsi="Arial" w:cs="Arial"/>
                <w:sz w:val="20"/>
                <w:szCs w:val="20"/>
              </w:rPr>
            </w:pPr>
            <w:r>
              <w:rPr>
                <w:rFonts w:ascii="Arial" w:hAnsi="Arial" w:cs="Arial"/>
                <w:sz w:val="20"/>
                <w:szCs w:val="20"/>
              </w:rPr>
              <w:t>09/09/2019</w:t>
            </w:r>
          </w:p>
        </w:tc>
        <w:tc>
          <w:tcPr>
            <w:tcW w:w="1417" w:type="dxa"/>
          </w:tcPr>
          <w:p w14:paraId="15C1218C" w14:textId="154E851B" w:rsidR="00422B69" w:rsidRPr="00373ACB" w:rsidRDefault="00DE6DDD"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2D30A8DD" w14:textId="00551994" w:rsidR="00422B69" w:rsidRPr="00373ACB" w:rsidRDefault="00DE6DDD"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3ECAF82F" w14:textId="51DEF746" w:rsidR="00422B69" w:rsidRPr="00373ACB" w:rsidRDefault="00DE6DDD" w:rsidP="0066061A">
            <w:pPr>
              <w:spacing w:after="120"/>
              <w:ind w:right="-330"/>
              <w:rPr>
                <w:rFonts w:ascii="Arial" w:hAnsi="Arial" w:cs="Arial"/>
                <w:sz w:val="20"/>
                <w:szCs w:val="20"/>
              </w:rPr>
            </w:pPr>
            <w:r>
              <w:rPr>
                <w:rFonts w:ascii="Arial" w:hAnsi="Arial" w:cs="Arial"/>
                <w:sz w:val="20"/>
                <w:szCs w:val="20"/>
              </w:rPr>
              <w:t>1, 8-11</w:t>
            </w:r>
          </w:p>
        </w:tc>
        <w:tc>
          <w:tcPr>
            <w:tcW w:w="2400" w:type="dxa"/>
          </w:tcPr>
          <w:p w14:paraId="0B9FEB02" w14:textId="5BC30227" w:rsidR="00422B69" w:rsidRPr="00373ACB" w:rsidRDefault="00DE6DDD" w:rsidP="0066061A">
            <w:pPr>
              <w:spacing w:after="120"/>
              <w:ind w:right="-330"/>
              <w:rPr>
                <w:rFonts w:ascii="Arial" w:hAnsi="Arial" w:cs="Arial"/>
                <w:sz w:val="20"/>
                <w:szCs w:val="20"/>
              </w:rPr>
            </w:pPr>
            <w:r>
              <w:rPr>
                <w:rFonts w:ascii="Arial" w:hAnsi="Arial" w:cs="Arial"/>
                <w:sz w:val="20"/>
                <w:szCs w:val="20"/>
              </w:rPr>
              <w:t>No</w:t>
            </w:r>
          </w:p>
        </w:tc>
      </w:tr>
    </w:tbl>
    <w:p w14:paraId="650406BB"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64D1" w14:textId="77777777" w:rsidR="00F210C7" w:rsidRDefault="00F210C7" w:rsidP="009A2D37">
      <w:pPr>
        <w:spacing w:after="0" w:line="240" w:lineRule="auto"/>
      </w:pPr>
      <w:r>
        <w:separator/>
      </w:r>
    </w:p>
  </w:endnote>
  <w:endnote w:type="continuationSeparator" w:id="0">
    <w:p w14:paraId="0DC7B138" w14:textId="77777777" w:rsidR="00F210C7" w:rsidRDefault="00F210C7" w:rsidP="009A2D37">
      <w:pPr>
        <w:spacing w:after="0" w:line="240" w:lineRule="auto"/>
      </w:pPr>
      <w:r>
        <w:continuationSeparator/>
      </w:r>
    </w:p>
  </w:endnote>
  <w:endnote w:type="continuationNotice" w:id="1">
    <w:p w14:paraId="62E19082" w14:textId="77777777" w:rsidR="00F210C7" w:rsidRDefault="00F21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BF39" w14:textId="77777777" w:rsidR="000203E1" w:rsidRDefault="00020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8554548" w14:textId="77777777" w:rsidR="00DD03C5" w:rsidRDefault="00DD03C5" w:rsidP="009A2D37">
        <w:pPr>
          <w:pStyle w:val="Footer"/>
          <w:jc w:val="center"/>
        </w:pPr>
      </w:p>
      <w:p w14:paraId="3CBD02DA" w14:textId="656E048D" w:rsidR="008B2543" w:rsidRDefault="0019787E" w:rsidP="009A2D37">
        <w:pPr>
          <w:pStyle w:val="Footer"/>
          <w:jc w:val="center"/>
        </w:pPr>
        <w:r>
          <w:fldChar w:fldCharType="begin"/>
        </w:r>
        <w:r>
          <w:instrText xml:space="preserve"> PAGE   \* MERGEFORMAT </w:instrText>
        </w:r>
        <w:r>
          <w:fldChar w:fldCharType="separate"/>
        </w:r>
        <w:r w:rsidR="00DE6DDD">
          <w:rPr>
            <w:noProof/>
          </w:rPr>
          <w:t>2</w:t>
        </w:r>
        <w:r>
          <w:rPr>
            <w:noProof/>
          </w:rPr>
          <w:fldChar w:fldCharType="end"/>
        </w:r>
      </w:p>
    </w:sdtContent>
  </w:sdt>
  <w:p w14:paraId="3A233E83" w14:textId="7FCDCFB2" w:rsidR="008B2543" w:rsidRPr="007B7724" w:rsidRDefault="00DD03C5" w:rsidP="00971465">
    <w:pPr>
      <w:pStyle w:val="Footer"/>
      <w:spacing w:after="120"/>
      <w:ind w:right="-330"/>
      <w:jc w:val="center"/>
      <w:rPr>
        <w:rFonts w:ascii="Arial" w:hAnsi="Arial"/>
        <w:sz w:val="18"/>
      </w:rPr>
    </w:pPr>
    <w:r>
      <w:rPr>
        <w:rFonts w:ascii="Arial" w:hAnsi="Arial"/>
        <w:sz w:val="18"/>
      </w:rPr>
      <w:t>Contemporary Issues in</w:t>
    </w:r>
    <w:r w:rsidR="00502B93">
      <w:rPr>
        <w:rFonts w:ascii="Arial" w:hAnsi="Arial"/>
        <w:sz w:val="18"/>
      </w:rPr>
      <w:t xml:space="preserve"> Trusts</w:t>
    </w:r>
    <w:r w:rsidR="00971465">
      <w:rPr>
        <w:rFonts w:ascii="Arial" w:hAnsi="Arial"/>
        <w:sz w:val="18"/>
      </w:rPr>
      <w:t xml:space="preserve"> (LW</w:t>
    </w:r>
    <w:r w:rsidR="00502B93">
      <w:rPr>
        <w:rFonts w:ascii="Arial" w:hAnsi="Arial"/>
        <w:sz w:val="18"/>
      </w:rPr>
      <w:t>627</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Pr>
        <w:rFonts w:ascii="Arial" w:hAnsi="Arial"/>
        <w:sz w:val="18"/>
      </w:rPr>
      <w:t xml:space="preserve">2019 </w:t>
    </w:r>
    <w:r w:rsidR="00971465">
      <w:rPr>
        <w:rFonts w:ascii="Arial" w:hAnsi="Arial"/>
        <w:sz w:val="18"/>
      </w:rPr>
      <w:t>onwards</w:t>
    </w:r>
    <w:r w:rsidR="008B2543">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3984" w14:textId="77777777" w:rsidR="00DD03C5" w:rsidRDefault="00DD03C5" w:rsidP="00502B93">
    <w:pPr>
      <w:pStyle w:val="Footer"/>
      <w:spacing w:after="120"/>
      <w:ind w:right="-330"/>
      <w:jc w:val="center"/>
      <w:rPr>
        <w:rFonts w:ascii="Arial" w:hAnsi="Arial"/>
        <w:sz w:val="18"/>
      </w:rPr>
    </w:pPr>
  </w:p>
  <w:p w14:paraId="559249C9" w14:textId="15A5D215" w:rsidR="00502B93" w:rsidRPr="007B7724" w:rsidRDefault="00502B93" w:rsidP="00502B93">
    <w:pPr>
      <w:pStyle w:val="Footer"/>
      <w:spacing w:after="120"/>
      <w:ind w:right="-330"/>
      <w:jc w:val="center"/>
      <w:rPr>
        <w:rFonts w:ascii="Arial" w:hAnsi="Arial"/>
        <w:sz w:val="18"/>
      </w:rPr>
    </w:pPr>
    <w:r>
      <w:rPr>
        <w:rFonts w:ascii="Arial" w:hAnsi="Arial"/>
        <w:sz w:val="18"/>
      </w:rPr>
      <w:t xml:space="preserve">Advanced </w:t>
    </w:r>
    <w:r w:rsidR="00FB7CC7">
      <w:rPr>
        <w:rFonts w:ascii="Arial" w:hAnsi="Arial"/>
        <w:sz w:val="18"/>
      </w:rPr>
      <w:t xml:space="preserve">Topics in </w:t>
    </w:r>
    <w:r>
      <w:rPr>
        <w:rFonts w:ascii="Arial" w:hAnsi="Arial"/>
        <w:sz w:val="18"/>
      </w:rPr>
      <w:t xml:space="preserve">Equity and Trusts (LW627) - (Sept. </w:t>
    </w:r>
    <w:r w:rsidR="000203E1">
      <w:rPr>
        <w:rFonts w:ascii="Arial" w:hAnsi="Arial"/>
        <w:sz w:val="18"/>
      </w:rPr>
      <w:t xml:space="preserve">2019 </w:t>
    </w:r>
    <w:r>
      <w:rPr>
        <w:rFonts w:ascii="Arial" w:hAnsi="Arial"/>
        <w:sz w:val="18"/>
      </w:rPr>
      <w:t>onwards)</w:t>
    </w:r>
  </w:p>
  <w:p w14:paraId="2B616C68" w14:textId="77777777" w:rsidR="00502B93" w:rsidRDefault="00502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30B8" w14:textId="77777777" w:rsidR="00F210C7" w:rsidRDefault="00F210C7" w:rsidP="009A2D37">
      <w:pPr>
        <w:spacing w:after="0" w:line="240" w:lineRule="auto"/>
      </w:pPr>
      <w:r>
        <w:separator/>
      </w:r>
    </w:p>
  </w:footnote>
  <w:footnote w:type="continuationSeparator" w:id="0">
    <w:p w14:paraId="24722914" w14:textId="77777777" w:rsidR="00F210C7" w:rsidRDefault="00F210C7" w:rsidP="009A2D37">
      <w:pPr>
        <w:spacing w:after="0" w:line="240" w:lineRule="auto"/>
      </w:pPr>
      <w:r>
        <w:continuationSeparator/>
      </w:r>
    </w:p>
  </w:footnote>
  <w:footnote w:type="continuationNotice" w:id="1">
    <w:p w14:paraId="44DEFB47" w14:textId="77777777" w:rsidR="00F210C7" w:rsidRDefault="00F210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D971" w14:textId="77777777" w:rsidR="000203E1" w:rsidRDefault="00020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F9B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12FDF74" wp14:editId="749C146B">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64CCE52" w14:textId="77777777" w:rsidR="008B2543" w:rsidRPr="008C00F8" w:rsidRDefault="008B2543" w:rsidP="005E6D38">
    <w:pPr>
      <w:pStyle w:val="Heading1"/>
      <w:spacing w:before="60" w:after="60"/>
      <w:rPr>
        <w:rFonts w:ascii="Arial" w:hAnsi="Arial" w:cs="Arial"/>
      </w:rPr>
    </w:pPr>
  </w:p>
  <w:p w14:paraId="5B940384"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4D82" w14:textId="696E83A5" w:rsidR="000F7FBF" w:rsidRPr="000F7FBF" w:rsidRDefault="000F7FBF" w:rsidP="00502B93">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22C83E51" wp14:editId="770B5D33">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9B0C22"/>
    <w:multiLevelType w:val="hybridMultilevel"/>
    <w:tmpl w:val="71309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A8123A"/>
    <w:multiLevelType w:val="hybridMultilevel"/>
    <w:tmpl w:val="D9565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13"/>
  </w:num>
  <w:num w:numId="10">
    <w:abstractNumId w:val="7"/>
  </w:num>
  <w:num w:numId="11">
    <w:abstractNumId w:val="3"/>
  </w:num>
  <w:num w:numId="12">
    <w:abstractNumId w:val="4"/>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2E"/>
    <w:rsid w:val="00000C8C"/>
    <w:rsid w:val="000017F2"/>
    <w:rsid w:val="00002762"/>
    <w:rsid w:val="00005661"/>
    <w:rsid w:val="00010A16"/>
    <w:rsid w:val="0001243F"/>
    <w:rsid w:val="000203E1"/>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4E9"/>
    <w:rsid w:val="001C4A85"/>
    <w:rsid w:val="001C5443"/>
    <w:rsid w:val="001D0C7D"/>
    <w:rsid w:val="001D1F2D"/>
    <w:rsid w:val="001D2314"/>
    <w:rsid w:val="001D6398"/>
    <w:rsid w:val="001E1F45"/>
    <w:rsid w:val="001E62C1"/>
    <w:rsid w:val="001F0779"/>
    <w:rsid w:val="001F3C3E"/>
    <w:rsid w:val="0020243A"/>
    <w:rsid w:val="00214594"/>
    <w:rsid w:val="0021578E"/>
    <w:rsid w:val="00227582"/>
    <w:rsid w:val="002308BE"/>
    <w:rsid w:val="00237FCF"/>
    <w:rsid w:val="002407C0"/>
    <w:rsid w:val="002461AF"/>
    <w:rsid w:val="002465A1"/>
    <w:rsid w:val="00264576"/>
    <w:rsid w:val="002653FE"/>
    <w:rsid w:val="0026585A"/>
    <w:rsid w:val="00266735"/>
    <w:rsid w:val="00273CF0"/>
    <w:rsid w:val="002748D4"/>
    <w:rsid w:val="00274ED7"/>
    <w:rsid w:val="00283D2E"/>
    <w:rsid w:val="0028461D"/>
    <w:rsid w:val="0028590C"/>
    <w:rsid w:val="00292386"/>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D5904"/>
    <w:rsid w:val="004F3C18"/>
    <w:rsid w:val="004F4328"/>
    <w:rsid w:val="005005E4"/>
    <w:rsid w:val="00502B93"/>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08B9"/>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35A5"/>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4BDB"/>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6C73"/>
    <w:rsid w:val="009F731F"/>
    <w:rsid w:val="00A021FE"/>
    <w:rsid w:val="00A1270E"/>
    <w:rsid w:val="00A15342"/>
    <w:rsid w:val="00A3007E"/>
    <w:rsid w:val="00A32048"/>
    <w:rsid w:val="00A41F06"/>
    <w:rsid w:val="00A50FD4"/>
    <w:rsid w:val="00A52DB4"/>
    <w:rsid w:val="00A618E1"/>
    <w:rsid w:val="00A629B9"/>
    <w:rsid w:val="00A70C20"/>
    <w:rsid w:val="00A73716"/>
    <w:rsid w:val="00A73EEF"/>
    <w:rsid w:val="00A74292"/>
    <w:rsid w:val="00A7491F"/>
    <w:rsid w:val="00A776DE"/>
    <w:rsid w:val="00A80640"/>
    <w:rsid w:val="00A87FFD"/>
    <w:rsid w:val="00A97038"/>
    <w:rsid w:val="00AA3C15"/>
    <w:rsid w:val="00AA6330"/>
    <w:rsid w:val="00AB7DF9"/>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01F6"/>
    <w:rsid w:val="00C02AA2"/>
    <w:rsid w:val="00C04C95"/>
    <w:rsid w:val="00C07A56"/>
    <w:rsid w:val="00C12613"/>
    <w:rsid w:val="00C16DEF"/>
    <w:rsid w:val="00C2492F"/>
    <w:rsid w:val="00C31031"/>
    <w:rsid w:val="00C3744A"/>
    <w:rsid w:val="00C4002A"/>
    <w:rsid w:val="00C46912"/>
    <w:rsid w:val="00C612A8"/>
    <w:rsid w:val="00C67631"/>
    <w:rsid w:val="00C729D7"/>
    <w:rsid w:val="00C81E45"/>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CF3F46"/>
    <w:rsid w:val="00D02E99"/>
    <w:rsid w:val="00D071EA"/>
    <w:rsid w:val="00D13357"/>
    <w:rsid w:val="00D13A13"/>
    <w:rsid w:val="00D14A68"/>
    <w:rsid w:val="00D2689A"/>
    <w:rsid w:val="00D65506"/>
    <w:rsid w:val="00D71DF4"/>
    <w:rsid w:val="00D773CF"/>
    <w:rsid w:val="00D83563"/>
    <w:rsid w:val="00D8448F"/>
    <w:rsid w:val="00DA64B6"/>
    <w:rsid w:val="00DB2AF6"/>
    <w:rsid w:val="00DB5C9D"/>
    <w:rsid w:val="00DD02E6"/>
    <w:rsid w:val="00DD03C5"/>
    <w:rsid w:val="00DD2606"/>
    <w:rsid w:val="00DE388B"/>
    <w:rsid w:val="00DE4F08"/>
    <w:rsid w:val="00DE6DDD"/>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0C7"/>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B7CC7"/>
    <w:rsid w:val="00FC0291"/>
    <w:rsid w:val="00FC1C92"/>
    <w:rsid w:val="00FC50A1"/>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9B0F5"/>
  <w15:docId w15:val="{44CFC725-22F0-46FB-92DA-0F9C2EFC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C5EC1-C243-4EB3-B2CC-D7401E3098AD}">
  <ds:schemaRefs>
    <ds:schemaRef ds:uri="http://schemas.openxmlformats.org/officeDocument/2006/bibliography"/>
  </ds:schemaRefs>
</ds:datastoreItem>
</file>

<file path=customXml/itemProps2.xml><?xml version="1.0" encoding="utf-8"?>
<ds:datastoreItem xmlns:ds="http://schemas.openxmlformats.org/officeDocument/2006/customXml" ds:itemID="{914C4347-0326-404C-B0E1-1187F63123FD}"/>
</file>

<file path=customXml/itemProps3.xml><?xml version="1.0" encoding="utf-8"?>
<ds:datastoreItem xmlns:ds="http://schemas.openxmlformats.org/officeDocument/2006/customXml" ds:itemID="{6149C183-2605-4706-8E49-CCEF263A1EE1}"/>
</file>

<file path=customXml/itemProps4.xml><?xml version="1.0" encoding="utf-8"?>
<ds:datastoreItem xmlns:ds="http://schemas.openxmlformats.org/officeDocument/2006/customXml" ds:itemID="{057CF249-F25B-44E7-B1A4-A76604E30B3D}"/>
</file>

<file path=docProps/app.xml><?xml version="1.0" encoding="utf-8"?>
<Properties xmlns="http://schemas.openxmlformats.org/officeDocument/2006/extended-properties" xmlns:vt="http://schemas.openxmlformats.org/officeDocument/2006/docPropsVTypes">
  <Template>Normal</Template>
  <TotalTime>0</TotalTime>
  <Pages>1</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Laura Mould</cp:lastModifiedBy>
  <cp:revision>4</cp:revision>
  <cp:lastPrinted>2015-09-24T14:18:00Z</cp:lastPrinted>
  <dcterms:created xsi:type="dcterms:W3CDTF">2019-01-14T14:09:00Z</dcterms:created>
  <dcterms:modified xsi:type="dcterms:W3CDTF">2022-03-07T12:04:00Z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