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4AA5" w14:textId="45AD5379" w:rsidR="009A2D37" w:rsidRPr="00373ACB" w:rsidRDefault="00C07A56"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B7C636D" w14:textId="4920CE92" w:rsidR="009A2D37" w:rsidRPr="00373ACB" w:rsidRDefault="001611D0" w:rsidP="00E86F17">
      <w:pPr>
        <w:spacing w:after="120" w:line="240" w:lineRule="auto"/>
        <w:ind w:left="426" w:right="260"/>
        <w:jc w:val="both"/>
        <w:rPr>
          <w:rFonts w:ascii="Arial" w:hAnsi="Arial" w:cs="Arial"/>
          <w:sz w:val="20"/>
          <w:szCs w:val="20"/>
        </w:rPr>
      </w:pPr>
      <w:r>
        <w:rPr>
          <w:rFonts w:ascii="Arial" w:hAnsi="Arial" w:cs="Arial"/>
          <w:sz w:val="20"/>
          <w:szCs w:val="20"/>
        </w:rPr>
        <w:t xml:space="preserve">LAWS5920 </w:t>
      </w:r>
      <w:r w:rsidR="003E6F2D">
        <w:rPr>
          <w:rFonts w:ascii="Arial" w:hAnsi="Arial" w:cs="Arial"/>
          <w:sz w:val="20"/>
          <w:szCs w:val="20"/>
        </w:rPr>
        <w:t xml:space="preserve">/ LAWS5921 </w:t>
      </w:r>
      <w:r>
        <w:rPr>
          <w:rFonts w:ascii="Arial" w:hAnsi="Arial" w:cs="Arial"/>
          <w:sz w:val="20"/>
          <w:szCs w:val="20"/>
        </w:rPr>
        <w:t xml:space="preserve">(LW592): </w:t>
      </w:r>
      <w:r w:rsidR="00511D40">
        <w:rPr>
          <w:rFonts w:ascii="Arial" w:hAnsi="Arial" w:cs="Arial"/>
          <w:sz w:val="20"/>
          <w:szCs w:val="20"/>
        </w:rPr>
        <w:t>Public Law 2</w:t>
      </w:r>
      <w:r w:rsidR="00EE29C2">
        <w:rPr>
          <w:rFonts w:ascii="Arial" w:hAnsi="Arial" w:cs="Arial"/>
          <w:sz w:val="20"/>
          <w:szCs w:val="20"/>
        </w:rPr>
        <w:t xml:space="preserve"> </w:t>
      </w:r>
    </w:p>
    <w:p w14:paraId="5DFF167A" w14:textId="77777777" w:rsidR="00C07A56" w:rsidRPr="00373ACB" w:rsidRDefault="00C07A56" w:rsidP="00E86F17">
      <w:pPr>
        <w:spacing w:after="120" w:line="240" w:lineRule="auto"/>
        <w:ind w:left="426" w:right="260"/>
        <w:jc w:val="both"/>
        <w:rPr>
          <w:rFonts w:ascii="Arial" w:hAnsi="Arial" w:cs="Arial"/>
          <w:sz w:val="20"/>
          <w:szCs w:val="20"/>
        </w:rPr>
      </w:pPr>
    </w:p>
    <w:p w14:paraId="1E0E23E8"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F84501A" w14:textId="77777777" w:rsidR="009A2D37" w:rsidRPr="00373ACB" w:rsidRDefault="00380EAE" w:rsidP="00E86F17">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201C099" w14:textId="77777777" w:rsidR="00C07A56" w:rsidRPr="00373ACB" w:rsidRDefault="00C07A56" w:rsidP="00E86F17">
      <w:pPr>
        <w:spacing w:after="120" w:line="240" w:lineRule="auto"/>
        <w:ind w:left="426" w:right="260"/>
        <w:jc w:val="both"/>
        <w:rPr>
          <w:rFonts w:ascii="Arial" w:hAnsi="Arial" w:cs="Arial"/>
          <w:iCs/>
          <w:sz w:val="20"/>
          <w:szCs w:val="20"/>
        </w:rPr>
      </w:pPr>
    </w:p>
    <w:p w14:paraId="08468E8B"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5D71FA0" w14:textId="27BE9475" w:rsidR="009A2D37" w:rsidRPr="00373ACB" w:rsidRDefault="00511D40" w:rsidP="00E86F17">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78E4E848" w14:textId="77777777" w:rsidR="00C07A56" w:rsidRPr="00373ACB" w:rsidRDefault="00C07A56" w:rsidP="00E86F17">
      <w:pPr>
        <w:spacing w:after="120" w:line="240" w:lineRule="auto"/>
        <w:ind w:left="426" w:right="260"/>
        <w:jc w:val="both"/>
        <w:rPr>
          <w:rFonts w:ascii="Arial" w:hAnsi="Arial" w:cs="Arial"/>
          <w:iCs/>
          <w:sz w:val="20"/>
          <w:szCs w:val="20"/>
        </w:rPr>
      </w:pPr>
    </w:p>
    <w:p w14:paraId="00B003FA"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B953DFF" w14:textId="742BA2BA" w:rsidR="00BC1D37" w:rsidRPr="00373ACB" w:rsidRDefault="00BC1D37" w:rsidP="00E86F17">
      <w:pPr>
        <w:spacing w:after="120" w:line="240" w:lineRule="auto"/>
        <w:ind w:left="426" w:right="260"/>
        <w:jc w:val="both"/>
        <w:rPr>
          <w:rFonts w:ascii="Arial" w:hAnsi="Arial" w:cs="Arial"/>
          <w:sz w:val="20"/>
          <w:szCs w:val="20"/>
        </w:rPr>
      </w:pPr>
      <w:r>
        <w:rPr>
          <w:rFonts w:ascii="Arial" w:hAnsi="Arial" w:cs="Arial"/>
          <w:sz w:val="20"/>
          <w:szCs w:val="20"/>
        </w:rPr>
        <w:t>15</w:t>
      </w:r>
      <w:r w:rsidR="00511D40">
        <w:rPr>
          <w:rFonts w:ascii="Arial" w:hAnsi="Arial" w:cs="Arial"/>
          <w:sz w:val="20"/>
          <w:szCs w:val="20"/>
        </w:rPr>
        <w:t xml:space="preserve"> credits (</w:t>
      </w:r>
      <w:r>
        <w:rPr>
          <w:rFonts w:ascii="Arial" w:hAnsi="Arial" w:cs="Arial"/>
          <w:sz w:val="20"/>
          <w:szCs w:val="20"/>
        </w:rPr>
        <w:t>7.5 ECTS Credits)</w:t>
      </w:r>
    </w:p>
    <w:p w14:paraId="277857F9" w14:textId="77777777" w:rsidR="00C07A56" w:rsidRPr="00373ACB" w:rsidRDefault="00C07A56" w:rsidP="00E86F17">
      <w:pPr>
        <w:spacing w:after="120" w:line="240" w:lineRule="auto"/>
        <w:ind w:left="426" w:right="260"/>
        <w:jc w:val="both"/>
        <w:rPr>
          <w:rFonts w:ascii="Arial" w:hAnsi="Arial" w:cs="Arial"/>
          <w:sz w:val="20"/>
          <w:szCs w:val="20"/>
        </w:rPr>
      </w:pPr>
    </w:p>
    <w:p w14:paraId="4ED3C5E5"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4AAE0AC" w14:textId="28C68A76" w:rsidR="00C07A56" w:rsidRPr="00511D40" w:rsidRDefault="00BC1D37" w:rsidP="00E86F17">
      <w:pPr>
        <w:spacing w:line="240" w:lineRule="auto"/>
        <w:ind w:left="426" w:right="260"/>
        <w:rPr>
          <w:rFonts w:ascii="Arial" w:hAnsi="Arial" w:cs="Arial"/>
          <w:sz w:val="20"/>
          <w:szCs w:val="20"/>
        </w:rPr>
      </w:pPr>
      <w:r>
        <w:rPr>
          <w:rFonts w:ascii="Arial" w:hAnsi="Arial" w:cs="Arial"/>
          <w:sz w:val="20"/>
          <w:szCs w:val="20"/>
        </w:rPr>
        <w:t>Autumn or</w:t>
      </w:r>
      <w:r w:rsidR="00511D40">
        <w:rPr>
          <w:rFonts w:ascii="Arial" w:hAnsi="Arial" w:cs="Arial"/>
          <w:sz w:val="20"/>
          <w:szCs w:val="20"/>
        </w:rPr>
        <w:t xml:space="preserve"> Spring</w:t>
      </w:r>
      <w:r w:rsidR="00D137D6">
        <w:rPr>
          <w:rFonts w:ascii="Arial" w:hAnsi="Arial" w:cs="Arial"/>
          <w:sz w:val="20"/>
          <w:szCs w:val="20"/>
        </w:rPr>
        <w:br/>
      </w:r>
    </w:p>
    <w:p w14:paraId="1A79F7B6" w14:textId="77777777" w:rsidR="00B2615F" w:rsidRPr="00373ACB" w:rsidRDefault="00B2615F"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527839F" w14:textId="6E934CBF" w:rsidR="005E3FA7" w:rsidRDefault="00A02DBF" w:rsidP="00E86F17">
      <w:pPr>
        <w:spacing w:after="120" w:line="240" w:lineRule="auto"/>
        <w:ind w:left="426" w:right="260"/>
        <w:jc w:val="both"/>
        <w:rPr>
          <w:rFonts w:ascii="Arial" w:hAnsi="Arial" w:cs="Arial"/>
          <w:sz w:val="20"/>
          <w:szCs w:val="20"/>
        </w:rPr>
      </w:pPr>
      <w:r>
        <w:rPr>
          <w:rFonts w:ascii="Arial" w:hAnsi="Arial" w:cs="Arial"/>
          <w:sz w:val="20"/>
          <w:szCs w:val="20"/>
        </w:rPr>
        <w:t>Prerequisite</w:t>
      </w:r>
      <w:r w:rsidR="003B216B">
        <w:rPr>
          <w:rFonts w:ascii="Arial" w:hAnsi="Arial" w:cs="Arial"/>
          <w:sz w:val="20"/>
          <w:szCs w:val="20"/>
        </w:rPr>
        <w:t xml:space="preserve"> </w:t>
      </w:r>
      <w:r>
        <w:rPr>
          <w:rFonts w:ascii="Arial" w:hAnsi="Arial" w:cs="Arial"/>
          <w:sz w:val="20"/>
          <w:szCs w:val="20"/>
        </w:rPr>
        <w:t>-</w:t>
      </w:r>
      <w:r w:rsidR="003B216B">
        <w:rPr>
          <w:rFonts w:ascii="Arial" w:hAnsi="Arial" w:cs="Arial"/>
          <w:sz w:val="20"/>
          <w:szCs w:val="20"/>
        </w:rPr>
        <w:t xml:space="preserve"> </w:t>
      </w:r>
      <w:r w:rsidR="00511D40" w:rsidRPr="00511D40">
        <w:rPr>
          <w:rFonts w:ascii="Arial" w:hAnsi="Arial" w:cs="Arial"/>
          <w:sz w:val="20"/>
          <w:szCs w:val="20"/>
        </w:rPr>
        <w:t>Public Law 1</w:t>
      </w:r>
      <w:r>
        <w:rPr>
          <w:rFonts w:ascii="Arial" w:hAnsi="Arial" w:cs="Arial"/>
          <w:sz w:val="20"/>
          <w:szCs w:val="20"/>
        </w:rPr>
        <w:t xml:space="preserve"> (L</w:t>
      </w:r>
      <w:r w:rsidR="00EE29C2">
        <w:rPr>
          <w:rFonts w:ascii="Arial" w:hAnsi="Arial" w:cs="Arial"/>
          <w:sz w:val="20"/>
          <w:szCs w:val="20"/>
        </w:rPr>
        <w:t>A</w:t>
      </w:r>
      <w:r>
        <w:rPr>
          <w:rFonts w:ascii="Arial" w:hAnsi="Arial" w:cs="Arial"/>
          <w:sz w:val="20"/>
          <w:szCs w:val="20"/>
        </w:rPr>
        <w:t>W</w:t>
      </w:r>
      <w:r w:rsidR="00EE29C2">
        <w:rPr>
          <w:rFonts w:ascii="Arial" w:hAnsi="Arial" w:cs="Arial"/>
          <w:sz w:val="20"/>
          <w:szCs w:val="20"/>
        </w:rPr>
        <w:t>S</w:t>
      </w:r>
      <w:r>
        <w:rPr>
          <w:rFonts w:ascii="Arial" w:hAnsi="Arial" w:cs="Arial"/>
          <w:sz w:val="20"/>
          <w:szCs w:val="20"/>
        </w:rPr>
        <w:t>588</w:t>
      </w:r>
      <w:r w:rsidR="00EE29C2">
        <w:rPr>
          <w:rFonts w:ascii="Arial" w:hAnsi="Arial" w:cs="Arial"/>
          <w:sz w:val="20"/>
          <w:szCs w:val="20"/>
        </w:rPr>
        <w:t>0</w:t>
      </w:r>
      <w:r>
        <w:rPr>
          <w:rFonts w:ascii="Arial" w:hAnsi="Arial" w:cs="Arial"/>
          <w:sz w:val="20"/>
          <w:szCs w:val="20"/>
        </w:rPr>
        <w:t>)</w:t>
      </w:r>
      <w:r w:rsidR="00511D40" w:rsidRPr="00511D40">
        <w:rPr>
          <w:rFonts w:ascii="Arial" w:hAnsi="Arial" w:cs="Arial"/>
          <w:sz w:val="20"/>
          <w:szCs w:val="20"/>
        </w:rPr>
        <w:t xml:space="preserve"> and</w:t>
      </w:r>
      <w:r>
        <w:rPr>
          <w:rFonts w:ascii="Arial" w:hAnsi="Arial" w:cs="Arial"/>
          <w:sz w:val="20"/>
          <w:szCs w:val="20"/>
        </w:rPr>
        <w:t xml:space="preserve"> Co-requisite</w:t>
      </w:r>
      <w:r w:rsidR="003B216B">
        <w:rPr>
          <w:rFonts w:ascii="Arial" w:hAnsi="Arial" w:cs="Arial"/>
          <w:sz w:val="20"/>
          <w:szCs w:val="20"/>
        </w:rPr>
        <w:t xml:space="preserve"> </w:t>
      </w:r>
      <w:r>
        <w:rPr>
          <w:rFonts w:ascii="Arial" w:hAnsi="Arial" w:cs="Arial"/>
          <w:sz w:val="20"/>
          <w:szCs w:val="20"/>
        </w:rPr>
        <w:t>-</w:t>
      </w:r>
      <w:r w:rsidR="00511D40" w:rsidRPr="00511D40">
        <w:rPr>
          <w:rFonts w:ascii="Arial" w:hAnsi="Arial" w:cs="Arial"/>
          <w:sz w:val="20"/>
          <w:szCs w:val="20"/>
        </w:rPr>
        <w:t xml:space="preserve"> European Union Law</w:t>
      </w:r>
      <w:r>
        <w:rPr>
          <w:rFonts w:ascii="Arial" w:hAnsi="Arial" w:cs="Arial"/>
          <w:sz w:val="20"/>
          <w:szCs w:val="20"/>
        </w:rPr>
        <w:t xml:space="preserve"> (L</w:t>
      </w:r>
      <w:r w:rsidR="00EE29C2">
        <w:rPr>
          <w:rFonts w:ascii="Arial" w:hAnsi="Arial" w:cs="Arial"/>
          <w:sz w:val="20"/>
          <w:szCs w:val="20"/>
        </w:rPr>
        <w:t>A</w:t>
      </w:r>
      <w:r>
        <w:rPr>
          <w:rFonts w:ascii="Arial" w:hAnsi="Arial" w:cs="Arial"/>
          <w:sz w:val="20"/>
          <w:szCs w:val="20"/>
        </w:rPr>
        <w:t>W</w:t>
      </w:r>
      <w:r w:rsidR="00EE29C2">
        <w:rPr>
          <w:rFonts w:ascii="Arial" w:hAnsi="Arial" w:cs="Arial"/>
          <w:sz w:val="20"/>
          <w:szCs w:val="20"/>
        </w:rPr>
        <w:t>S</w:t>
      </w:r>
      <w:r>
        <w:rPr>
          <w:rFonts w:ascii="Arial" w:hAnsi="Arial" w:cs="Arial"/>
          <w:sz w:val="20"/>
          <w:szCs w:val="20"/>
        </w:rPr>
        <w:t>593</w:t>
      </w:r>
      <w:r w:rsidR="00EE29C2">
        <w:rPr>
          <w:rFonts w:ascii="Arial" w:hAnsi="Arial" w:cs="Arial"/>
          <w:sz w:val="20"/>
          <w:szCs w:val="20"/>
        </w:rPr>
        <w:t>0</w:t>
      </w:r>
      <w:r>
        <w:rPr>
          <w:rFonts w:ascii="Arial" w:hAnsi="Arial" w:cs="Arial"/>
          <w:sz w:val="20"/>
          <w:szCs w:val="20"/>
        </w:rPr>
        <w:t>)</w:t>
      </w:r>
    </w:p>
    <w:p w14:paraId="4395D17C" w14:textId="77777777" w:rsidR="00511D40" w:rsidRPr="00511D40" w:rsidRDefault="00511D40" w:rsidP="00E86F17">
      <w:pPr>
        <w:spacing w:after="120" w:line="240" w:lineRule="auto"/>
        <w:ind w:left="426" w:right="260"/>
        <w:jc w:val="both"/>
        <w:rPr>
          <w:rFonts w:ascii="Arial" w:hAnsi="Arial" w:cs="Arial"/>
          <w:sz w:val="20"/>
          <w:szCs w:val="20"/>
        </w:rPr>
      </w:pPr>
    </w:p>
    <w:p w14:paraId="57F10DE7"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5AF3806" w14:textId="6C6D086C" w:rsidR="009A2D37" w:rsidRPr="00373ACB" w:rsidRDefault="00511D40" w:rsidP="00E86F17">
      <w:pPr>
        <w:ind w:right="260" w:firstLine="426"/>
        <w:jc w:val="both"/>
        <w:rPr>
          <w:rFonts w:ascii="Arial" w:hAnsi="Arial" w:cs="Arial"/>
          <w:iCs/>
          <w:sz w:val="20"/>
          <w:szCs w:val="20"/>
        </w:rPr>
      </w:pPr>
      <w:r w:rsidRPr="00511D40">
        <w:rPr>
          <w:rFonts w:ascii="Arial" w:hAnsi="Arial" w:cs="Arial"/>
          <w:iCs/>
          <w:sz w:val="20"/>
          <w:szCs w:val="20"/>
        </w:rPr>
        <w:t>All single and joint honours undergraduate law programmes.</w:t>
      </w:r>
    </w:p>
    <w:p w14:paraId="3E05279B" w14:textId="77777777" w:rsidR="00C07A56" w:rsidRPr="00373ACB" w:rsidRDefault="00C07A56" w:rsidP="00E86F17">
      <w:pPr>
        <w:spacing w:after="120" w:line="240" w:lineRule="auto"/>
        <w:ind w:left="426" w:right="260"/>
        <w:jc w:val="both"/>
        <w:rPr>
          <w:rFonts w:ascii="Arial" w:hAnsi="Arial" w:cs="Arial"/>
          <w:iCs/>
          <w:sz w:val="20"/>
          <w:szCs w:val="20"/>
        </w:rPr>
      </w:pPr>
    </w:p>
    <w:p w14:paraId="66CD2E96" w14:textId="77777777" w:rsidR="009A2D37" w:rsidRDefault="009A2D37" w:rsidP="00E86F1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881230E" w14:textId="77777777" w:rsidR="00380EAE" w:rsidRPr="00E5418E" w:rsidRDefault="00380EAE" w:rsidP="00E86F17">
      <w:pPr>
        <w:spacing w:after="120" w:line="240" w:lineRule="auto"/>
        <w:ind w:left="426" w:right="260"/>
        <w:jc w:val="both"/>
        <w:rPr>
          <w:rFonts w:ascii="Arial" w:hAnsi="Arial" w:cs="Arial"/>
          <w:b/>
          <w:sz w:val="20"/>
          <w:szCs w:val="20"/>
        </w:rPr>
      </w:pPr>
    </w:p>
    <w:p w14:paraId="1FCFB82C" w14:textId="0299BFA5" w:rsidR="00E5418E" w:rsidRPr="00D137D6" w:rsidRDefault="00E5418E" w:rsidP="00E86F17">
      <w:pPr>
        <w:numPr>
          <w:ilvl w:val="0"/>
          <w:numId w:val="14"/>
        </w:numPr>
        <w:spacing w:after="0" w:line="240" w:lineRule="auto"/>
        <w:ind w:right="260"/>
        <w:contextualSpacing/>
        <w:jc w:val="both"/>
        <w:rPr>
          <w:rFonts w:ascii="Arial" w:hAnsi="Arial" w:cs="Arial"/>
          <w:sz w:val="20"/>
          <w:szCs w:val="20"/>
        </w:rPr>
      </w:pPr>
      <w:r w:rsidRPr="0034686F">
        <w:rPr>
          <w:rFonts w:ascii="Arial" w:hAnsi="Arial" w:cs="Arial"/>
          <w:sz w:val="20"/>
          <w:szCs w:val="20"/>
        </w:rPr>
        <w:t xml:space="preserve">Identify </w:t>
      </w:r>
      <w:r w:rsidR="0075660D">
        <w:rPr>
          <w:rFonts w:ascii="Arial" w:hAnsi="Arial" w:cs="Arial"/>
          <w:sz w:val="20"/>
          <w:szCs w:val="20"/>
        </w:rPr>
        <w:t xml:space="preserve">complex </w:t>
      </w:r>
      <w:r w:rsidRPr="0034686F">
        <w:rPr>
          <w:rFonts w:ascii="Arial" w:hAnsi="Arial" w:cs="Arial"/>
          <w:sz w:val="20"/>
          <w:szCs w:val="20"/>
        </w:rPr>
        <w:t>contemporary problems in public law through the application of concepts</w:t>
      </w:r>
      <w:r w:rsidRPr="00D137D6">
        <w:rPr>
          <w:rFonts w:ascii="Arial" w:hAnsi="Arial" w:cs="Arial"/>
          <w:sz w:val="20"/>
          <w:szCs w:val="20"/>
        </w:rPr>
        <w:t xml:space="preserve"> such as governance, regulation, risk, state, sovereignty</w:t>
      </w:r>
      <w:r w:rsidR="00AE005D" w:rsidRPr="00D137D6">
        <w:rPr>
          <w:rFonts w:ascii="Arial" w:hAnsi="Arial" w:cs="Arial"/>
          <w:sz w:val="20"/>
          <w:szCs w:val="20"/>
        </w:rPr>
        <w:t xml:space="preserve"> and globalisation</w:t>
      </w:r>
      <w:r w:rsidRPr="00D137D6">
        <w:rPr>
          <w:rFonts w:ascii="Arial" w:hAnsi="Arial" w:cs="Arial"/>
          <w:sz w:val="20"/>
          <w:szCs w:val="20"/>
        </w:rPr>
        <w:t xml:space="preserve">. </w:t>
      </w:r>
    </w:p>
    <w:p w14:paraId="5472EE18" w14:textId="44069029" w:rsidR="00E5418E" w:rsidRPr="00D137D6" w:rsidRDefault="00E5418E" w:rsidP="00E86F17">
      <w:pPr>
        <w:numPr>
          <w:ilvl w:val="0"/>
          <w:numId w:val="14"/>
        </w:numPr>
        <w:spacing w:after="0" w:line="240" w:lineRule="auto"/>
        <w:ind w:right="260"/>
        <w:contextualSpacing/>
        <w:jc w:val="both"/>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w:t>
      </w:r>
      <w:r w:rsidRPr="00D137D6">
        <w:rPr>
          <w:rFonts w:ascii="Arial" w:hAnsi="Arial" w:cs="Arial"/>
          <w:sz w:val="20"/>
          <w:szCs w:val="20"/>
        </w:rPr>
        <w:t xml:space="preserve"> </w:t>
      </w:r>
      <w:r w:rsidR="0075660D">
        <w:rPr>
          <w:rFonts w:ascii="Arial" w:hAnsi="Arial" w:cs="Arial"/>
          <w:sz w:val="20"/>
          <w:szCs w:val="20"/>
        </w:rPr>
        <w:t xml:space="preserve">in detail, </w:t>
      </w:r>
      <w:r w:rsidRPr="00D137D6">
        <w:rPr>
          <w:rFonts w:ascii="Arial" w:hAnsi="Arial" w:cs="Arial"/>
          <w:sz w:val="20"/>
          <w:szCs w:val="20"/>
        </w:rPr>
        <w:t>that contemporary economic and political developments have transformed the ambit of public law</w:t>
      </w:r>
      <w:r w:rsidR="00AE005D" w:rsidRPr="00D137D6">
        <w:rPr>
          <w:rFonts w:ascii="Arial" w:hAnsi="Arial" w:cs="Arial"/>
          <w:sz w:val="20"/>
          <w:szCs w:val="20"/>
        </w:rPr>
        <w:t xml:space="preserve"> and the technologies and practices of governance</w:t>
      </w:r>
      <w:r w:rsidRPr="00D137D6">
        <w:rPr>
          <w:rFonts w:ascii="Arial" w:hAnsi="Arial" w:cs="Arial"/>
          <w:sz w:val="20"/>
          <w:szCs w:val="20"/>
        </w:rPr>
        <w:t xml:space="preserve">. </w:t>
      </w:r>
    </w:p>
    <w:p w14:paraId="3E80090C" w14:textId="2EA2B8FA" w:rsidR="00E5418E" w:rsidRPr="00D137D6" w:rsidRDefault="00E5418E" w:rsidP="00E86F17">
      <w:pPr>
        <w:numPr>
          <w:ilvl w:val="0"/>
          <w:numId w:val="14"/>
        </w:numPr>
        <w:spacing w:after="0" w:line="240" w:lineRule="auto"/>
        <w:ind w:right="260"/>
        <w:contextualSpacing/>
        <w:jc w:val="both"/>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 in detail,</w:t>
      </w:r>
      <w:r w:rsidRPr="00D137D6">
        <w:rPr>
          <w:rFonts w:ascii="Arial" w:hAnsi="Arial" w:cs="Arial"/>
          <w:sz w:val="20"/>
          <w:szCs w:val="20"/>
        </w:rPr>
        <w:t xml:space="preserve"> that a vast amount of public power is exercised without direct legislative authorisation or judicial scrutiny, and thus consider strategies for strengthening accountability.  </w:t>
      </w:r>
    </w:p>
    <w:p w14:paraId="1A7B6470" w14:textId="60E050A7" w:rsidR="00E5418E" w:rsidRPr="00D137D6" w:rsidRDefault="00150467" w:rsidP="00E86F17">
      <w:pPr>
        <w:pStyle w:val="ListParagraph"/>
        <w:numPr>
          <w:ilvl w:val="0"/>
          <w:numId w:val="14"/>
        </w:numPr>
        <w:spacing w:after="0"/>
        <w:ind w:right="260"/>
        <w:jc w:val="both"/>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 in detail,</w:t>
      </w:r>
      <w:r w:rsidRPr="00D137D6">
        <w:rPr>
          <w:rFonts w:ascii="Arial" w:hAnsi="Arial" w:cs="Arial"/>
          <w:sz w:val="20"/>
          <w:szCs w:val="20"/>
        </w:rPr>
        <w:t xml:space="preserve"> that the distinction between public and private power has broken down, and that the field of </w:t>
      </w:r>
      <w:r w:rsidR="009749DC">
        <w:rPr>
          <w:rFonts w:ascii="Arial" w:hAnsi="Arial" w:cs="Arial"/>
          <w:sz w:val="20"/>
          <w:szCs w:val="20"/>
        </w:rPr>
        <w:t>c</w:t>
      </w:r>
      <w:r w:rsidR="009749DC" w:rsidRPr="00D137D6">
        <w:rPr>
          <w:rFonts w:ascii="Arial" w:hAnsi="Arial" w:cs="Arial"/>
          <w:sz w:val="20"/>
          <w:szCs w:val="20"/>
        </w:rPr>
        <w:t xml:space="preserve">onstitutional </w:t>
      </w:r>
      <w:r w:rsidRPr="00D137D6">
        <w:rPr>
          <w:rFonts w:ascii="Arial" w:hAnsi="Arial" w:cs="Arial"/>
          <w:sz w:val="20"/>
          <w:szCs w:val="20"/>
        </w:rPr>
        <w:t xml:space="preserve">and </w:t>
      </w:r>
      <w:r w:rsidR="009749DC">
        <w:rPr>
          <w:rFonts w:ascii="Arial" w:hAnsi="Arial" w:cs="Arial"/>
          <w:sz w:val="20"/>
          <w:szCs w:val="20"/>
        </w:rPr>
        <w:t>a</w:t>
      </w:r>
      <w:r w:rsidR="009749DC" w:rsidRPr="00D137D6">
        <w:rPr>
          <w:rFonts w:ascii="Arial" w:hAnsi="Arial" w:cs="Arial"/>
          <w:sz w:val="20"/>
          <w:szCs w:val="20"/>
        </w:rPr>
        <w:t xml:space="preserve">dministrative </w:t>
      </w:r>
      <w:r w:rsidRPr="00D137D6">
        <w:rPr>
          <w:rFonts w:ascii="Arial" w:hAnsi="Arial" w:cs="Arial"/>
          <w:sz w:val="20"/>
          <w:szCs w:val="20"/>
        </w:rPr>
        <w:t>law (public law) needs to respond to the ensuing challenges.</w:t>
      </w:r>
    </w:p>
    <w:p w14:paraId="7E0A6A30" w14:textId="61A765F0" w:rsidR="00E5418E" w:rsidRPr="00E5418E" w:rsidRDefault="00D137D6" w:rsidP="00E86F17">
      <w:pPr>
        <w:numPr>
          <w:ilvl w:val="0"/>
          <w:numId w:val="14"/>
        </w:numPr>
        <w:spacing w:after="0" w:line="240" w:lineRule="auto"/>
        <w:ind w:right="260"/>
        <w:contextualSpacing/>
        <w:jc w:val="both"/>
        <w:rPr>
          <w:rFonts w:ascii="Arial" w:hAnsi="Arial" w:cs="Arial"/>
          <w:i/>
          <w:sz w:val="20"/>
          <w:szCs w:val="20"/>
        </w:rPr>
      </w:pPr>
      <w:r>
        <w:rPr>
          <w:rFonts w:ascii="Arial" w:hAnsi="Arial" w:cs="Arial"/>
          <w:sz w:val="20"/>
          <w:szCs w:val="20"/>
        </w:rPr>
        <w:t>Demonstrate</w:t>
      </w:r>
      <w:r w:rsidR="00E5418E" w:rsidRPr="00E5418E">
        <w:rPr>
          <w:rFonts w:ascii="Arial" w:hAnsi="Arial" w:cs="Arial"/>
          <w:sz w:val="20"/>
          <w:szCs w:val="20"/>
        </w:rPr>
        <w:t xml:space="preserve"> the conceptual tools necessary to navigate the changing landscape of </w:t>
      </w:r>
      <w:r w:rsidR="003B216B">
        <w:rPr>
          <w:rFonts w:ascii="Arial" w:hAnsi="Arial" w:cs="Arial"/>
          <w:sz w:val="20"/>
          <w:szCs w:val="20"/>
        </w:rPr>
        <w:t>public law.</w:t>
      </w:r>
    </w:p>
    <w:p w14:paraId="3D2AC5E0" w14:textId="6006945E" w:rsidR="008A4BCA" w:rsidRPr="00E5418E" w:rsidRDefault="008A4BCA" w:rsidP="00E86F17">
      <w:pPr>
        <w:pStyle w:val="ListParagraph"/>
        <w:spacing w:after="120" w:line="240" w:lineRule="auto"/>
        <w:ind w:right="260"/>
        <w:jc w:val="both"/>
        <w:rPr>
          <w:rFonts w:ascii="Arial" w:hAnsi="Arial" w:cs="Arial"/>
          <w:sz w:val="20"/>
          <w:szCs w:val="20"/>
        </w:rPr>
      </w:pPr>
    </w:p>
    <w:p w14:paraId="2CF5EA88" w14:textId="77777777" w:rsidR="00373ACB" w:rsidRPr="00373ACB" w:rsidRDefault="00373ACB" w:rsidP="00E86F17">
      <w:pPr>
        <w:pStyle w:val="ListParagraph"/>
        <w:spacing w:after="120" w:line="240" w:lineRule="auto"/>
        <w:ind w:left="851" w:right="260"/>
        <w:jc w:val="both"/>
        <w:rPr>
          <w:rFonts w:ascii="Arial" w:hAnsi="Arial" w:cs="Arial"/>
          <w:sz w:val="20"/>
          <w:szCs w:val="20"/>
        </w:rPr>
      </w:pPr>
    </w:p>
    <w:p w14:paraId="71333A2C" w14:textId="77777777" w:rsidR="00380EAE"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54B90DC" w14:textId="77777777" w:rsidR="00380EAE" w:rsidRPr="00380EAE" w:rsidRDefault="00380EAE" w:rsidP="00E86F17">
      <w:pPr>
        <w:spacing w:after="120" w:line="240" w:lineRule="auto"/>
        <w:ind w:left="426" w:right="260"/>
        <w:jc w:val="both"/>
        <w:rPr>
          <w:rFonts w:ascii="Arial" w:hAnsi="Arial" w:cs="Arial"/>
          <w:b/>
          <w:sz w:val="20"/>
          <w:szCs w:val="20"/>
        </w:rPr>
      </w:pPr>
    </w:p>
    <w:p w14:paraId="5276BF67" w14:textId="082DD7A1" w:rsidR="00150467" w:rsidRPr="00150467" w:rsidRDefault="00150467" w:rsidP="00E86F17">
      <w:pPr>
        <w:pStyle w:val="ListParagraph"/>
        <w:numPr>
          <w:ilvl w:val="0"/>
          <w:numId w:val="16"/>
        </w:numPr>
        <w:ind w:right="260"/>
        <w:jc w:val="both"/>
        <w:rPr>
          <w:rFonts w:ascii="Arial" w:hAnsi="Arial" w:cs="Arial"/>
          <w:sz w:val="20"/>
          <w:szCs w:val="20"/>
        </w:rPr>
      </w:pPr>
      <w:r w:rsidRPr="00150467">
        <w:rPr>
          <w:rFonts w:ascii="Arial" w:hAnsi="Arial" w:cs="Arial"/>
          <w:sz w:val="20"/>
          <w:szCs w:val="20"/>
        </w:rPr>
        <w:t>Conduct independent research which informs a sustained and complex argument</w:t>
      </w:r>
      <w:r w:rsidR="00AE005D">
        <w:rPr>
          <w:rFonts w:ascii="Arial" w:hAnsi="Arial" w:cs="Arial"/>
          <w:sz w:val="20"/>
          <w:szCs w:val="20"/>
        </w:rPr>
        <w:t>.</w:t>
      </w:r>
      <w:r w:rsidRPr="00150467">
        <w:rPr>
          <w:rFonts w:ascii="Arial" w:hAnsi="Arial" w:cs="Arial"/>
          <w:sz w:val="20"/>
          <w:szCs w:val="20"/>
        </w:rPr>
        <w:t xml:space="preserve"> </w:t>
      </w:r>
    </w:p>
    <w:p w14:paraId="0F42A974" w14:textId="30652BD9" w:rsidR="00E5418E" w:rsidRPr="00E5418E" w:rsidRDefault="00E5418E" w:rsidP="00E86F17">
      <w:pPr>
        <w:pStyle w:val="ListParagraph"/>
        <w:numPr>
          <w:ilvl w:val="0"/>
          <w:numId w:val="16"/>
        </w:numPr>
        <w:ind w:right="260"/>
        <w:jc w:val="both"/>
        <w:rPr>
          <w:rFonts w:ascii="Arial" w:hAnsi="Arial" w:cs="Arial"/>
          <w:sz w:val="20"/>
          <w:szCs w:val="20"/>
        </w:rPr>
      </w:pPr>
      <w:r w:rsidRPr="00E5418E">
        <w:rPr>
          <w:rFonts w:ascii="Arial" w:hAnsi="Arial" w:cs="Arial"/>
          <w:sz w:val="20"/>
          <w:szCs w:val="20"/>
        </w:rPr>
        <w:t xml:space="preserve">Appreciate that </w:t>
      </w:r>
      <w:r w:rsidR="00AE005D">
        <w:rPr>
          <w:rFonts w:ascii="Arial" w:hAnsi="Arial" w:cs="Arial"/>
          <w:sz w:val="20"/>
          <w:szCs w:val="20"/>
        </w:rPr>
        <w:t>legal</w:t>
      </w:r>
      <w:r w:rsidR="00AE005D" w:rsidRPr="00E5418E">
        <w:rPr>
          <w:rFonts w:ascii="Arial" w:hAnsi="Arial" w:cs="Arial"/>
          <w:sz w:val="20"/>
          <w:szCs w:val="20"/>
        </w:rPr>
        <w:t xml:space="preserve"> </w:t>
      </w:r>
      <w:r w:rsidRPr="00E5418E">
        <w:rPr>
          <w:rFonts w:ascii="Arial" w:hAnsi="Arial" w:cs="Arial"/>
          <w:sz w:val="20"/>
          <w:szCs w:val="20"/>
        </w:rPr>
        <w:t>problems can only be fully understood through interdisciplinary research</w:t>
      </w:r>
      <w:r w:rsidR="00AE005D">
        <w:rPr>
          <w:rFonts w:ascii="Arial" w:hAnsi="Arial" w:cs="Arial"/>
          <w:sz w:val="20"/>
          <w:szCs w:val="20"/>
        </w:rPr>
        <w:t>.</w:t>
      </w:r>
    </w:p>
    <w:p w14:paraId="0B6B8F4D" w14:textId="0DECB129" w:rsidR="00E5418E" w:rsidRDefault="00E5418E" w:rsidP="00E86F17">
      <w:pPr>
        <w:pStyle w:val="ListParagraph"/>
        <w:numPr>
          <w:ilvl w:val="0"/>
          <w:numId w:val="16"/>
        </w:numPr>
        <w:ind w:right="260"/>
        <w:jc w:val="both"/>
        <w:rPr>
          <w:rFonts w:ascii="Arial" w:hAnsi="Arial" w:cs="Arial"/>
          <w:sz w:val="20"/>
          <w:szCs w:val="20"/>
        </w:rPr>
      </w:pPr>
      <w:r w:rsidRPr="00E5418E">
        <w:rPr>
          <w:rFonts w:ascii="Arial" w:hAnsi="Arial" w:cs="Arial"/>
          <w:sz w:val="20"/>
          <w:szCs w:val="20"/>
        </w:rPr>
        <w:t>Use electronic databases for research.</w:t>
      </w:r>
    </w:p>
    <w:p w14:paraId="7B904580" w14:textId="3654F184" w:rsidR="00AE005D" w:rsidRDefault="00AE005D" w:rsidP="00E86F17">
      <w:pPr>
        <w:pStyle w:val="ListParagraph"/>
        <w:numPr>
          <w:ilvl w:val="0"/>
          <w:numId w:val="16"/>
        </w:numPr>
        <w:ind w:right="260"/>
        <w:jc w:val="both"/>
        <w:rPr>
          <w:rFonts w:ascii="Arial" w:hAnsi="Arial" w:cs="Arial"/>
          <w:sz w:val="20"/>
          <w:szCs w:val="20"/>
        </w:rPr>
      </w:pPr>
      <w:r>
        <w:rPr>
          <w:rFonts w:ascii="Arial" w:hAnsi="Arial" w:cs="Arial"/>
          <w:sz w:val="20"/>
          <w:szCs w:val="20"/>
        </w:rPr>
        <w:t>Demonstrate advanced research skills in law and related disciplines.</w:t>
      </w:r>
    </w:p>
    <w:p w14:paraId="73C21D42" w14:textId="2E50CC14" w:rsidR="00651301" w:rsidRPr="00E5418E" w:rsidRDefault="00651301" w:rsidP="00E86F17">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Explore critically and in-depth a particular topic with the help of theoretical tools.</w:t>
      </w:r>
    </w:p>
    <w:p w14:paraId="7BBDAD62" w14:textId="2B5B5B65" w:rsidR="00373ACB" w:rsidRPr="00373ACB" w:rsidRDefault="00514C9C" w:rsidP="00E86F17">
      <w:pPr>
        <w:pStyle w:val="Default"/>
        <w:tabs>
          <w:tab w:val="left" w:pos="7425"/>
        </w:tabs>
        <w:spacing w:after="120"/>
        <w:ind w:right="260"/>
        <w:jc w:val="both"/>
        <w:rPr>
          <w:color w:val="auto"/>
          <w:sz w:val="20"/>
          <w:szCs w:val="20"/>
        </w:rPr>
      </w:pPr>
      <w:r>
        <w:rPr>
          <w:color w:val="auto"/>
          <w:sz w:val="20"/>
          <w:szCs w:val="20"/>
        </w:rPr>
        <w:lastRenderedPageBreak/>
        <w:tab/>
      </w:r>
    </w:p>
    <w:p w14:paraId="36B193E5"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A9CB399" w14:textId="77777777" w:rsidR="00E86F17" w:rsidRDefault="00A71299" w:rsidP="00E86F17">
      <w:pPr>
        <w:spacing w:after="120" w:line="240" w:lineRule="auto"/>
        <w:ind w:left="426" w:right="260"/>
        <w:jc w:val="both"/>
        <w:rPr>
          <w:rFonts w:ascii="Arial" w:hAnsi="Arial" w:cs="Arial"/>
          <w:sz w:val="20"/>
          <w:szCs w:val="20"/>
        </w:rPr>
      </w:pPr>
      <w:r w:rsidRPr="0034686F">
        <w:rPr>
          <w:rFonts w:ascii="Arial" w:hAnsi="Arial" w:cs="Arial"/>
          <w:sz w:val="20"/>
          <w:szCs w:val="20"/>
        </w:rPr>
        <w:t>Over the course of the late twentieth century the modern state was transformed in far-reaching ways. The deregulation and privatisation of national economies, the rise of risk governance, the proliferation of administrative agencies and the increasing the involvement of experts in public policy have all profoundly affected the practice of government. At the same time, states responded to global problems cutting across national boundaries (eg, in finance, security and the environment) by governing through transnational networks and global institutions far removed from conventional mechanisms of democratic and legal accountability. These changes have dramatically transformed the landscape of public law - broadly defined as ‘the practices that sustain and regulate the activity of governing’.</w:t>
      </w:r>
    </w:p>
    <w:p w14:paraId="32701D11" w14:textId="003B363F" w:rsidR="00A71299" w:rsidRPr="0034686F" w:rsidRDefault="00A71299" w:rsidP="00E86F17">
      <w:pPr>
        <w:spacing w:after="120" w:line="240" w:lineRule="auto"/>
        <w:ind w:left="426" w:right="260"/>
        <w:jc w:val="both"/>
        <w:rPr>
          <w:rFonts w:ascii="Arial" w:hAnsi="Arial" w:cs="Arial"/>
          <w:sz w:val="20"/>
          <w:szCs w:val="20"/>
        </w:rPr>
      </w:pPr>
      <w:r>
        <w:rPr>
          <w:rFonts w:ascii="Arial" w:hAnsi="Arial" w:cs="Arial"/>
          <w:sz w:val="20"/>
          <w:szCs w:val="20"/>
        </w:rPr>
        <w:br/>
      </w:r>
      <w:r w:rsidRPr="00A71299">
        <w:rPr>
          <w:rFonts w:ascii="Arial" w:hAnsi="Arial" w:cs="Arial"/>
          <w:sz w:val="20"/>
          <w:szCs w:val="20"/>
        </w:rPr>
        <w:t>This module helps students</w:t>
      </w:r>
      <w:r w:rsidRPr="0034686F">
        <w:rPr>
          <w:rFonts w:ascii="Arial" w:hAnsi="Arial" w:cs="Arial"/>
          <w:sz w:val="20"/>
          <w:szCs w:val="20"/>
        </w:rPr>
        <w:t xml:space="preserve"> to navigate this shifting constitutional terrain and grapple with the key legal and political challe</w:t>
      </w:r>
      <w:r w:rsidR="00831A30">
        <w:rPr>
          <w:rFonts w:ascii="Arial" w:hAnsi="Arial" w:cs="Arial"/>
          <w:sz w:val="20"/>
          <w:szCs w:val="20"/>
        </w:rPr>
        <w:t xml:space="preserve">nges it poses. In Public Law 1 </w:t>
      </w:r>
      <w:r w:rsidRPr="0034686F">
        <w:rPr>
          <w:rFonts w:ascii="Arial" w:hAnsi="Arial" w:cs="Arial"/>
          <w:sz w:val="20"/>
          <w:szCs w:val="20"/>
        </w:rPr>
        <w:t>students learned about the core principles of constitutional and administrative law, exploring issues like parliamentary sovereignty, the separation of powers, judicial review, human rights and devolution. In</w:t>
      </w:r>
      <w:r w:rsidR="00831A30">
        <w:rPr>
          <w:rFonts w:ascii="Arial" w:hAnsi="Arial" w:cs="Arial"/>
          <w:sz w:val="20"/>
          <w:szCs w:val="20"/>
        </w:rPr>
        <w:t xml:space="preserve"> the Law of the European Union </w:t>
      </w:r>
      <w:r w:rsidRPr="0034686F">
        <w:rPr>
          <w:rFonts w:ascii="Arial" w:hAnsi="Arial" w:cs="Arial"/>
          <w:sz w:val="20"/>
          <w:szCs w:val="20"/>
        </w:rPr>
        <w:t xml:space="preserve">students were introduced to the principle of multi-level governance through which the modern state operates. Public Law 2 builds on these insights by analysing the complexity of contemporary governance in detail. </w:t>
      </w:r>
      <w:r w:rsidRPr="00A71299">
        <w:rPr>
          <w:rFonts w:ascii="Arial" w:hAnsi="Arial" w:cs="Arial"/>
          <w:sz w:val="20"/>
          <w:szCs w:val="20"/>
        </w:rPr>
        <w:t xml:space="preserve">The aim is to have </w:t>
      </w:r>
      <w:r>
        <w:rPr>
          <w:rFonts w:ascii="Arial" w:hAnsi="Arial" w:cs="Arial"/>
          <w:sz w:val="20"/>
          <w:szCs w:val="20"/>
        </w:rPr>
        <w:t>students</w:t>
      </w:r>
      <w:r w:rsidRPr="00A71299">
        <w:rPr>
          <w:rFonts w:ascii="Arial" w:hAnsi="Arial" w:cs="Arial"/>
          <w:sz w:val="20"/>
          <w:szCs w:val="20"/>
        </w:rPr>
        <w:t xml:space="preserve"> think critically about (i) the changing nature of the state, global governance and regulation; (ii) how globalisation is changing the ways public law problems are governed; (iii) the key challenges these shifts pose for the protection of rights and (iv) the different techniques and processes for holding states and powerful actors to account.</w:t>
      </w:r>
    </w:p>
    <w:p w14:paraId="1A719D81" w14:textId="77777777" w:rsidR="00DD3AC3" w:rsidRPr="00373ACB" w:rsidRDefault="00DD3AC3" w:rsidP="00E86F17">
      <w:pPr>
        <w:spacing w:after="120" w:line="240" w:lineRule="auto"/>
        <w:ind w:left="426" w:right="260"/>
        <w:jc w:val="both"/>
        <w:rPr>
          <w:rFonts w:ascii="Arial" w:hAnsi="Arial" w:cs="Arial"/>
          <w:iCs/>
          <w:sz w:val="20"/>
          <w:szCs w:val="20"/>
        </w:rPr>
      </w:pPr>
    </w:p>
    <w:p w14:paraId="5AB49F86" w14:textId="77777777" w:rsidR="009A2D37" w:rsidRPr="00373ACB" w:rsidRDefault="00DF2132" w:rsidP="00E86F17">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A54A32A" w14:textId="64C86D68" w:rsidR="00412576" w:rsidRDefault="00412576"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Kevin Davis,</w:t>
      </w:r>
      <w:r w:rsidRPr="00412576">
        <w:t xml:space="preserve"> </w:t>
      </w:r>
      <w:r w:rsidRPr="00412576">
        <w:rPr>
          <w:rFonts w:ascii="Arial" w:hAnsi="Arial" w:cs="Arial"/>
          <w:sz w:val="20"/>
          <w:szCs w:val="20"/>
        </w:rPr>
        <w:t>Angelina Fisher</w:t>
      </w:r>
      <w:r>
        <w:rPr>
          <w:rFonts w:ascii="Arial" w:hAnsi="Arial" w:cs="Arial"/>
          <w:sz w:val="20"/>
          <w:szCs w:val="20"/>
        </w:rPr>
        <w:t>, Benedi</w:t>
      </w:r>
      <w:r w:rsidR="009749DC">
        <w:rPr>
          <w:rFonts w:ascii="Arial" w:hAnsi="Arial" w:cs="Arial"/>
          <w:sz w:val="20"/>
          <w:szCs w:val="20"/>
        </w:rPr>
        <w:t>c</w:t>
      </w:r>
      <w:r>
        <w:rPr>
          <w:rFonts w:ascii="Arial" w:hAnsi="Arial" w:cs="Arial"/>
          <w:sz w:val="20"/>
          <w:szCs w:val="20"/>
        </w:rPr>
        <w:t xml:space="preserve">t Kingsbury and Sally Engle Merry (2012), </w:t>
      </w:r>
      <w:r w:rsidRPr="009D023D">
        <w:rPr>
          <w:rFonts w:ascii="Arial" w:hAnsi="Arial" w:cs="Arial"/>
          <w:i/>
          <w:sz w:val="20"/>
          <w:szCs w:val="20"/>
        </w:rPr>
        <w:t>Governance by indicators - Global Power through Quantification and Rankings</w:t>
      </w:r>
      <w:r>
        <w:rPr>
          <w:rFonts w:ascii="Arial" w:hAnsi="Arial" w:cs="Arial"/>
          <w:sz w:val="20"/>
          <w:szCs w:val="20"/>
        </w:rPr>
        <w:t xml:space="preserve"> (Oxford University Press)</w:t>
      </w:r>
    </w:p>
    <w:p w14:paraId="45903341" w14:textId="77777777" w:rsidR="009749DC" w:rsidRPr="00C65AF9" w:rsidRDefault="009749DC"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 xml:space="preserve">Emilios Christodoulidis and Stephen Tierney (2008), </w:t>
      </w:r>
      <w:r w:rsidRPr="00C65AF9">
        <w:rPr>
          <w:rFonts w:ascii="Arial" w:hAnsi="Arial" w:cs="Arial"/>
          <w:i/>
          <w:sz w:val="20"/>
          <w:szCs w:val="20"/>
        </w:rPr>
        <w:t>Public Law and Politics: The Scope and Limits of Constitutionalism</w:t>
      </w:r>
      <w:r w:rsidRPr="00C65AF9">
        <w:rPr>
          <w:rFonts w:ascii="Arial" w:hAnsi="Arial" w:cs="Arial"/>
          <w:sz w:val="20"/>
          <w:szCs w:val="20"/>
        </w:rPr>
        <w:t xml:space="preserve"> </w:t>
      </w:r>
      <w:r>
        <w:rPr>
          <w:rFonts w:ascii="Arial" w:hAnsi="Arial" w:cs="Arial"/>
          <w:sz w:val="20"/>
          <w:szCs w:val="20"/>
        </w:rPr>
        <w:t>(</w:t>
      </w:r>
      <w:r w:rsidRPr="00C65AF9">
        <w:rPr>
          <w:rFonts w:ascii="Arial" w:hAnsi="Arial" w:cs="Arial"/>
          <w:sz w:val="20"/>
          <w:szCs w:val="20"/>
        </w:rPr>
        <w:t>Ashgate</w:t>
      </w:r>
      <w:r>
        <w:rPr>
          <w:rFonts w:ascii="Arial" w:hAnsi="Arial" w:cs="Arial"/>
          <w:sz w:val="20"/>
          <w:szCs w:val="20"/>
        </w:rPr>
        <w:t>)</w:t>
      </w:r>
    </w:p>
    <w:p w14:paraId="0503F29B" w14:textId="56657635" w:rsidR="00E5418E" w:rsidRPr="00C65AF9" w:rsidRDefault="00E5418E"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 xml:space="preserve">Mitchell Dean (1999), </w:t>
      </w:r>
      <w:r w:rsidRPr="00C65AF9">
        <w:rPr>
          <w:rFonts w:ascii="Arial" w:hAnsi="Arial" w:cs="Arial"/>
          <w:i/>
          <w:sz w:val="20"/>
          <w:szCs w:val="20"/>
        </w:rPr>
        <w:t>Governmentality : Power and Rule in Modern Society</w:t>
      </w:r>
      <w:r w:rsidRPr="00C65AF9">
        <w:rPr>
          <w:rFonts w:ascii="Arial" w:hAnsi="Arial" w:cs="Arial"/>
          <w:sz w:val="20"/>
          <w:szCs w:val="20"/>
        </w:rPr>
        <w:t xml:space="preserve"> </w:t>
      </w:r>
      <w:r w:rsidR="0027376E">
        <w:rPr>
          <w:rFonts w:ascii="Arial" w:hAnsi="Arial" w:cs="Arial"/>
          <w:sz w:val="20"/>
          <w:szCs w:val="20"/>
        </w:rPr>
        <w:t>(</w:t>
      </w:r>
      <w:r w:rsidRPr="00C65AF9">
        <w:rPr>
          <w:rFonts w:ascii="Arial" w:hAnsi="Arial" w:cs="Arial"/>
          <w:sz w:val="20"/>
          <w:szCs w:val="20"/>
        </w:rPr>
        <w:t>Sage</w:t>
      </w:r>
      <w:r w:rsidR="0027376E">
        <w:rPr>
          <w:rFonts w:ascii="Arial" w:hAnsi="Arial" w:cs="Arial"/>
          <w:sz w:val="20"/>
          <w:szCs w:val="20"/>
        </w:rPr>
        <w:t>)</w:t>
      </w:r>
    </w:p>
    <w:p w14:paraId="4BE14D4F" w14:textId="33CF0A7C" w:rsidR="00412576" w:rsidRDefault="00412576"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Nico Krisch (2012), </w:t>
      </w:r>
      <w:r w:rsidRPr="0034686F">
        <w:rPr>
          <w:rFonts w:ascii="Arial" w:hAnsi="Arial" w:cs="Arial"/>
          <w:i/>
          <w:sz w:val="20"/>
          <w:szCs w:val="20"/>
        </w:rPr>
        <w:t>Beyond Constitutionalism: The Pluralist Structure of Postnational Law</w:t>
      </w:r>
      <w:r>
        <w:rPr>
          <w:rFonts w:ascii="Arial" w:hAnsi="Arial" w:cs="Arial"/>
          <w:sz w:val="20"/>
          <w:szCs w:val="20"/>
        </w:rPr>
        <w:t xml:space="preserve"> (Oxford University Press)</w:t>
      </w:r>
    </w:p>
    <w:p w14:paraId="12BDB9C5" w14:textId="0A693CA4" w:rsidR="00E5418E" w:rsidRPr="00C65AF9" w:rsidRDefault="00E5418E"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Martin L</w:t>
      </w:r>
      <w:r w:rsidR="00A71299">
        <w:rPr>
          <w:rFonts w:ascii="Arial" w:hAnsi="Arial" w:cs="Arial"/>
          <w:sz w:val="20"/>
          <w:szCs w:val="20"/>
        </w:rPr>
        <w:t>o</w:t>
      </w:r>
      <w:r w:rsidRPr="00C65AF9">
        <w:rPr>
          <w:rFonts w:ascii="Arial" w:hAnsi="Arial" w:cs="Arial"/>
          <w:sz w:val="20"/>
          <w:szCs w:val="20"/>
        </w:rPr>
        <w:t xml:space="preserve">ughlin (2004), </w:t>
      </w:r>
      <w:r w:rsidRPr="00C65AF9">
        <w:rPr>
          <w:rFonts w:ascii="Arial" w:hAnsi="Arial" w:cs="Arial"/>
          <w:i/>
          <w:sz w:val="20"/>
          <w:szCs w:val="20"/>
        </w:rPr>
        <w:t>The Idea of Public Law</w:t>
      </w:r>
      <w:r w:rsidRPr="00C65AF9">
        <w:rPr>
          <w:rFonts w:ascii="Arial" w:hAnsi="Arial" w:cs="Arial"/>
          <w:sz w:val="20"/>
          <w:szCs w:val="20"/>
        </w:rPr>
        <w:t xml:space="preserve"> </w:t>
      </w:r>
      <w:r w:rsidR="0027376E">
        <w:rPr>
          <w:rFonts w:ascii="Arial" w:hAnsi="Arial" w:cs="Arial"/>
          <w:sz w:val="20"/>
          <w:szCs w:val="20"/>
        </w:rPr>
        <w:t>(</w:t>
      </w:r>
      <w:r w:rsidRPr="00C65AF9">
        <w:rPr>
          <w:rFonts w:ascii="Arial" w:hAnsi="Arial" w:cs="Arial"/>
          <w:sz w:val="20"/>
          <w:szCs w:val="20"/>
        </w:rPr>
        <w:t>Oxford University Press</w:t>
      </w:r>
      <w:r w:rsidR="0027376E">
        <w:rPr>
          <w:rFonts w:ascii="Arial" w:hAnsi="Arial" w:cs="Arial"/>
          <w:sz w:val="20"/>
          <w:szCs w:val="20"/>
        </w:rPr>
        <w:t>)</w:t>
      </w:r>
    </w:p>
    <w:p w14:paraId="138C7C6E" w14:textId="0B769D57" w:rsidR="00E5418E" w:rsidRPr="00C65AF9" w:rsidRDefault="00E5418E"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 xml:space="preserve">Peter Miller and Nikolas Rose (2008), </w:t>
      </w:r>
      <w:r w:rsidRPr="00C65AF9">
        <w:rPr>
          <w:rFonts w:ascii="Arial" w:hAnsi="Arial" w:cs="Arial"/>
          <w:i/>
          <w:sz w:val="20"/>
          <w:szCs w:val="20"/>
        </w:rPr>
        <w:t xml:space="preserve">Governing the Present: Administering Economic, Social and Personal Life </w:t>
      </w:r>
      <w:r w:rsidR="0027376E">
        <w:rPr>
          <w:rFonts w:ascii="Arial" w:hAnsi="Arial" w:cs="Arial"/>
          <w:sz w:val="20"/>
          <w:szCs w:val="20"/>
        </w:rPr>
        <w:t>(</w:t>
      </w:r>
      <w:r w:rsidRPr="00C65AF9">
        <w:rPr>
          <w:rFonts w:ascii="Arial" w:hAnsi="Arial" w:cs="Arial"/>
          <w:sz w:val="20"/>
          <w:szCs w:val="20"/>
        </w:rPr>
        <w:t>Wiley</w:t>
      </w:r>
      <w:r w:rsidR="0027376E">
        <w:rPr>
          <w:rFonts w:ascii="Arial" w:hAnsi="Arial" w:cs="Arial"/>
          <w:sz w:val="20"/>
          <w:szCs w:val="20"/>
        </w:rPr>
        <w:t>)</w:t>
      </w:r>
    </w:p>
    <w:p w14:paraId="5A9F1378" w14:textId="77777777" w:rsidR="009749DC" w:rsidRDefault="009749DC"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Dawn Oliver, Tony Prosser and Richard Rawlings (eds.) </w:t>
      </w:r>
      <w:r w:rsidRPr="00B2311D">
        <w:rPr>
          <w:rFonts w:ascii="Arial" w:hAnsi="Arial" w:cs="Arial"/>
          <w:i/>
          <w:sz w:val="20"/>
          <w:szCs w:val="20"/>
        </w:rPr>
        <w:t xml:space="preserve">The Regulatory State - Constitutional Implications </w:t>
      </w:r>
      <w:r>
        <w:rPr>
          <w:rFonts w:ascii="Arial" w:hAnsi="Arial" w:cs="Arial"/>
          <w:sz w:val="20"/>
          <w:szCs w:val="20"/>
        </w:rPr>
        <w:t>(Oxford University Press)</w:t>
      </w:r>
    </w:p>
    <w:p w14:paraId="02B34191" w14:textId="607153C7" w:rsidR="009749DC" w:rsidRDefault="009749DC"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Saskia Sassen, </w:t>
      </w:r>
      <w:r w:rsidRPr="0034686F">
        <w:rPr>
          <w:rFonts w:ascii="Arial" w:hAnsi="Arial" w:cs="Arial"/>
          <w:i/>
          <w:sz w:val="20"/>
          <w:szCs w:val="20"/>
        </w:rPr>
        <w:t xml:space="preserve">Territory, Authority, Rights - From Medieval to Global Assemblages </w:t>
      </w:r>
      <w:r>
        <w:rPr>
          <w:rFonts w:ascii="Arial" w:hAnsi="Arial" w:cs="Arial"/>
          <w:sz w:val="20"/>
          <w:szCs w:val="20"/>
        </w:rPr>
        <w:t xml:space="preserve">(Princeton University Press) </w:t>
      </w:r>
    </w:p>
    <w:p w14:paraId="73DF5A9C" w14:textId="2F8970E4" w:rsidR="009749DC" w:rsidRPr="009749DC" w:rsidRDefault="009749DC" w:rsidP="00E86F17">
      <w:pPr>
        <w:pStyle w:val="ListParagraph"/>
        <w:numPr>
          <w:ilvl w:val="0"/>
          <w:numId w:val="17"/>
        </w:numPr>
        <w:spacing w:after="120" w:line="240" w:lineRule="auto"/>
        <w:ind w:right="260"/>
        <w:jc w:val="both"/>
        <w:rPr>
          <w:rFonts w:ascii="Arial" w:hAnsi="Arial" w:cs="Arial"/>
          <w:sz w:val="20"/>
          <w:szCs w:val="20"/>
        </w:rPr>
      </w:pPr>
      <w:r w:rsidRPr="009749DC">
        <w:rPr>
          <w:rFonts w:ascii="Arial" w:hAnsi="Arial" w:cs="Arial"/>
          <w:sz w:val="20"/>
          <w:szCs w:val="20"/>
        </w:rPr>
        <w:t xml:space="preserve">Anne-Marie Slaughter (2005), </w:t>
      </w:r>
      <w:r w:rsidRPr="0034686F">
        <w:rPr>
          <w:rFonts w:ascii="Arial" w:hAnsi="Arial" w:cs="Arial"/>
          <w:i/>
          <w:sz w:val="20"/>
          <w:szCs w:val="20"/>
        </w:rPr>
        <w:t>A New World Order</w:t>
      </w:r>
      <w:r w:rsidRPr="009749DC">
        <w:rPr>
          <w:rFonts w:ascii="Arial" w:hAnsi="Arial" w:cs="Arial"/>
          <w:sz w:val="20"/>
          <w:szCs w:val="20"/>
        </w:rPr>
        <w:t xml:space="preserve"> (Princeton University Press)</w:t>
      </w:r>
    </w:p>
    <w:p w14:paraId="0BF2693E" w14:textId="1E719BE9" w:rsidR="00DE4F08" w:rsidRPr="00C65AF9" w:rsidRDefault="00DE4F08" w:rsidP="00E86F17">
      <w:pPr>
        <w:ind w:right="260"/>
        <w:jc w:val="both"/>
      </w:pPr>
    </w:p>
    <w:p w14:paraId="58DF81A5" w14:textId="77777777" w:rsidR="00E5418E" w:rsidRPr="00E5418E" w:rsidRDefault="009A2D37" w:rsidP="00E86F17">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CF399B5" w14:textId="6CEAE9A8" w:rsidR="00EE29C2" w:rsidRDefault="00EE29C2" w:rsidP="00E86F17">
      <w:pPr>
        <w:spacing w:after="120" w:line="240" w:lineRule="auto"/>
        <w:ind w:left="426" w:right="260"/>
        <w:jc w:val="both"/>
        <w:rPr>
          <w:rFonts w:ascii="Arial" w:hAnsi="Arial" w:cs="Arial"/>
          <w:sz w:val="20"/>
          <w:szCs w:val="20"/>
        </w:rPr>
      </w:pPr>
      <w:r>
        <w:rPr>
          <w:rFonts w:ascii="Arial" w:hAnsi="Arial" w:cs="Arial"/>
          <w:sz w:val="20"/>
          <w:szCs w:val="20"/>
        </w:rPr>
        <w:t>Total study hours: 150 hours</w:t>
      </w:r>
    </w:p>
    <w:p w14:paraId="073FC724" w14:textId="39447353" w:rsidR="00EE29C2" w:rsidRDefault="00761467" w:rsidP="00E86F17">
      <w:pPr>
        <w:spacing w:after="120" w:line="240" w:lineRule="auto"/>
        <w:ind w:left="426" w:right="260"/>
        <w:jc w:val="both"/>
        <w:rPr>
          <w:rFonts w:ascii="Arial" w:hAnsi="Arial" w:cs="Arial"/>
          <w:sz w:val="20"/>
          <w:szCs w:val="20"/>
        </w:rPr>
      </w:pPr>
      <w:r>
        <w:rPr>
          <w:rFonts w:ascii="Arial" w:hAnsi="Arial" w:cs="Arial"/>
          <w:sz w:val="20"/>
          <w:szCs w:val="20"/>
        </w:rPr>
        <w:t xml:space="preserve">Contact hours: </w:t>
      </w:r>
      <w:r w:rsidR="007F61D8">
        <w:rPr>
          <w:rFonts w:ascii="Arial" w:hAnsi="Arial" w:cs="Arial"/>
          <w:sz w:val="20"/>
          <w:szCs w:val="20"/>
        </w:rPr>
        <w:t>21</w:t>
      </w:r>
      <w:r w:rsidR="007A45E6">
        <w:rPr>
          <w:rFonts w:ascii="Arial" w:hAnsi="Arial" w:cs="Arial"/>
          <w:sz w:val="20"/>
          <w:szCs w:val="20"/>
        </w:rPr>
        <w:t xml:space="preserve"> </w:t>
      </w:r>
      <w:r w:rsidR="00EE29C2">
        <w:rPr>
          <w:rFonts w:ascii="Arial" w:hAnsi="Arial" w:cs="Arial"/>
          <w:sz w:val="20"/>
          <w:szCs w:val="20"/>
        </w:rPr>
        <w:t>hours</w:t>
      </w:r>
    </w:p>
    <w:p w14:paraId="4E9B62E5" w14:textId="7D452BAA" w:rsidR="00E86F17" w:rsidRDefault="00EE29C2" w:rsidP="00E86F17">
      <w:pPr>
        <w:spacing w:after="120" w:line="240" w:lineRule="auto"/>
        <w:ind w:left="426" w:right="260"/>
        <w:jc w:val="both"/>
        <w:rPr>
          <w:rFonts w:ascii="Arial" w:hAnsi="Arial" w:cs="Arial"/>
          <w:sz w:val="20"/>
          <w:szCs w:val="20"/>
        </w:rPr>
      </w:pPr>
      <w:r>
        <w:rPr>
          <w:rFonts w:ascii="Arial" w:hAnsi="Arial" w:cs="Arial"/>
          <w:sz w:val="20"/>
          <w:szCs w:val="20"/>
        </w:rPr>
        <w:t xml:space="preserve">Private study: </w:t>
      </w:r>
      <w:r w:rsidR="007F61D8">
        <w:rPr>
          <w:rFonts w:ascii="Arial" w:hAnsi="Arial" w:cs="Arial"/>
          <w:sz w:val="20"/>
          <w:szCs w:val="20"/>
        </w:rPr>
        <w:t>129</w:t>
      </w:r>
      <w:r w:rsidR="007A45E6">
        <w:rPr>
          <w:rFonts w:ascii="Arial" w:hAnsi="Arial" w:cs="Arial"/>
          <w:sz w:val="20"/>
          <w:szCs w:val="20"/>
        </w:rPr>
        <w:t xml:space="preserve"> </w:t>
      </w:r>
      <w:r>
        <w:rPr>
          <w:rFonts w:ascii="Arial" w:hAnsi="Arial" w:cs="Arial"/>
          <w:sz w:val="20"/>
          <w:szCs w:val="20"/>
        </w:rPr>
        <w:t>hours</w:t>
      </w:r>
    </w:p>
    <w:p w14:paraId="61A9131D" w14:textId="77777777" w:rsidR="00E86F17" w:rsidRPr="00D137D6" w:rsidRDefault="00E86F17" w:rsidP="00E86F17">
      <w:pPr>
        <w:spacing w:after="120" w:line="240" w:lineRule="auto"/>
        <w:ind w:left="426" w:right="260"/>
        <w:jc w:val="both"/>
        <w:rPr>
          <w:rFonts w:ascii="Arial" w:hAnsi="Arial" w:cs="Arial"/>
          <w:sz w:val="20"/>
          <w:szCs w:val="20"/>
        </w:rPr>
      </w:pPr>
    </w:p>
    <w:p w14:paraId="7BE91303" w14:textId="2E4F3134" w:rsidR="00E5418E" w:rsidRDefault="00EF4933" w:rsidP="00E86F17">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374895B7" w14:textId="61C2E27A" w:rsidR="009749DC" w:rsidRDefault="009749DC" w:rsidP="00E86F17">
      <w:pPr>
        <w:spacing w:after="120" w:line="240" w:lineRule="auto"/>
        <w:ind w:left="426" w:right="260"/>
        <w:jc w:val="both"/>
        <w:rPr>
          <w:rFonts w:ascii="Arial" w:hAnsi="Arial" w:cs="Arial"/>
          <w:iCs/>
          <w:sz w:val="20"/>
          <w:szCs w:val="20"/>
          <w:u w:val="single"/>
        </w:rPr>
      </w:pPr>
      <w:r w:rsidRPr="0034686F">
        <w:rPr>
          <w:rFonts w:ascii="Arial" w:hAnsi="Arial" w:cs="Arial"/>
          <w:iCs/>
          <w:sz w:val="20"/>
          <w:szCs w:val="20"/>
          <w:u w:val="single"/>
        </w:rPr>
        <w:t>13.1 Main assessment methods</w:t>
      </w:r>
    </w:p>
    <w:p w14:paraId="0C775AF5" w14:textId="77777777" w:rsidR="00E86F17" w:rsidRPr="0034686F" w:rsidRDefault="00E86F17" w:rsidP="00E86F17">
      <w:pPr>
        <w:spacing w:after="120" w:line="240" w:lineRule="auto"/>
        <w:ind w:left="426" w:right="260"/>
        <w:jc w:val="both"/>
        <w:rPr>
          <w:rFonts w:ascii="Arial" w:hAnsi="Arial" w:cs="Arial"/>
          <w:iCs/>
          <w:sz w:val="20"/>
          <w:szCs w:val="20"/>
          <w:u w:val="single"/>
        </w:rPr>
      </w:pPr>
    </w:p>
    <w:p w14:paraId="350A7D67" w14:textId="311A12A7" w:rsidR="00166DCA" w:rsidRDefault="00166DCA" w:rsidP="00E86F17">
      <w:pPr>
        <w:spacing w:after="120" w:line="240" w:lineRule="auto"/>
        <w:ind w:left="426" w:right="260"/>
        <w:jc w:val="both"/>
        <w:rPr>
          <w:rFonts w:ascii="Arial" w:hAnsi="Arial" w:cs="Arial"/>
          <w:iCs/>
          <w:sz w:val="20"/>
          <w:szCs w:val="20"/>
        </w:rPr>
      </w:pPr>
      <w:r>
        <w:rPr>
          <w:rFonts w:ascii="Arial" w:hAnsi="Arial" w:cs="Arial"/>
          <w:iCs/>
          <w:sz w:val="20"/>
          <w:szCs w:val="20"/>
        </w:rPr>
        <w:t>This module will be assessed by 20% coursework and 80% project.</w:t>
      </w:r>
    </w:p>
    <w:p w14:paraId="6191A8B0" w14:textId="77777777" w:rsidR="00166DCA" w:rsidRDefault="00166DCA" w:rsidP="00E86F17">
      <w:pPr>
        <w:spacing w:after="120" w:line="240" w:lineRule="auto"/>
        <w:ind w:left="426" w:right="260"/>
        <w:jc w:val="both"/>
        <w:rPr>
          <w:rFonts w:ascii="Arial" w:hAnsi="Arial" w:cs="Arial"/>
          <w:iCs/>
          <w:sz w:val="20"/>
          <w:szCs w:val="20"/>
        </w:rPr>
      </w:pPr>
    </w:p>
    <w:p w14:paraId="7AC54328" w14:textId="77777777" w:rsidR="00E86F17" w:rsidRDefault="00E5418E" w:rsidP="00E86F17">
      <w:pPr>
        <w:spacing w:after="120" w:line="240" w:lineRule="auto"/>
        <w:ind w:left="426" w:right="260"/>
        <w:jc w:val="both"/>
        <w:rPr>
          <w:rFonts w:ascii="Arial" w:hAnsi="Arial" w:cs="Arial"/>
          <w:iCs/>
          <w:sz w:val="20"/>
          <w:szCs w:val="20"/>
        </w:rPr>
      </w:pPr>
      <w:r w:rsidRPr="00E5418E">
        <w:rPr>
          <w:rFonts w:ascii="Arial" w:hAnsi="Arial" w:cs="Arial"/>
          <w:iCs/>
          <w:sz w:val="20"/>
          <w:szCs w:val="20"/>
        </w:rPr>
        <w:lastRenderedPageBreak/>
        <w:t>Annotated Bibliography</w:t>
      </w:r>
      <w:r w:rsidR="0027376E">
        <w:rPr>
          <w:rFonts w:ascii="Arial" w:hAnsi="Arial" w:cs="Arial"/>
          <w:iCs/>
          <w:sz w:val="20"/>
          <w:szCs w:val="20"/>
        </w:rPr>
        <w:t xml:space="preserve"> – </w:t>
      </w:r>
      <w:r w:rsidRPr="00E5418E">
        <w:rPr>
          <w:rFonts w:ascii="Arial" w:hAnsi="Arial" w:cs="Arial"/>
          <w:iCs/>
          <w:sz w:val="20"/>
          <w:szCs w:val="20"/>
        </w:rPr>
        <w:t>1</w:t>
      </w:r>
      <w:r w:rsidR="00573982">
        <w:rPr>
          <w:rFonts w:ascii="Arial" w:hAnsi="Arial" w:cs="Arial"/>
          <w:iCs/>
          <w:sz w:val="20"/>
          <w:szCs w:val="20"/>
        </w:rPr>
        <w:t>5</w:t>
      </w:r>
      <w:r w:rsidRPr="00E5418E">
        <w:rPr>
          <w:rFonts w:ascii="Arial" w:hAnsi="Arial" w:cs="Arial"/>
          <w:iCs/>
          <w:sz w:val="20"/>
          <w:szCs w:val="20"/>
        </w:rPr>
        <w:t>00 words – 20%</w:t>
      </w:r>
    </w:p>
    <w:p w14:paraId="1BDDEDCC" w14:textId="022A84DC" w:rsidR="009749DC" w:rsidRDefault="00E5418E" w:rsidP="00E86F17">
      <w:pPr>
        <w:spacing w:after="120" w:line="240" w:lineRule="auto"/>
        <w:ind w:left="426" w:right="260"/>
        <w:rPr>
          <w:rFonts w:ascii="Arial" w:hAnsi="Arial" w:cs="Arial"/>
          <w:iCs/>
          <w:sz w:val="20"/>
          <w:szCs w:val="20"/>
        </w:rPr>
      </w:pPr>
      <w:r w:rsidRPr="00E5418E">
        <w:rPr>
          <w:rFonts w:ascii="Arial" w:hAnsi="Arial" w:cs="Arial"/>
          <w:iCs/>
          <w:sz w:val="20"/>
          <w:szCs w:val="20"/>
        </w:rPr>
        <w:t xml:space="preserve">Special Study </w:t>
      </w:r>
      <w:r w:rsidR="007F04FA">
        <w:rPr>
          <w:rFonts w:ascii="Arial" w:hAnsi="Arial" w:cs="Arial"/>
          <w:iCs/>
          <w:sz w:val="20"/>
          <w:szCs w:val="20"/>
        </w:rPr>
        <w:t>research project</w:t>
      </w:r>
      <w:r w:rsidR="007F04FA" w:rsidRPr="00E5418E">
        <w:rPr>
          <w:rFonts w:ascii="Arial" w:hAnsi="Arial" w:cs="Arial"/>
          <w:iCs/>
          <w:sz w:val="20"/>
          <w:szCs w:val="20"/>
        </w:rPr>
        <w:t xml:space="preserve"> </w:t>
      </w:r>
      <w:r w:rsidRPr="00E5418E">
        <w:rPr>
          <w:rFonts w:ascii="Arial" w:hAnsi="Arial" w:cs="Arial"/>
          <w:iCs/>
          <w:sz w:val="20"/>
          <w:szCs w:val="20"/>
        </w:rPr>
        <w:t xml:space="preserve">– </w:t>
      </w:r>
      <w:r w:rsidR="00E60F4E">
        <w:rPr>
          <w:rFonts w:ascii="Arial" w:hAnsi="Arial" w:cs="Arial"/>
          <w:iCs/>
          <w:sz w:val="20"/>
          <w:szCs w:val="20"/>
        </w:rPr>
        <w:t>35</w:t>
      </w:r>
      <w:r w:rsidR="00E60F4E" w:rsidRPr="00E5418E">
        <w:rPr>
          <w:rFonts w:ascii="Arial" w:hAnsi="Arial" w:cs="Arial"/>
          <w:iCs/>
          <w:sz w:val="20"/>
          <w:szCs w:val="20"/>
        </w:rPr>
        <w:t xml:space="preserve">00 </w:t>
      </w:r>
      <w:r w:rsidRPr="00E5418E">
        <w:rPr>
          <w:rFonts w:ascii="Arial" w:hAnsi="Arial" w:cs="Arial"/>
          <w:iCs/>
          <w:sz w:val="20"/>
          <w:szCs w:val="20"/>
        </w:rPr>
        <w:t>words</w:t>
      </w:r>
      <w:r w:rsidR="0027376E">
        <w:rPr>
          <w:rFonts w:ascii="Arial" w:hAnsi="Arial" w:cs="Arial"/>
          <w:iCs/>
          <w:sz w:val="20"/>
          <w:szCs w:val="20"/>
        </w:rPr>
        <w:t xml:space="preserve"> – </w:t>
      </w:r>
      <w:r w:rsidRPr="00E5418E">
        <w:rPr>
          <w:rFonts w:ascii="Arial" w:hAnsi="Arial" w:cs="Arial"/>
          <w:iCs/>
          <w:sz w:val="20"/>
          <w:szCs w:val="20"/>
        </w:rPr>
        <w:t>80%</w:t>
      </w:r>
    </w:p>
    <w:p w14:paraId="34379057" w14:textId="77777777" w:rsidR="00E86F17" w:rsidRDefault="00E86F17" w:rsidP="00E86F17">
      <w:pPr>
        <w:spacing w:after="120" w:line="240" w:lineRule="auto"/>
        <w:ind w:left="426" w:right="260"/>
        <w:rPr>
          <w:rFonts w:ascii="Arial" w:hAnsi="Arial" w:cs="Arial"/>
          <w:iCs/>
          <w:sz w:val="20"/>
          <w:szCs w:val="20"/>
        </w:rPr>
      </w:pPr>
    </w:p>
    <w:p w14:paraId="5C7A505F" w14:textId="77777777" w:rsidR="009749DC" w:rsidRDefault="009749DC" w:rsidP="00E86F17">
      <w:pPr>
        <w:spacing w:after="120" w:line="240" w:lineRule="auto"/>
        <w:ind w:left="426" w:right="260"/>
        <w:jc w:val="both"/>
        <w:rPr>
          <w:rFonts w:ascii="Arial" w:hAnsi="Arial" w:cs="Arial"/>
          <w:iCs/>
          <w:sz w:val="20"/>
          <w:szCs w:val="20"/>
          <w:u w:val="single"/>
        </w:rPr>
      </w:pPr>
      <w:r w:rsidRPr="0034686F">
        <w:rPr>
          <w:rFonts w:ascii="Arial" w:hAnsi="Arial" w:cs="Arial"/>
          <w:iCs/>
          <w:sz w:val="20"/>
          <w:szCs w:val="20"/>
          <w:u w:val="single"/>
        </w:rPr>
        <w:t>13.2 Reassessment methods</w:t>
      </w:r>
    </w:p>
    <w:p w14:paraId="3A4DAE8A" w14:textId="77777777" w:rsidR="009749DC" w:rsidRDefault="009749DC" w:rsidP="00E86F17">
      <w:pPr>
        <w:spacing w:after="120" w:line="240" w:lineRule="auto"/>
        <w:ind w:left="426" w:right="260"/>
        <w:jc w:val="both"/>
        <w:rPr>
          <w:rFonts w:ascii="Arial" w:hAnsi="Arial" w:cs="Arial"/>
          <w:iCs/>
          <w:sz w:val="20"/>
          <w:szCs w:val="20"/>
          <w:u w:val="single"/>
        </w:rPr>
      </w:pPr>
    </w:p>
    <w:p w14:paraId="2AF131DE" w14:textId="02180DB2" w:rsidR="00373ACB" w:rsidRPr="00E86F17" w:rsidRDefault="009749DC" w:rsidP="00E86F17">
      <w:pPr>
        <w:spacing w:after="120" w:line="240" w:lineRule="auto"/>
        <w:ind w:left="426" w:right="260"/>
        <w:jc w:val="both"/>
        <w:rPr>
          <w:rFonts w:ascii="Arial" w:hAnsi="Arial" w:cs="Arial"/>
          <w:b/>
          <w:sz w:val="20"/>
          <w:szCs w:val="20"/>
        </w:rPr>
      </w:pPr>
      <w:r w:rsidRPr="0034686F">
        <w:rPr>
          <w:rFonts w:ascii="Arial" w:hAnsi="Arial" w:cs="Arial"/>
          <w:iCs/>
          <w:sz w:val="20"/>
          <w:szCs w:val="20"/>
        </w:rPr>
        <w:t>Th</w:t>
      </w:r>
      <w:r w:rsidRPr="009749DC">
        <w:rPr>
          <w:rFonts w:ascii="Arial" w:hAnsi="Arial" w:cs="Arial"/>
          <w:iCs/>
          <w:sz w:val="20"/>
          <w:szCs w:val="20"/>
        </w:rPr>
        <w:t xml:space="preserve">e module will be reassessed by </w:t>
      </w:r>
      <w:r w:rsidRPr="0034686F">
        <w:rPr>
          <w:rFonts w:ascii="Arial" w:hAnsi="Arial" w:cs="Arial"/>
          <w:iCs/>
          <w:sz w:val="20"/>
          <w:szCs w:val="20"/>
        </w:rPr>
        <w:t>like-for-like reassessment of failed individual component(s) of assessment. The reassessment</w:t>
      </w:r>
      <w:r>
        <w:rPr>
          <w:rFonts w:ascii="Arial" w:hAnsi="Arial" w:cs="Arial"/>
          <w:iCs/>
          <w:sz w:val="20"/>
          <w:szCs w:val="20"/>
        </w:rPr>
        <w:t>s</w:t>
      </w:r>
      <w:r w:rsidRPr="0034686F">
        <w:rPr>
          <w:rFonts w:ascii="Arial" w:hAnsi="Arial" w:cs="Arial"/>
          <w:iCs/>
          <w:sz w:val="20"/>
          <w:szCs w:val="20"/>
        </w:rPr>
        <w:t xml:space="preserve"> will </w:t>
      </w:r>
      <w:r>
        <w:rPr>
          <w:rFonts w:ascii="Arial" w:hAnsi="Arial" w:cs="Arial"/>
          <w:iCs/>
          <w:sz w:val="20"/>
          <w:szCs w:val="20"/>
        </w:rPr>
        <w:t>re-</w:t>
      </w:r>
      <w:r w:rsidRPr="0034686F">
        <w:rPr>
          <w:rFonts w:ascii="Arial" w:hAnsi="Arial" w:cs="Arial"/>
          <w:iCs/>
          <w:sz w:val="20"/>
          <w:szCs w:val="20"/>
        </w:rPr>
        <w:t xml:space="preserve">test </w:t>
      </w:r>
      <w:r>
        <w:rPr>
          <w:rFonts w:ascii="Arial" w:hAnsi="Arial" w:cs="Arial"/>
          <w:iCs/>
          <w:sz w:val="20"/>
          <w:szCs w:val="20"/>
        </w:rPr>
        <w:t xml:space="preserve">the </w:t>
      </w:r>
      <w:r w:rsidRPr="0034686F">
        <w:rPr>
          <w:rFonts w:ascii="Arial" w:hAnsi="Arial" w:cs="Arial"/>
          <w:iCs/>
          <w:sz w:val="20"/>
          <w:szCs w:val="20"/>
        </w:rPr>
        <w:t xml:space="preserve">learning outcomes </w:t>
      </w:r>
      <w:r>
        <w:rPr>
          <w:rFonts w:ascii="Arial" w:hAnsi="Arial" w:cs="Arial"/>
          <w:iCs/>
          <w:sz w:val="20"/>
          <w:szCs w:val="20"/>
        </w:rPr>
        <w:t>specified in s.14 of this specification</w:t>
      </w:r>
      <w:r w:rsidRPr="0034686F">
        <w:rPr>
          <w:rFonts w:ascii="Arial" w:hAnsi="Arial" w:cs="Arial"/>
          <w:iCs/>
          <w:sz w:val="20"/>
          <w:szCs w:val="20"/>
        </w:rPr>
        <w:t>.</w:t>
      </w:r>
      <w:r w:rsidR="0098505D" w:rsidRPr="009749DC">
        <w:rPr>
          <w:rFonts w:ascii="Arial" w:hAnsi="Arial" w:cs="Arial"/>
          <w:iCs/>
          <w:sz w:val="20"/>
          <w:szCs w:val="20"/>
        </w:rPr>
        <w:br/>
      </w:r>
    </w:p>
    <w:p w14:paraId="0212E665" w14:textId="77777777" w:rsidR="00274ED7" w:rsidRPr="00E86F17" w:rsidRDefault="00DF2132" w:rsidP="00E86F17">
      <w:pPr>
        <w:numPr>
          <w:ilvl w:val="0"/>
          <w:numId w:val="1"/>
        </w:numPr>
        <w:spacing w:after="120" w:line="240" w:lineRule="auto"/>
        <w:ind w:left="426" w:right="260" w:hanging="426"/>
        <w:jc w:val="both"/>
        <w:rPr>
          <w:rFonts w:ascii="Arial" w:hAnsi="Arial" w:cs="Arial"/>
          <w:b/>
          <w:sz w:val="20"/>
          <w:szCs w:val="20"/>
        </w:rPr>
      </w:pPr>
      <w:r w:rsidRPr="00E86F17">
        <w:rPr>
          <w:rFonts w:ascii="Arial" w:hAnsi="Arial" w:cs="Arial"/>
          <w:b/>
          <w:sz w:val="20"/>
          <w:szCs w:val="20"/>
        </w:rPr>
        <w:t>Map of module learning o</w:t>
      </w:r>
      <w:r w:rsidR="006F3F8B" w:rsidRPr="00E86F17">
        <w:rPr>
          <w:rFonts w:ascii="Arial" w:hAnsi="Arial" w:cs="Arial"/>
          <w:b/>
          <w:sz w:val="20"/>
          <w:szCs w:val="20"/>
        </w:rPr>
        <w:t>utcomes</w:t>
      </w:r>
      <w:r w:rsidR="00B30E07" w:rsidRPr="00E86F17">
        <w:rPr>
          <w:rFonts w:ascii="Arial" w:hAnsi="Arial" w:cs="Arial"/>
          <w:b/>
          <w:sz w:val="20"/>
          <w:szCs w:val="20"/>
        </w:rPr>
        <w:t xml:space="preserve"> (sections 8 &amp; 9)</w:t>
      </w:r>
      <w:r w:rsidR="006F3F8B" w:rsidRPr="00E86F17">
        <w:rPr>
          <w:rFonts w:ascii="Arial" w:hAnsi="Arial" w:cs="Arial"/>
          <w:b/>
          <w:sz w:val="20"/>
          <w:szCs w:val="20"/>
        </w:rPr>
        <w:t xml:space="preserve"> to </w:t>
      </w:r>
      <w:r w:rsidRPr="00E86F17">
        <w:rPr>
          <w:rFonts w:ascii="Arial" w:hAnsi="Arial" w:cs="Arial"/>
          <w:b/>
          <w:sz w:val="20"/>
          <w:szCs w:val="20"/>
        </w:rPr>
        <w:t>l</w:t>
      </w:r>
      <w:r w:rsidR="006F3F8B" w:rsidRPr="00E86F17">
        <w:rPr>
          <w:rFonts w:ascii="Arial" w:hAnsi="Arial" w:cs="Arial"/>
          <w:b/>
          <w:sz w:val="20"/>
          <w:szCs w:val="20"/>
        </w:rPr>
        <w:t>earning</w:t>
      </w:r>
      <w:r w:rsidR="00B30E07" w:rsidRPr="00E86F17">
        <w:rPr>
          <w:rFonts w:ascii="Arial" w:hAnsi="Arial" w:cs="Arial"/>
          <w:b/>
          <w:sz w:val="20"/>
          <w:szCs w:val="20"/>
        </w:rPr>
        <w:t xml:space="preserve"> and </w:t>
      </w:r>
      <w:r w:rsidRPr="00E86F17">
        <w:rPr>
          <w:rFonts w:ascii="Arial" w:hAnsi="Arial" w:cs="Arial"/>
          <w:b/>
          <w:sz w:val="20"/>
          <w:szCs w:val="20"/>
        </w:rPr>
        <w:t>t</w:t>
      </w:r>
      <w:r w:rsidR="00B30E07" w:rsidRPr="00E86F17">
        <w:rPr>
          <w:rFonts w:ascii="Arial" w:hAnsi="Arial" w:cs="Arial"/>
          <w:b/>
          <w:sz w:val="20"/>
          <w:szCs w:val="20"/>
        </w:rPr>
        <w:t xml:space="preserve">eaching </w:t>
      </w:r>
      <w:r w:rsidRPr="00E86F17">
        <w:rPr>
          <w:rFonts w:ascii="Arial" w:hAnsi="Arial" w:cs="Arial"/>
          <w:b/>
          <w:sz w:val="20"/>
          <w:szCs w:val="20"/>
        </w:rPr>
        <w:t>m</w:t>
      </w:r>
      <w:r w:rsidR="00B30E07" w:rsidRPr="00E86F17">
        <w:rPr>
          <w:rFonts w:ascii="Arial" w:hAnsi="Arial" w:cs="Arial"/>
          <w:b/>
          <w:sz w:val="20"/>
          <w:szCs w:val="20"/>
        </w:rPr>
        <w:t>ethods (section</w:t>
      </w:r>
      <w:r w:rsidR="0066061A" w:rsidRPr="00E86F17">
        <w:rPr>
          <w:rFonts w:ascii="Arial" w:hAnsi="Arial" w:cs="Arial"/>
          <w:b/>
          <w:sz w:val="20"/>
          <w:szCs w:val="20"/>
        </w:rPr>
        <w:t xml:space="preserve"> </w:t>
      </w:r>
      <w:r w:rsidR="00B30E07" w:rsidRPr="00E86F17">
        <w:rPr>
          <w:rFonts w:ascii="Arial" w:hAnsi="Arial" w:cs="Arial"/>
          <w:b/>
          <w:sz w:val="20"/>
          <w:szCs w:val="20"/>
        </w:rPr>
        <w:t>12</w:t>
      </w:r>
      <w:r w:rsidR="006F3F8B" w:rsidRPr="00E86F17">
        <w:rPr>
          <w:rFonts w:ascii="Arial" w:hAnsi="Arial" w:cs="Arial"/>
          <w:b/>
          <w:sz w:val="20"/>
          <w:szCs w:val="20"/>
        </w:rPr>
        <w:t>) and m</w:t>
      </w:r>
      <w:r w:rsidR="00B30E07" w:rsidRPr="00E86F17">
        <w:rPr>
          <w:rFonts w:ascii="Arial" w:hAnsi="Arial" w:cs="Arial"/>
          <w:b/>
          <w:sz w:val="20"/>
          <w:szCs w:val="20"/>
        </w:rPr>
        <w:t xml:space="preserve">ethods of </w:t>
      </w:r>
      <w:r w:rsidRPr="00E86F17">
        <w:rPr>
          <w:rFonts w:ascii="Arial" w:hAnsi="Arial" w:cs="Arial"/>
          <w:b/>
          <w:sz w:val="20"/>
          <w:szCs w:val="20"/>
        </w:rPr>
        <w:t>a</w:t>
      </w:r>
      <w:r w:rsidR="00B30E07" w:rsidRPr="00E86F17">
        <w:rPr>
          <w:rFonts w:ascii="Arial" w:hAnsi="Arial" w:cs="Arial"/>
          <w:b/>
          <w:sz w:val="20"/>
          <w:szCs w:val="20"/>
        </w:rPr>
        <w:t>ssessment (section 13</w:t>
      </w:r>
      <w:r w:rsidR="00EF4933" w:rsidRPr="00E86F17">
        <w:rPr>
          <w:rFonts w:ascii="Arial" w:hAnsi="Arial" w:cs="Arial"/>
          <w:b/>
          <w:sz w:val="20"/>
          <w:szCs w:val="20"/>
        </w:rPr>
        <w:t>)</w:t>
      </w:r>
    </w:p>
    <w:p w14:paraId="2A1D74E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36" w:type="pct"/>
        <w:jc w:val="center"/>
        <w:tblLook w:val="04A0" w:firstRow="1" w:lastRow="0" w:firstColumn="1" w:lastColumn="0" w:noHBand="0" w:noVBand="1"/>
      </w:tblPr>
      <w:tblGrid>
        <w:gridCol w:w="1859"/>
        <w:gridCol w:w="681"/>
        <w:gridCol w:w="681"/>
        <w:gridCol w:w="682"/>
        <w:gridCol w:w="682"/>
        <w:gridCol w:w="682"/>
        <w:gridCol w:w="682"/>
        <w:gridCol w:w="682"/>
        <w:gridCol w:w="682"/>
        <w:gridCol w:w="668"/>
        <w:gridCol w:w="668"/>
      </w:tblGrid>
      <w:tr w:rsidR="00514C9C" w:rsidRPr="00373ACB" w14:paraId="71EF4B2C" w14:textId="77777777" w:rsidTr="00514C9C">
        <w:trPr>
          <w:trHeight w:val="397"/>
          <w:jc w:val="center"/>
        </w:trPr>
        <w:tc>
          <w:tcPr>
            <w:tcW w:w="1075" w:type="pct"/>
            <w:shd w:val="clear" w:color="auto" w:fill="D9D9D9" w:themeFill="background1" w:themeFillShade="D9"/>
            <w:vAlign w:val="center"/>
          </w:tcPr>
          <w:p w14:paraId="47199A75" w14:textId="77777777" w:rsidR="00514C9C" w:rsidRPr="00373ACB" w:rsidRDefault="00514C9C" w:rsidP="00F5324B">
            <w:pPr>
              <w:spacing w:after="120"/>
              <w:rPr>
                <w:rFonts w:ascii="Arial" w:hAnsi="Arial" w:cs="Arial"/>
                <w:i/>
                <w:sz w:val="20"/>
                <w:szCs w:val="20"/>
              </w:rPr>
            </w:pPr>
            <w:r w:rsidRPr="00373ACB">
              <w:rPr>
                <w:rFonts w:ascii="Arial" w:hAnsi="Arial" w:cs="Arial"/>
                <w:b/>
                <w:sz w:val="20"/>
                <w:szCs w:val="20"/>
              </w:rPr>
              <w:t>Module learning outcome</w:t>
            </w:r>
          </w:p>
        </w:tc>
        <w:tc>
          <w:tcPr>
            <w:tcW w:w="394" w:type="pct"/>
            <w:vAlign w:val="center"/>
          </w:tcPr>
          <w:p w14:paraId="3C474642" w14:textId="05ACA0ED"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8.1</w:t>
            </w:r>
          </w:p>
        </w:tc>
        <w:tc>
          <w:tcPr>
            <w:tcW w:w="394" w:type="pct"/>
            <w:vAlign w:val="center"/>
          </w:tcPr>
          <w:p w14:paraId="155F1DF5" w14:textId="77777777"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8.2</w:t>
            </w:r>
          </w:p>
        </w:tc>
        <w:tc>
          <w:tcPr>
            <w:tcW w:w="394" w:type="pct"/>
            <w:vAlign w:val="center"/>
          </w:tcPr>
          <w:p w14:paraId="7D0CFA85" w14:textId="77777777"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8.3</w:t>
            </w:r>
          </w:p>
        </w:tc>
        <w:tc>
          <w:tcPr>
            <w:tcW w:w="394" w:type="pct"/>
            <w:vAlign w:val="center"/>
          </w:tcPr>
          <w:p w14:paraId="2261692C" w14:textId="6FD21C0F"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w:t>
            </w:r>
            <w:r>
              <w:rPr>
                <w:rFonts w:ascii="Arial" w:hAnsi="Arial" w:cs="Arial"/>
                <w:sz w:val="20"/>
                <w:szCs w:val="20"/>
              </w:rPr>
              <w:t>4</w:t>
            </w:r>
          </w:p>
        </w:tc>
        <w:tc>
          <w:tcPr>
            <w:tcW w:w="394" w:type="pct"/>
            <w:vAlign w:val="center"/>
          </w:tcPr>
          <w:p w14:paraId="6194ACF8" w14:textId="6A8B66B5"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w:t>
            </w:r>
            <w:r>
              <w:rPr>
                <w:rFonts w:ascii="Arial" w:hAnsi="Arial" w:cs="Arial"/>
                <w:sz w:val="20"/>
                <w:szCs w:val="20"/>
              </w:rPr>
              <w:t>5</w:t>
            </w:r>
          </w:p>
        </w:tc>
        <w:tc>
          <w:tcPr>
            <w:tcW w:w="394" w:type="pct"/>
            <w:vAlign w:val="center"/>
          </w:tcPr>
          <w:p w14:paraId="45E550AF" w14:textId="412951FC"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9.1</w:t>
            </w:r>
          </w:p>
        </w:tc>
        <w:tc>
          <w:tcPr>
            <w:tcW w:w="394" w:type="pct"/>
            <w:vAlign w:val="center"/>
          </w:tcPr>
          <w:p w14:paraId="200344CA" w14:textId="00F016E2"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w:t>
            </w:r>
            <w:r>
              <w:rPr>
                <w:rFonts w:ascii="Arial" w:hAnsi="Arial" w:cs="Arial"/>
                <w:sz w:val="20"/>
                <w:szCs w:val="20"/>
              </w:rPr>
              <w:t>2</w:t>
            </w:r>
          </w:p>
        </w:tc>
        <w:tc>
          <w:tcPr>
            <w:tcW w:w="394" w:type="pct"/>
            <w:vAlign w:val="center"/>
          </w:tcPr>
          <w:p w14:paraId="3872B6C0" w14:textId="15AA8983"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w:t>
            </w:r>
            <w:r>
              <w:rPr>
                <w:rFonts w:ascii="Arial" w:hAnsi="Arial" w:cs="Arial"/>
                <w:sz w:val="20"/>
                <w:szCs w:val="20"/>
              </w:rPr>
              <w:t>3</w:t>
            </w:r>
          </w:p>
        </w:tc>
        <w:tc>
          <w:tcPr>
            <w:tcW w:w="386" w:type="pct"/>
            <w:vAlign w:val="center"/>
          </w:tcPr>
          <w:p w14:paraId="362D4ECE" w14:textId="2EC863E8" w:rsidR="00514C9C" w:rsidRPr="00C65AF9" w:rsidRDefault="00514C9C" w:rsidP="0034686F">
            <w:pPr>
              <w:spacing w:after="120"/>
              <w:jc w:val="center"/>
              <w:rPr>
                <w:rFonts w:ascii="Arial" w:hAnsi="Arial" w:cs="Arial"/>
                <w:sz w:val="20"/>
                <w:szCs w:val="20"/>
              </w:rPr>
            </w:pPr>
            <w:r>
              <w:rPr>
                <w:rFonts w:ascii="Arial" w:hAnsi="Arial" w:cs="Arial"/>
                <w:sz w:val="20"/>
                <w:szCs w:val="20"/>
              </w:rPr>
              <w:t>9.4</w:t>
            </w:r>
          </w:p>
        </w:tc>
        <w:tc>
          <w:tcPr>
            <w:tcW w:w="386" w:type="pct"/>
            <w:vAlign w:val="center"/>
          </w:tcPr>
          <w:p w14:paraId="75A8B9A7" w14:textId="6A7C0E42" w:rsidR="00514C9C" w:rsidRPr="00C65AF9" w:rsidRDefault="00514C9C" w:rsidP="0034686F">
            <w:pPr>
              <w:spacing w:after="120"/>
              <w:jc w:val="center"/>
              <w:rPr>
                <w:rFonts w:ascii="Arial" w:hAnsi="Arial" w:cs="Arial"/>
                <w:sz w:val="20"/>
                <w:szCs w:val="20"/>
              </w:rPr>
            </w:pPr>
            <w:r>
              <w:rPr>
                <w:rFonts w:ascii="Arial" w:hAnsi="Arial" w:cs="Arial"/>
                <w:sz w:val="20"/>
                <w:szCs w:val="20"/>
              </w:rPr>
              <w:t>9.5</w:t>
            </w:r>
          </w:p>
        </w:tc>
      </w:tr>
      <w:tr w:rsidR="00514C9C" w:rsidRPr="00373ACB" w14:paraId="65C30CEE" w14:textId="77777777" w:rsidTr="00514C9C">
        <w:trPr>
          <w:trHeight w:val="397"/>
          <w:jc w:val="center"/>
        </w:trPr>
        <w:tc>
          <w:tcPr>
            <w:tcW w:w="1075" w:type="pct"/>
            <w:shd w:val="clear" w:color="auto" w:fill="D9D9D9" w:themeFill="background1" w:themeFillShade="D9"/>
            <w:vAlign w:val="center"/>
          </w:tcPr>
          <w:p w14:paraId="0423D6AB" w14:textId="77777777" w:rsidR="00514C9C" w:rsidRPr="00373ACB" w:rsidRDefault="00514C9C" w:rsidP="00F5324B">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4" w:type="pct"/>
            <w:vAlign w:val="center"/>
          </w:tcPr>
          <w:p w14:paraId="04BA0C5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7077BE44"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3CCB290B"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67272AFF"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56DB7ED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49D15594"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16774ECF"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7A172959"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266C89EB"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125E94E3" w14:textId="033514D3" w:rsidR="00514C9C" w:rsidRPr="007103E4" w:rsidRDefault="00514C9C" w:rsidP="0034686F">
            <w:pPr>
              <w:spacing w:after="120"/>
              <w:jc w:val="center"/>
              <w:rPr>
                <w:rFonts w:ascii="Arial" w:hAnsi="Arial" w:cs="Arial"/>
                <w:b/>
                <w:sz w:val="20"/>
                <w:szCs w:val="20"/>
              </w:rPr>
            </w:pPr>
          </w:p>
        </w:tc>
      </w:tr>
      <w:tr w:rsidR="00514C9C" w:rsidRPr="00373ACB" w14:paraId="0C591445" w14:textId="77777777" w:rsidTr="00514C9C">
        <w:trPr>
          <w:trHeight w:val="397"/>
          <w:jc w:val="center"/>
        </w:trPr>
        <w:tc>
          <w:tcPr>
            <w:tcW w:w="1075" w:type="pct"/>
            <w:vAlign w:val="center"/>
          </w:tcPr>
          <w:p w14:paraId="06D3F4E9" w14:textId="7505138E" w:rsidR="00514C9C" w:rsidRPr="007103E4" w:rsidRDefault="00514C9C" w:rsidP="00F5324B">
            <w:pPr>
              <w:spacing w:after="120"/>
              <w:rPr>
                <w:rFonts w:ascii="Arial" w:hAnsi="Arial" w:cs="Arial"/>
                <w:sz w:val="20"/>
                <w:szCs w:val="20"/>
              </w:rPr>
            </w:pPr>
            <w:r w:rsidRPr="007103E4">
              <w:rPr>
                <w:rFonts w:ascii="Arial" w:hAnsi="Arial" w:cs="Arial"/>
                <w:sz w:val="20"/>
                <w:szCs w:val="20"/>
              </w:rPr>
              <w:t>Lectures</w:t>
            </w:r>
          </w:p>
        </w:tc>
        <w:tc>
          <w:tcPr>
            <w:tcW w:w="394" w:type="pct"/>
            <w:vAlign w:val="center"/>
          </w:tcPr>
          <w:p w14:paraId="6EDF4243" w14:textId="1E8412F9"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5FDECDE" w14:textId="0D4239E3"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74C31B" w14:textId="145BCAC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6545449" w14:textId="3984BE6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26EB1C66" w14:textId="77777777" w:rsidR="00514C9C" w:rsidRPr="007103E4" w:rsidRDefault="00514C9C" w:rsidP="0034686F">
            <w:pPr>
              <w:spacing w:after="120"/>
              <w:jc w:val="center"/>
              <w:rPr>
                <w:rFonts w:ascii="Arial" w:hAnsi="Arial" w:cs="Arial"/>
                <w:sz w:val="20"/>
                <w:szCs w:val="20"/>
              </w:rPr>
            </w:pPr>
          </w:p>
        </w:tc>
        <w:tc>
          <w:tcPr>
            <w:tcW w:w="394" w:type="pct"/>
            <w:vAlign w:val="center"/>
          </w:tcPr>
          <w:p w14:paraId="499464A0" w14:textId="0A1F0F8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0B923B1" w14:textId="79239CA0"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99B1C89" w14:textId="77777777" w:rsidR="00514C9C" w:rsidRPr="007103E4" w:rsidRDefault="00514C9C" w:rsidP="0034686F">
            <w:pPr>
              <w:spacing w:after="120"/>
              <w:jc w:val="center"/>
              <w:rPr>
                <w:rFonts w:ascii="Arial" w:hAnsi="Arial" w:cs="Arial"/>
                <w:sz w:val="20"/>
                <w:szCs w:val="20"/>
              </w:rPr>
            </w:pPr>
          </w:p>
        </w:tc>
        <w:tc>
          <w:tcPr>
            <w:tcW w:w="386" w:type="pct"/>
            <w:vAlign w:val="center"/>
          </w:tcPr>
          <w:p w14:paraId="1CB6749D" w14:textId="77777777" w:rsidR="00514C9C" w:rsidRPr="007103E4" w:rsidRDefault="00514C9C" w:rsidP="0034686F">
            <w:pPr>
              <w:spacing w:after="120"/>
              <w:jc w:val="center"/>
              <w:rPr>
                <w:rFonts w:ascii="Arial" w:hAnsi="Arial" w:cs="Arial"/>
                <w:sz w:val="20"/>
                <w:szCs w:val="20"/>
              </w:rPr>
            </w:pPr>
          </w:p>
        </w:tc>
        <w:tc>
          <w:tcPr>
            <w:tcW w:w="386" w:type="pct"/>
            <w:vAlign w:val="center"/>
          </w:tcPr>
          <w:p w14:paraId="17BF685F" w14:textId="2CF3B6BE" w:rsidR="00514C9C" w:rsidRPr="007103E4" w:rsidRDefault="00514C9C" w:rsidP="0034686F">
            <w:pPr>
              <w:spacing w:after="120"/>
              <w:jc w:val="center"/>
              <w:rPr>
                <w:rFonts w:ascii="Arial" w:hAnsi="Arial" w:cs="Arial"/>
                <w:sz w:val="20"/>
                <w:szCs w:val="20"/>
              </w:rPr>
            </w:pPr>
          </w:p>
        </w:tc>
      </w:tr>
      <w:tr w:rsidR="00514C9C" w:rsidRPr="00373ACB" w14:paraId="602DFAFF" w14:textId="77777777" w:rsidTr="00514C9C">
        <w:trPr>
          <w:trHeight w:val="397"/>
          <w:jc w:val="center"/>
        </w:trPr>
        <w:tc>
          <w:tcPr>
            <w:tcW w:w="1075" w:type="pct"/>
            <w:vAlign w:val="center"/>
          </w:tcPr>
          <w:p w14:paraId="506B5DE7" w14:textId="038BCCFE" w:rsidR="00514C9C" w:rsidRPr="007103E4" w:rsidRDefault="00514C9C" w:rsidP="00F5324B">
            <w:pPr>
              <w:spacing w:after="120"/>
              <w:rPr>
                <w:rFonts w:ascii="Arial" w:hAnsi="Arial" w:cs="Arial"/>
                <w:sz w:val="20"/>
                <w:szCs w:val="20"/>
              </w:rPr>
            </w:pPr>
            <w:r w:rsidRPr="007103E4">
              <w:rPr>
                <w:rFonts w:ascii="Arial" w:hAnsi="Arial" w:cs="Arial"/>
                <w:sz w:val="20"/>
                <w:szCs w:val="20"/>
              </w:rPr>
              <w:t>Seminars</w:t>
            </w:r>
          </w:p>
        </w:tc>
        <w:tc>
          <w:tcPr>
            <w:tcW w:w="394" w:type="pct"/>
            <w:vAlign w:val="center"/>
          </w:tcPr>
          <w:p w14:paraId="5229A299" w14:textId="3AE7F86E" w:rsidR="00514C9C" w:rsidRPr="007103E4" w:rsidRDefault="00514C9C" w:rsidP="0034686F">
            <w:pPr>
              <w:spacing w:after="120"/>
              <w:jc w:val="center"/>
              <w:rPr>
                <w:rFonts w:ascii="Arial" w:hAnsi="Arial" w:cs="Arial"/>
                <w:sz w:val="20"/>
                <w:szCs w:val="20"/>
              </w:rPr>
            </w:pPr>
          </w:p>
        </w:tc>
        <w:tc>
          <w:tcPr>
            <w:tcW w:w="394" w:type="pct"/>
            <w:vAlign w:val="center"/>
          </w:tcPr>
          <w:p w14:paraId="224F95E2" w14:textId="5A7A40C7" w:rsidR="00514C9C" w:rsidRPr="007103E4" w:rsidRDefault="00514C9C" w:rsidP="0034686F">
            <w:pPr>
              <w:spacing w:after="120"/>
              <w:jc w:val="center"/>
              <w:rPr>
                <w:rFonts w:ascii="Arial" w:hAnsi="Arial" w:cs="Arial"/>
                <w:sz w:val="20"/>
                <w:szCs w:val="20"/>
              </w:rPr>
            </w:pPr>
          </w:p>
        </w:tc>
        <w:tc>
          <w:tcPr>
            <w:tcW w:w="394" w:type="pct"/>
            <w:vAlign w:val="center"/>
          </w:tcPr>
          <w:p w14:paraId="6235D1D2" w14:textId="44B9BC7A" w:rsidR="00514C9C" w:rsidRPr="007103E4" w:rsidRDefault="00514C9C" w:rsidP="0034686F">
            <w:pPr>
              <w:spacing w:after="120"/>
              <w:jc w:val="center"/>
              <w:rPr>
                <w:rFonts w:ascii="Arial" w:hAnsi="Arial" w:cs="Arial"/>
                <w:sz w:val="20"/>
                <w:szCs w:val="20"/>
              </w:rPr>
            </w:pPr>
          </w:p>
        </w:tc>
        <w:tc>
          <w:tcPr>
            <w:tcW w:w="394" w:type="pct"/>
            <w:vAlign w:val="center"/>
          </w:tcPr>
          <w:p w14:paraId="57F3837B" w14:textId="175D6AC8" w:rsidR="00514C9C" w:rsidRPr="007103E4" w:rsidRDefault="00514C9C" w:rsidP="0034686F">
            <w:pPr>
              <w:spacing w:after="120"/>
              <w:jc w:val="center"/>
              <w:rPr>
                <w:rFonts w:ascii="Arial" w:hAnsi="Arial" w:cs="Arial"/>
                <w:sz w:val="20"/>
                <w:szCs w:val="20"/>
              </w:rPr>
            </w:pPr>
          </w:p>
        </w:tc>
        <w:tc>
          <w:tcPr>
            <w:tcW w:w="394" w:type="pct"/>
            <w:vAlign w:val="center"/>
          </w:tcPr>
          <w:p w14:paraId="1B61F402" w14:textId="717F7AA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1434533" w14:textId="3A81B687"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BB0011A" w14:textId="69F3572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A271431" w14:textId="4FA98D71" w:rsidR="00514C9C" w:rsidRPr="007103E4" w:rsidRDefault="00514C9C" w:rsidP="0034686F">
            <w:pPr>
              <w:spacing w:after="120"/>
              <w:jc w:val="center"/>
              <w:rPr>
                <w:rFonts w:ascii="Arial" w:hAnsi="Arial" w:cs="Arial"/>
                <w:sz w:val="20"/>
                <w:szCs w:val="20"/>
              </w:rPr>
            </w:pPr>
          </w:p>
        </w:tc>
        <w:tc>
          <w:tcPr>
            <w:tcW w:w="386" w:type="pct"/>
            <w:vAlign w:val="center"/>
          </w:tcPr>
          <w:p w14:paraId="220A01EE" w14:textId="77777777" w:rsidR="00514C9C" w:rsidRDefault="00514C9C" w:rsidP="0034686F">
            <w:pPr>
              <w:spacing w:after="120"/>
              <w:jc w:val="center"/>
              <w:rPr>
                <w:rFonts w:ascii="Arial" w:hAnsi="Arial" w:cs="Arial"/>
                <w:sz w:val="20"/>
                <w:szCs w:val="20"/>
              </w:rPr>
            </w:pPr>
          </w:p>
        </w:tc>
        <w:tc>
          <w:tcPr>
            <w:tcW w:w="386" w:type="pct"/>
            <w:vAlign w:val="center"/>
          </w:tcPr>
          <w:p w14:paraId="7F91E192" w14:textId="1EA4597E" w:rsidR="00514C9C" w:rsidRDefault="00514C9C" w:rsidP="0034686F">
            <w:pPr>
              <w:spacing w:after="120"/>
              <w:jc w:val="center"/>
              <w:rPr>
                <w:rFonts w:ascii="Arial" w:hAnsi="Arial" w:cs="Arial"/>
                <w:sz w:val="20"/>
                <w:szCs w:val="20"/>
              </w:rPr>
            </w:pPr>
          </w:p>
        </w:tc>
      </w:tr>
      <w:tr w:rsidR="00514C9C" w:rsidRPr="00373ACB" w14:paraId="58971F62" w14:textId="77777777" w:rsidTr="00514C9C">
        <w:trPr>
          <w:trHeight w:val="397"/>
          <w:jc w:val="center"/>
        </w:trPr>
        <w:tc>
          <w:tcPr>
            <w:tcW w:w="1075" w:type="pct"/>
            <w:vAlign w:val="center"/>
          </w:tcPr>
          <w:p w14:paraId="5F02FB20" w14:textId="77777777" w:rsidR="00514C9C" w:rsidRPr="007103E4" w:rsidRDefault="00514C9C" w:rsidP="00F5324B">
            <w:pPr>
              <w:spacing w:after="120"/>
              <w:rPr>
                <w:rFonts w:ascii="Arial" w:hAnsi="Arial" w:cs="Arial"/>
                <w:sz w:val="20"/>
                <w:szCs w:val="20"/>
              </w:rPr>
            </w:pPr>
            <w:r>
              <w:rPr>
                <w:rFonts w:ascii="Arial" w:hAnsi="Arial" w:cs="Arial"/>
                <w:sz w:val="20"/>
                <w:szCs w:val="20"/>
              </w:rPr>
              <w:t>Private Study</w:t>
            </w:r>
          </w:p>
        </w:tc>
        <w:tc>
          <w:tcPr>
            <w:tcW w:w="394" w:type="pct"/>
            <w:vAlign w:val="center"/>
          </w:tcPr>
          <w:p w14:paraId="23D086B1" w14:textId="68F78764"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1CC0AB2" w14:textId="584DFAC0"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BC312B3" w14:textId="3F5760D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A2B38FA" w14:textId="122F7D9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F3722A9" w14:textId="5A9710F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E7A4847" w14:textId="131A4E4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FC0553" w14:textId="42B6AF5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46544A7" w14:textId="07D2004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06396E94" w14:textId="50268CA6" w:rsidR="00514C9C"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607DDA4E" w14:textId="525FCEDF" w:rsidR="00514C9C" w:rsidRDefault="00514C9C" w:rsidP="0034686F">
            <w:pPr>
              <w:spacing w:after="120"/>
              <w:jc w:val="center"/>
              <w:rPr>
                <w:rFonts w:ascii="Arial" w:hAnsi="Arial" w:cs="Arial"/>
                <w:sz w:val="20"/>
                <w:szCs w:val="20"/>
              </w:rPr>
            </w:pPr>
            <w:r>
              <w:rPr>
                <w:rFonts w:ascii="Arial" w:hAnsi="Arial" w:cs="Arial"/>
                <w:sz w:val="20"/>
                <w:szCs w:val="20"/>
              </w:rPr>
              <w:t>x</w:t>
            </w:r>
          </w:p>
        </w:tc>
      </w:tr>
      <w:tr w:rsidR="00514C9C" w:rsidRPr="00373ACB" w14:paraId="4420BE31" w14:textId="77777777" w:rsidTr="00514C9C">
        <w:trPr>
          <w:trHeight w:val="397"/>
          <w:jc w:val="center"/>
        </w:trPr>
        <w:tc>
          <w:tcPr>
            <w:tcW w:w="1075" w:type="pct"/>
            <w:shd w:val="clear" w:color="auto" w:fill="D9D9D9" w:themeFill="background1" w:themeFillShade="D9"/>
            <w:vAlign w:val="center"/>
          </w:tcPr>
          <w:p w14:paraId="389BCD31" w14:textId="77777777" w:rsidR="00514C9C" w:rsidRPr="00373ACB" w:rsidRDefault="00514C9C" w:rsidP="00F5324B">
            <w:pPr>
              <w:spacing w:after="120"/>
              <w:rPr>
                <w:rFonts w:ascii="Arial" w:hAnsi="Arial" w:cs="Arial"/>
                <w:b/>
                <w:sz w:val="20"/>
                <w:szCs w:val="20"/>
              </w:rPr>
            </w:pPr>
            <w:r w:rsidRPr="00373ACB">
              <w:rPr>
                <w:rFonts w:ascii="Arial" w:hAnsi="Arial" w:cs="Arial"/>
                <w:b/>
                <w:sz w:val="20"/>
                <w:szCs w:val="20"/>
              </w:rPr>
              <w:t>Assessment method</w:t>
            </w:r>
          </w:p>
        </w:tc>
        <w:tc>
          <w:tcPr>
            <w:tcW w:w="394" w:type="pct"/>
            <w:vAlign w:val="center"/>
          </w:tcPr>
          <w:p w14:paraId="5A26A180"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170EA3D6"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7B017A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5AAA50D3"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00C53C9C"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CD03927"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41E143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30F9FDA3"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7E39056B"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6CBCDF2D" w14:textId="6453CEFF" w:rsidR="00514C9C" w:rsidRPr="007103E4" w:rsidRDefault="00514C9C" w:rsidP="0034686F">
            <w:pPr>
              <w:spacing w:after="120"/>
              <w:jc w:val="center"/>
              <w:rPr>
                <w:rFonts w:ascii="Arial" w:hAnsi="Arial" w:cs="Arial"/>
                <w:b/>
                <w:sz w:val="20"/>
                <w:szCs w:val="20"/>
              </w:rPr>
            </w:pPr>
          </w:p>
        </w:tc>
      </w:tr>
      <w:tr w:rsidR="00514C9C" w:rsidRPr="00373ACB" w14:paraId="7D26F821" w14:textId="77777777" w:rsidTr="00514C9C">
        <w:trPr>
          <w:trHeight w:val="397"/>
          <w:jc w:val="center"/>
        </w:trPr>
        <w:tc>
          <w:tcPr>
            <w:tcW w:w="1075" w:type="pct"/>
            <w:vAlign w:val="center"/>
          </w:tcPr>
          <w:p w14:paraId="372D47D4" w14:textId="03FAC4C1" w:rsidR="00514C9C" w:rsidRPr="00D71DF4" w:rsidRDefault="00514C9C" w:rsidP="00F5324B">
            <w:pPr>
              <w:spacing w:after="120"/>
              <w:rPr>
                <w:rFonts w:ascii="Arial" w:hAnsi="Arial" w:cs="Arial"/>
                <w:sz w:val="20"/>
                <w:szCs w:val="20"/>
              </w:rPr>
            </w:pPr>
            <w:r>
              <w:rPr>
                <w:rFonts w:ascii="Arial" w:hAnsi="Arial" w:cs="Arial"/>
                <w:sz w:val="20"/>
                <w:szCs w:val="20"/>
              </w:rPr>
              <w:t>Annotated Bibliography (20%)</w:t>
            </w:r>
          </w:p>
        </w:tc>
        <w:tc>
          <w:tcPr>
            <w:tcW w:w="394" w:type="pct"/>
            <w:vAlign w:val="center"/>
          </w:tcPr>
          <w:p w14:paraId="4EE6753C" w14:textId="2D186EC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A2C66DE" w14:textId="308F781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4735E51" w14:textId="538FB15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346D550" w14:textId="2EBF195F"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C41D483" w14:textId="19C5414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05034B7" w14:textId="718E0755"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2A3F2AD" w14:textId="2850852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6A17B30" w14:textId="44CCFE0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31486995" w14:textId="1FD8D0D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1A0EDB3" w14:textId="4D04FC4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r>
      <w:tr w:rsidR="00514C9C" w:rsidRPr="00373ACB" w14:paraId="60961358" w14:textId="77777777" w:rsidTr="00514C9C">
        <w:trPr>
          <w:trHeight w:val="397"/>
          <w:jc w:val="center"/>
        </w:trPr>
        <w:tc>
          <w:tcPr>
            <w:tcW w:w="1075" w:type="pct"/>
            <w:vAlign w:val="center"/>
          </w:tcPr>
          <w:p w14:paraId="5B09F68F" w14:textId="1D51201F" w:rsidR="00514C9C" w:rsidRPr="00D71DF4" w:rsidRDefault="00514C9C" w:rsidP="00F5324B">
            <w:pPr>
              <w:spacing w:after="120"/>
              <w:rPr>
                <w:rFonts w:ascii="Arial" w:hAnsi="Arial" w:cs="Arial"/>
                <w:sz w:val="20"/>
                <w:szCs w:val="20"/>
              </w:rPr>
            </w:pPr>
            <w:r>
              <w:rPr>
                <w:rFonts w:ascii="Arial" w:hAnsi="Arial" w:cs="Arial"/>
                <w:sz w:val="20"/>
                <w:szCs w:val="20"/>
              </w:rPr>
              <w:t>Special Study research project (80%)</w:t>
            </w:r>
          </w:p>
        </w:tc>
        <w:tc>
          <w:tcPr>
            <w:tcW w:w="394" w:type="pct"/>
            <w:vAlign w:val="center"/>
          </w:tcPr>
          <w:p w14:paraId="6DBE3ADC" w14:textId="2AF79E84"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5E50B53" w14:textId="0992BC11"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2EF03D4E" w14:textId="6B7A4169"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EFADB5C" w14:textId="494465A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3BD4AC0" w14:textId="5F7DB38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A70F3B4" w14:textId="1AA5C54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8001835" w14:textId="46D8D13F"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6AD8C4E" w14:textId="52499A3D"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D884B75" w14:textId="31BFA5D2" w:rsidR="00514C9C"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50A17ECD" w14:textId="3FC9576A" w:rsidR="00514C9C" w:rsidRDefault="00514C9C" w:rsidP="0034686F">
            <w:pPr>
              <w:spacing w:after="120"/>
              <w:jc w:val="center"/>
              <w:rPr>
                <w:rFonts w:ascii="Arial" w:hAnsi="Arial" w:cs="Arial"/>
                <w:sz w:val="20"/>
                <w:szCs w:val="20"/>
              </w:rPr>
            </w:pPr>
            <w:r>
              <w:rPr>
                <w:rFonts w:ascii="Arial" w:hAnsi="Arial" w:cs="Arial"/>
                <w:sz w:val="20"/>
                <w:szCs w:val="20"/>
              </w:rPr>
              <w:t>x</w:t>
            </w:r>
          </w:p>
        </w:tc>
      </w:tr>
    </w:tbl>
    <w:p w14:paraId="2D96AFDE" w14:textId="77777777" w:rsidR="007A6245" w:rsidRPr="00373ACB" w:rsidRDefault="007A6245" w:rsidP="0066061A">
      <w:pPr>
        <w:spacing w:after="120" w:line="240" w:lineRule="auto"/>
        <w:ind w:left="426" w:right="260"/>
        <w:rPr>
          <w:rFonts w:ascii="Arial" w:hAnsi="Arial" w:cs="Arial"/>
          <w:b/>
          <w:iCs/>
          <w:sz w:val="20"/>
          <w:szCs w:val="20"/>
        </w:rPr>
      </w:pPr>
    </w:p>
    <w:p w14:paraId="08E595D8" w14:textId="3BFFF4F1" w:rsidR="00DF2132" w:rsidRDefault="00DF2132" w:rsidP="00E86F17">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648822" w14:textId="77777777" w:rsidR="00E86F17" w:rsidRPr="00DF2132" w:rsidRDefault="00E86F17" w:rsidP="00E86F17">
      <w:pPr>
        <w:spacing w:after="120" w:line="240" w:lineRule="auto"/>
        <w:ind w:left="426" w:right="260"/>
        <w:jc w:val="both"/>
        <w:rPr>
          <w:rFonts w:ascii="Arial" w:hAnsi="Arial" w:cs="Arial"/>
          <w:sz w:val="20"/>
          <w:szCs w:val="20"/>
        </w:rPr>
      </w:pPr>
    </w:p>
    <w:p w14:paraId="6AB229CD" w14:textId="77777777" w:rsidR="00DF2132" w:rsidRDefault="00DF2132" w:rsidP="00E86F17">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FFA8F5D" w14:textId="77777777" w:rsidR="00DF2132" w:rsidRPr="00A7491F" w:rsidRDefault="00DF2132" w:rsidP="00E86F17">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A5AC038" w14:textId="77777777" w:rsidR="00971465" w:rsidRPr="00D023E6"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68D1196" w14:textId="77777777" w:rsidR="00971465" w:rsidRPr="00D023E6"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CE8A140" w14:textId="77777777" w:rsidR="00971465" w:rsidRPr="00D023E6"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37EF476" w14:textId="77777777" w:rsidR="00971465"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750F0A" w14:textId="5E59E071" w:rsidR="00DF2132" w:rsidRDefault="00971465" w:rsidP="00E86F17">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9043182" w14:textId="77777777" w:rsidR="00E86F17" w:rsidRPr="00971465" w:rsidRDefault="00E86F17" w:rsidP="00E86F17">
      <w:pPr>
        <w:pStyle w:val="ListParagraph"/>
        <w:spacing w:after="120" w:line="240" w:lineRule="auto"/>
        <w:ind w:left="1080" w:right="260"/>
        <w:jc w:val="both"/>
        <w:rPr>
          <w:rFonts w:ascii="Arial" w:hAnsi="Arial" w:cs="Arial"/>
          <w:sz w:val="20"/>
          <w:szCs w:val="20"/>
        </w:rPr>
      </w:pPr>
    </w:p>
    <w:p w14:paraId="0DCEA0A4" w14:textId="77777777" w:rsidR="009A2D37" w:rsidRPr="00A7491F" w:rsidRDefault="00DF2132" w:rsidP="00E86F17">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AF57B49" w14:textId="70EC15A0" w:rsidR="009A2D37" w:rsidRDefault="00971465" w:rsidP="00E86F17">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6461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C068D51" w14:textId="77777777" w:rsidR="00E86F17" w:rsidRPr="00373ACB" w:rsidRDefault="00E86F17" w:rsidP="00E86F17">
      <w:pPr>
        <w:spacing w:after="120" w:line="240" w:lineRule="auto"/>
        <w:ind w:left="426" w:right="260"/>
        <w:jc w:val="both"/>
        <w:rPr>
          <w:rFonts w:ascii="Arial" w:hAnsi="Arial" w:cs="Arial"/>
          <w:iCs/>
          <w:sz w:val="20"/>
          <w:szCs w:val="20"/>
        </w:rPr>
      </w:pPr>
    </w:p>
    <w:p w14:paraId="468772D7"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881C5A0" w14:textId="423CF313" w:rsidR="00DF2132" w:rsidRDefault="0066061A" w:rsidP="00E86F17">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74601AF" w14:textId="77777777" w:rsidR="00573982" w:rsidRDefault="00573982" w:rsidP="00E86F17">
      <w:pPr>
        <w:spacing w:after="120" w:line="240" w:lineRule="auto"/>
        <w:ind w:left="426" w:right="260"/>
        <w:jc w:val="both"/>
        <w:rPr>
          <w:rFonts w:ascii="Arial" w:hAnsi="Arial" w:cs="Arial"/>
          <w:iCs/>
          <w:sz w:val="20"/>
          <w:szCs w:val="20"/>
        </w:rPr>
      </w:pPr>
    </w:p>
    <w:p w14:paraId="458738C2" w14:textId="77777777" w:rsidR="00DF2132" w:rsidRPr="00DF2132" w:rsidRDefault="00DF2132" w:rsidP="00E86F17">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3AE2250" w14:textId="638A11A0" w:rsidR="00DF2132" w:rsidRPr="00373ACB" w:rsidRDefault="00795360" w:rsidP="00E86F17">
      <w:pPr>
        <w:spacing w:after="120" w:line="240" w:lineRule="auto"/>
        <w:ind w:left="426" w:right="260"/>
        <w:jc w:val="both"/>
        <w:rPr>
          <w:rFonts w:ascii="Arial" w:hAnsi="Arial" w:cs="Arial"/>
          <w:iCs/>
          <w:sz w:val="20"/>
          <w:szCs w:val="20"/>
        </w:rPr>
      </w:pPr>
      <w:r>
        <w:rPr>
          <w:rFonts w:ascii="Arial" w:hAnsi="Arial" w:cs="Arial"/>
          <w:iCs/>
          <w:sz w:val="20"/>
          <w:szCs w:val="20"/>
        </w:rPr>
        <w:t>The course explicitly engages with current debates on the interface between public law, international law and global governance. Numerous authors from international jurisdictions are incorporated into the core reading. The module equips to engage with the changing landscape of domestic and international regulatory governance.</w:t>
      </w:r>
    </w:p>
    <w:p w14:paraId="29A57374" w14:textId="77777777" w:rsidR="001611D0" w:rsidRDefault="001611D0" w:rsidP="001611D0">
      <w:pPr>
        <w:spacing w:line="240" w:lineRule="auto"/>
        <w:rPr>
          <w:rFonts w:ascii="Arial" w:hAnsi="Arial" w:cs="Arial"/>
          <w:sz w:val="20"/>
          <w:szCs w:val="20"/>
        </w:rPr>
      </w:pPr>
    </w:p>
    <w:p w14:paraId="4B4AEC5A" w14:textId="77777777" w:rsidR="001611D0" w:rsidRDefault="001611D0" w:rsidP="001611D0">
      <w:pPr>
        <w:spacing w:line="240" w:lineRule="auto"/>
        <w:rPr>
          <w:rFonts w:ascii="Arial" w:hAnsi="Arial" w:cs="Arial"/>
          <w:sz w:val="20"/>
          <w:szCs w:val="20"/>
        </w:rPr>
      </w:pPr>
    </w:p>
    <w:p w14:paraId="145A0FEA" w14:textId="77777777" w:rsidR="001611D0" w:rsidRDefault="001611D0" w:rsidP="001611D0">
      <w:pPr>
        <w:spacing w:line="240" w:lineRule="auto"/>
        <w:rPr>
          <w:rFonts w:ascii="Arial" w:hAnsi="Arial" w:cs="Arial"/>
          <w:sz w:val="20"/>
          <w:szCs w:val="20"/>
        </w:rPr>
      </w:pPr>
    </w:p>
    <w:p w14:paraId="5E2147F7" w14:textId="77777777" w:rsidR="001611D0" w:rsidRDefault="001611D0" w:rsidP="001611D0">
      <w:pPr>
        <w:spacing w:line="240" w:lineRule="auto"/>
        <w:rPr>
          <w:rFonts w:ascii="Arial" w:hAnsi="Arial" w:cs="Arial"/>
          <w:sz w:val="20"/>
          <w:szCs w:val="20"/>
        </w:rPr>
      </w:pPr>
    </w:p>
    <w:p w14:paraId="3DD2C544" w14:textId="77777777" w:rsidR="001611D0" w:rsidRDefault="001611D0" w:rsidP="001611D0">
      <w:pPr>
        <w:spacing w:line="240" w:lineRule="auto"/>
        <w:rPr>
          <w:rFonts w:ascii="Arial" w:hAnsi="Arial" w:cs="Arial"/>
          <w:sz w:val="20"/>
          <w:szCs w:val="20"/>
        </w:rPr>
      </w:pPr>
    </w:p>
    <w:p w14:paraId="2252B5FB" w14:textId="77777777" w:rsidR="007A45E6" w:rsidRDefault="007A45E6">
      <w:pPr>
        <w:rPr>
          <w:rFonts w:ascii="Arial" w:hAnsi="Arial" w:cs="Arial"/>
          <w:b/>
          <w:sz w:val="20"/>
          <w:szCs w:val="20"/>
        </w:rPr>
      </w:pPr>
      <w:r>
        <w:rPr>
          <w:rFonts w:ascii="Arial" w:hAnsi="Arial" w:cs="Arial"/>
          <w:b/>
          <w:sz w:val="20"/>
          <w:szCs w:val="20"/>
        </w:rPr>
        <w:br w:type="page"/>
      </w:r>
    </w:p>
    <w:p w14:paraId="592FA183" w14:textId="70CA7761" w:rsidR="00441E76" w:rsidRPr="001611D0" w:rsidRDefault="00422B69" w:rsidP="001611D0">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5408C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E1097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19D6C1AB" w14:textId="77777777" w:rsidTr="0034686F">
        <w:trPr>
          <w:trHeight w:val="317"/>
        </w:trPr>
        <w:tc>
          <w:tcPr>
            <w:tcW w:w="744" w:type="pct"/>
          </w:tcPr>
          <w:p w14:paraId="6933FD6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0A8D51F5"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6A8DC8F1" w14:textId="12682F60"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5C62B4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51B14CA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4558012" w14:textId="77777777" w:rsidTr="0034686F">
        <w:trPr>
          <w:trHeight w:val="305"/>
        </w:trPr>
        <w:tc>
          <w:tcPr>
            <w:tcW w:w="744" w:type="pct"/>
          </w:tcPr>
          <w:p w14:paraId="5ED08187" w14:textId="0C23E31D" w:rsidR="00422B69" w:rsidRPr="00373ACB" w:rsidRDefault="001611D0"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00061208" w14:textId="4C8B03F6" w:rsidR="00422B69" w:rsidRPr="00373ACB" w:rsidRDefault="001611D0"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3EE654C" w14:textId="57CC94D8" w:rsidR="00422B69" w:rsidRPr="00373ACB" w:rsidRDefault="001611D0"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6BB0C46A" w14:textId="5E76FCFB" w:rsidR="00422B69" w:rsidRPr="00373ACB" w:rsidRDefault="001611D0"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776BF9A7" w14:textId="15D41336" w:rsidR="00422B69" w:rsidRPr="00373ACB" w:rsidRDefault="001611D0"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509C9C94" w14:textId="77777777" w:rsidTr="0034686F">
        <w:trPr>
          <w:trHeight w:val="305"/>
        </w:trPr>
        <w:tc>
          <w:tcPr>
            <w:tcW w:w="744" w:type="pct"/>
          </w:tcPr>
          <w:p w14:paraId="5F1EE484" w14:textId="77777777" w:rsidR="00422B69" w:rsidRPr="00373ACB" w:rsidRDefault="00422B69" w:rsidP="0066061A">
            <w:pPr>
              <w:spacing w:after="120"/>
              <w:ind w:right="-330"/>
              <w:rPr>
                <w:rFonts w:ascii="Arial" w:hAnsi="Arial" w:cs="Arial"/>
                <w:sz w:val="20"/>
                <w:szCs w:val="20"/>
              </w:rPr>
            </w:pPr>
          </w:p>
        </w:tc>
        <w:tc>
          <w:tcPr>
            <w:tcW w:w="675" w:type="pct"/>
          </w:tcPr>
          <w:p w14:paraId="3F317BB6" w14:textId="77777777" w:rsidR="00422B69" w:rsidRPr="00373ACB" w:rsidRDefault="00422B69" w:rsidP="0066061A">
            <w:pPr>
              <w:spacing w:after="120"/>
              <w:ind w:right="-330"/>
              <w:rPr>
                <w:rFonts w:ascii="Arial" w:hAnsi="Arial" w:cs="Arial"/>
                <w:sz w:val="20"/>
                <w:szCs w:val="20"/>
              </w:rPr>
            </w:pPr>
          </w:p>
        </w:tc>
        <w:tc>
          <w:tcPr>
            <w:tcW w:w="1116" w:type="pct"/>
          </w:tcPr>
          <w:p w14:paraId="6863D433" w14:textId="77777777" w:rsidR="00422B69" w:rsidRPr="00373ACB" w:rsidRDefault="00422B69" w:rsidP="0066061A">
            <w:pPr>
              <w:spacing w:after="120"/>
              <w:ind w:right="-330"/>
              <w:rPr>
                <w:rFonts w:ascii="Arial" w:hAnsi="Arial" w:cs="Arial"/>
                <w:sz w:val="20"/>
                <w:szCs w:val="20"/>
              </w:rPr>
            </w:pPr>
          </w:p>
        </w:tc>
        <w:tc>
          <w:tcPr>
            <w:tcW w:w="1267" w:type="pct"/>
          </w:tcPr>
          <w:p w14:paraId="58D0959F" w14:textId="77777777" w:rsidR="00422B69" w:rsidRPr="00373ACB" w:rsidRDefault="00422B69" w:rsidP="0066061A">
            <w:pPr>
              <w:spacing w:after="120"/>
              <w:ind w:right="-330"/>
              <w:rPr>
                <w:rFonts w:ascii="Arial" w:hAnsi="Arial" w:cs="Arial"/>
                <w:sz w:val="20"/>
                <w:szCs w:val="20"/>
              </w:rPr>
            </w:pPr>
          </w:p>
        </w:tc>
        <w:tc>
          <w:tcPr>
            <w:tcW w:w="1198" w:type="pct"/>
          </w:tcPr>
          <w:p w14:paraId="5508E095" w14:textId="77777777" w:rsidR="00422B69" w:rsidRPr="00373ACB" w:rsidRDefault="00422B69" w:rsidP="0066061A">
            <w:pPr>
              <w:spacing w:after="120"/>
              <w:ind w:right="-330"/>
              <w:rPr>
                <w:rFonts w:ascii="Arial" w:hAnsi="Arial" w:cs="Arial"/>
                <w:sz w:val="20"/>
                <w:szCs w:val="20"/>
              </w:rPr>
            </w:pPr>
          </w:p>
        </w:tc>
      </w:tr>
    </w:tbl>
    <w:p w14:paraId="232FBB8D" w14:textId="45301FC9" w:rsidR="00511D40" w:rsidRDefault="00511D40" w:rsidP="0066061A">
      <w:pPr>
        <w:spacing w:after="120" w:line="240" w:lineRule="auto"/>
        <w:ind w:right="-330"/>
        <w:rPr>
          <w:rFonts w:ascii="Arial" w:hAnsi="Arial" w:cs="Arial"/>
          <w:sz w:val="20"/>
          <w:szCs w:val="20"/>
        </w:rPr>
      </w:pPr>
    </w:p>
    <w:p w14:paraId="6240478C" w14:textId="09BD60B5" w:rsidR="00D83563" w:rsidRPr="00511D40" w:rsidRDefault="00D83563" w:rsidP="00511D40">
      <w:pPr>
        <w:tabs>
          <w:tab w:val="left" w:pos="3802"/>
        </w:tabs>
        <w:rPr>
          <w:rFonts w:ascii="Arial" w:hAnsi="Arial" w:cs="Arial"/>
          <w:sz w:val="20"/>
          <w:szCs w:val="20"/>
        </w:rPr>
      </w:pPr>
    </w:p>
    <w:sectPr w:rsidR="00D83563" w:rsidRPr="00511D40" w:rsidSect="00E86F1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AFC5" w14:textId="77777777" w:rsidR="009F495D" w:rsidRDefault="009F495D" w:rsidP="009A2D37">
      <w:pPr>
        <w:spacing w:after="0" w:line="240" w:lineRule="auto"/>
      </w:pPr>
      <w:r>
        <w:separator/>
      </w:r>
    </w:p>
  </w:endnote>
  <w:endnote w:type="continuationSeparator" w:id="0">
    <w:p w14:paraId="2E689F47" w14:textId="77777777" w:rsidR="009F495D" w:rsidRDefault="009F495D" w:rsidP="009A2D37">
      <w:pPr>
        <w:spacing w:after="0" w:line="240" w:lineRule="auto"/>
      </w:pPr>
      <w:r>
        <w:continuationSeparator/>
      </w:r>
    </w:p>
  </w:endnote>
  <w:endnote w:type="continuationNotice" w:id="1">
    <w:p w14:paraId="39CF860C" w14:textId="77777777" w:rsidR="009F495D" w:rsidRDefault="009F4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5EAB" w14:textId="77777777" w:rsidR="00476496" w:rsidRDefault="00476496" w:rsidP="009A2D37">
    <w:pPr>
      <w:pStyle w:val="Footer"/>
      <w:jc w:val="center"/>
    </w:pPr>
  </w:p>
  <w:p w14:paraId="05482F01" w14:textId="6B036B23" w:rsidR="003E45F0" w:rsidRPr="00511D40" w:rsidRDefault="003E6F2D" w:rsidP="009A2D37">
    <w:pPr>
      <w:pStyle w:val="Footer"/>
      <w:jc w:val="center"/>
    </w:pPr>
    <w:sdt>
      <w:sdtPr>
        <w:id w:val="1970698693"/>
        <w:docPartObj>
          <w:docPartGallery w:val="Page Numbers (Bottom of Page)"/>
          <w:docPartUnique/>
        </w:docPartObj>
      </w:sdtPr>
      <w:sdtEndPr/>
      <w:sdtContent>
        <w:r w:rsidR="003E45F0" w:rsidRPr="00511D40">
          <w:fldChar w:fldCharType="begin"/>
        </w:r>
        <w:r w:rsidR="003E45F0" w:rsidRPr="00511D40">
          <w:instrText xml:space="preserve"> PAGE   \* MERGEFORMAT </w:instrText>
        </w:r>
        <w:r w:rsidR="003E45F0" w:rsidRPr="00511D40">
          <w:fldChar w:fldCharType="separate"/>
        </w:r>
        <w:r w:rsidR="00CD38A7">
          <w:rPr>
            <w:noProof/>
          </w:rPr>
          <w:t>5</w:t>
        </w:r>
        <w:r w:rsidR="003E45F0" w:rsidRPr="00511D40">
          <w:rPr>
            <w:noProof/>
          </w:rPr>
          <w:fldChar w:fldCharType="end"/>
        </w:r>
      </w:sdtContent>
    </w:sdt>
  </w:p>
  <w:p w14:paraId="3D3FDAB5" w14:textId="4C1E6054" w:rsidR="003E45F0" w:rsidRPr="007B7724" w:rsidRDefault="003E45F0" w:rsidP="00971465">
    <w:pPr>
      <w:pStyle w:val="Footer"/>
      <w:spacing w:after="120"/>
      <w:ind w:right="-330"/>
      <w:jc w:val="center"/>
      <w:rPr>
        <w:rFonts w:ascii="Arial" w:hAnsi="Arial"/>
        <w:sz w:val="18"/>
      </w:rPr>
    </w:pPr>
    <w:r w:rsidRPr="00511D40">
      <w:rPr>
        <w:rFonts w:ascii="Arial" w:hAnsi="Arial"/>
        <w:sz w:val="18"/>
      </w:rPr>
      <w:t>Public Law 2 (L</w:t>
    </w:r>
    <w:r>
      <w:rPr>
        <w:rFonts w:ascii="Arial" w:hAnsi="Arial"/>
        <w:sz w:val="18"/>
      </w:rPr>
      <w:t xml:space="preserve">W592) - (Sept. </w:t>
    </w:r>
    <w:r w:rsidR="007A45E6">
      <w:rPr>
        <w:rFonts w:ascii="Arial" w:hAnsi="Arial"/>
        <w:sz w:val="18"/>
      </w:rPr>
      <w:t xml:space="preserve">2020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32A7" w14:textId="77777777" w:rsidR="009F495D" w:rsidRDefault="009F495D" w:rsidP="009A2D37">
      <w:pPr>
        <w:spacing w:after="0" w:line="240" w:lineRule="auto"/>
      </w:pPr>
      <w:r>
        <w:separator/>
      </w:r>
    </w:p>
  </w:footnote>
  <w:footnote w:type="continuationSeparator" w:id="0">
    <w:p w14:paraId="5BB37CCF" w14:textId="77777777" w:rsidR="009F495D" w:rsidRDefault="009F495D" w:rsidP="009A2D37">
      <w:pPr>
        <w:spacing w:after="0" w:line="240" w:lineRule="auto"/>
      </w:pPr>
      <w:r>
        <w:continuationSeparator/>
      </w:r>
    </w:p>
  </w:footnote>
  <w:footnote w:type="continuationNotice" w:id="1">
    <w:p w14:paraId="0448A808" w14:textId="77777777" w:rsidR="009F495D" w:rsidRDefault="009F4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247" w14:textId="77777777" w:rsidR="003E45F0" w:rsidRPr="0075408A" w:rsidRDefault="003E45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9533DE" wp14:editId="7FF37CA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9462F0D" w14:textId="77777777" w:rsidR="003E45F0" w:rsidRPr="008C00F8" w:rsidRDefault="003E45F0" w:rsidP="005E6D38">
    <w:pPr>
      <w:pStyle w:val="Heading1"/>
      <w:spacing w:before="60" w:after="60"/>
      <w:rPr>
        <w:rFonts w:ascii="Arial" w:hAnsi="Arial" w:cs="Arial"/>
      </w:rPr>
    </w:pPr>
  </w:p>
  <w:p w14:paraId="14880DF2" w14:textId="77777777" w:rsidR="003E45F0" w:rsidRDefault="003E4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324" w14:textId="3E3F1967" w:rsidR="003E45F0" w:rsidRPr="0075408A" w:rsidRDefault="003E45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01E491" wp14:editId="52AA56A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8602BB" w14:textId="77777777" w:rsidR="003E45F0" w:rsidRPr="000F7FBF" w:rsidRDefault="003E45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401A10"/>
    <w:multiLevelType w:val="hybridMultilevel"/>
    <w:tmpl w:val="D9A068C0"/>
    <w:lvl w:ilvl="0" w:tplc="AA3A00E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8813E3"/>
    <w:multiLevelType w:val="hybridMultilevel"/>
    <w:tmpl w:val="61AEC8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5865"/>
    <w:multiLevelType w:val="hybridMultilevel"/>
    <w:tmpl w:val="D04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C46E7"/>
    <w:multiLevelType w:val="hybridMultilevel"/>
    <w:tmpl w:val="E4E262EE"/>
    <w:lvl w:ilvl="0" w:tplc="E280F0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EA2C68"/>
    <w:multiLevelType w:val="hybridMultilevel"/>
    <w:tmpl w:val="B4103B44"/>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0F">
      <w:start w:val="1"/>
      <w:numFmt w:val="decimal"/>
      <w:lvlText w:val="%4."/>
      <w:lvlJc w:val="left"/>
      <w:pPr>
        <w:ind w:left="4156" w:hanging="360"/>
      </w:pPr>
    </w:lvl>
    <w:lvl w:ilvl="4" w:tplc="08090019">
      <w:start w:val="1"/>
      <w:numFmt w:val="lowerLetter"/>
      <w:lvlText w:val="%5."/>
      <w:lvlJc w:val="left"/>
      <w:pPr>
        <w:ind w:left="4876" w:hanging="360"/>
      </w:pPr>
    </w:lvl>
    <w:lvl w:ilvl="5" w:tplc="0809001B">
      <w:start w:val="1"/>
      <w:numFmt w:val="lowerRoman"/>
      <w:lvlText w:val="%6."/>
      <w:lvlJc w:val="right"/>
      <w:pPr>
        <w:ind w:left="5596" w:hanging="180"/>
      </w:pPr>
    </w:lvl>
    <w:lvl w:ilvl="6" w:tplc="0809000F">
      <w:start w:val="1"/>
      <w:numFmt w:val="decimal"/>
      <w:lvlText w:val="%7."/>
      <w:lvlJc w:val="left"/>
      <w:pPr>
        <w:ind w:left="6316" w:hanging="360"/>
      </w:pPr>
    </w:lvl>
    <w:lvl w:ilvl="7" w:tplc="08090019">
      <w:start w:val="1"/>
      <w:numFmt w:val="lowerLetter"/>
      <w:lvlText w:val="%8."/>
      <w:lvlJc w:val="left"/>
      <w:pPr>
        <w:ind w:left="7036" w:hanging="360"/>
      </w:pPr>
    </w:lvl>
    <w:lvl w:ilvl="8" w:tplc="0809001B">
      <w:start w:val="1"/>
      <w:numFmt w:val="lowerRoman"/>
      <w:lvlText w:val="%9."/>
      <w:lvlJc w:val="right"/>
      <w:pPr>
        <w:ind w:left="7756" w:hanging="180"/>
      </w:pPr>
    </w:lvl>
  </w:abstractNum>
  <w:abstractNum w:abstractNumId="12" w15:restartNumberingAfterBreak="0">
    <w:nsid w:val="3A72722E"/>
    <w:multiLevelType w:val="hybridMultilevel"/>
    <w:tmpl w:val="08EA6B8C"/>
    <w:lvl w:ilvl="0" w:tplc="C92E6102">
      <w:start w:val="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9649A"/>
    <w:multiLevelType w:val="hybridMultilevel"/>
    <w:tmpl w:val="6C321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17"/>
  </w:num>
  <w:num w:numId="6">
    <w:abstractNumId w:val="15"/>
  </w:num>
  <w:num w:numId="7">
    <w:abstractNumId w:val="19"/>
  </w:num>
  <w:num w:numId="8">
    <w:abstractNumId w:val="16"/>
  </w:num>
  <w:num w:numId="9">
    <w:abstractNumId w:val="18"/>
  </w:num>
  <w:num w:numId="10">
    <w:abstractNumId w:val="14"/>
  </w:num>
  <w:num w:numId="11">
    <w:abstractNumId w:val="5"/>
  </w:num>
  <w:num w:numId="12">
    <w:abstractNumId w:val="7"/>
  </w:num>
  <w:num w:numId="13">
    <w:abstractNumId w:val="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F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4DC7"/>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0467"/>
    <w:rsid w:val="001540CE"/>
    <w:rsid w:val="0015717B"/>
    <w:rsid w:val="00157ACA"/>
    <w:rsid w:val="00160427"/>
    <w:rsid w:val="001611D0"/>
    <w:rsid w:val="00162D46"/>
    <w:rsid w:val="00166D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46FBA"/>
    <w:rsid w:val="00264576"/>
    <w:rsid w:val="002653FE"/>
    <w:rsid w:val="0026585A"/>
    <w:rsid w:val="00266735"/>
    <w:rsid w:val="0027376E"/>
    <w:rsid w:val="00273CF0"/>
    <w:rsid w:val="002748D4"/>
    <w:rsid w:val="00274ED7"/>
    <w:rsid w:val="0028461D"/>
    <w:rsid w:val="0028590C"/>
    <w:rsid w:val="00292C46"/>
    <w:rsid w:val="002938D6"/>
    <w:rsid w:val="00294B73"/>
    <w:rsid w:val="00297BDC"/>
    <w:rsid w:val="002A0C18"/>
    <w:rsid w:val="002A219B"/>
    <w:rsid w:val="002A22DB"/>
    <w:rsid w:val="002A6067"/>
    <w:rsid w:val="002B20F5"/>
    <w:rsid w:val="002B2A1A"/>
    <w:rsid w:val="002B71F2"/>
    <w:rsid w:val="002C06EB"/>
    <w:rsid w:val="002C3678"/>
    <w:rsid w:val="002E00F1"/>
    <w:rsid w:val="002E71C0"/>
    <w:rsid w:val="002E7666"/>
    <w:rsid w:val="002F0261"/>
    <w:rsid w:val="002F05F4"/>
    <w:rsid w:val="002F0CE4"/>
    <w:rsid w:val="002F23EF"/>
    <w:rsid w:val="002F24F4"/>
    <w:rsid w:val="002F2626"/>
    <w:rsid w:val="00302082"/>
    <w:rsid w:val="00303537"/>
    <w:rsid w:val="00304503"/>
    <w:rsid w:val="00306620"/>
    <w:rsid w:val="003262B9"/>
    <w:rsid w:val="00334A02"/>
    <w:rsid w:val="00335875"/>
    <w:rsid w:val="00335FBE"/>
    <w:rsid w:val="0034686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216B"/>
    <w:rsid w:val="003B35F4"/>
    <w:rsid w:val="003B7C76"/>
    <w:rsid w:val="003C3E0C"/>
    <w:rsid w:val="003C776B"/>
    <w:rsid w:val="003D4A1C"/>
    <w:rsid w:val="003D7AA0"/>
    <w:rsid w:val="003E1FF7"/>
    <w:rsid w:val="003E311D"/>
    <w:rsid w:val="003E45F0"/>
    <w:rsid w:val="003E6F2D"/>
    <w:rsid w:val="003F4470"/>
    <w:rsid w:val="003F5A04"/>
    <w:rsid w:val="003F67CD"/>
    <w:rsid w:val="00402ED7"/>
    <w:rsid w:val="004114F8"/>
    <w:rsid w:val="00412576"/>
    <w:rsid w:val="00422B69"/>
    <w:rsid w:val="00423D86"/>
    <w:rsid w:val="00424C90"/>
    <w:rsid w:val="00436BE9"/>
    <w:rsid w:val="00441E76"/>
    <w:rsid w:val="004443DA"/>
    <w:rsid w:val="004474A2"/>
    <w:rsid w:val="00460925"/>
    <w:rsid w:val="00471C6C"/>
    <w:rsid w:val="00472023"/>
    <w:rsid w:val="00476496"/>
    <w:rsid w:val="00486993"/>
    <w:rsid w:val="00487E3D"/>
    <w:rsid w:val="00492DA4"/>
    <w:rsid w:val="00496AA3"/>
    <w:rsid w:val="00497C98"/>
    <w:rsid w:val="004A39D7"/>
    <w:rsid w:val="004A55FA"/>
    <w:rsid w:val="004C1EC4"/>
    <w:rsid w:val="004D035C"/>
    <w:rsid w:val="004D12EF"/>
    <w:rsid w:val="004F3C18"/>
    <w:rsid w:val="004F4328"/>
    <w:rsid w:val="005005E4"/>
    <w:rsid w:val="00511D40"/>
    <w:rsid w:val="00513689"/>
    <w:rsid w:val="0051375A"/>
    <w:rsid w:val="00514C9C"/>
    <w:rsid w:val="00521097"/>
    <w:rsid w:val="0053059E"/>
    <w:rsid w:val="00532F6F"/>
    <w:rsid w:val="00533057"/>
    <w:rsid w:val="00533663"/>
    <w:rsid w:val="005460C2"/>
    <w:rsid w:val="005526FB"/>
    <w:rsid w:val="0055280A"/>
    <w:rsid w:val="005548E1"/>
    <w:rsid w:val="0055585D"/>
    <w:rsid w:val="0056127B"/>
    <w:rsid w:val="00561D26"/>
    <w:rsid w:val="00567EC9"/>
    <w:rsid w:val="00570F9C"/>
    <w:rsid w:val="00571630"/>
    <w:rsid w:val="00573982"/>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5A88"/>
    <w:rsid w:val="00647907"/>
    <w:rsid w:val="00651301"/>
    <w:rsid w:val="00651A82"/>
    <w:rsid w:val="006525E9"/>
    <w:rsid w:val="0066061A"/>
    <w:rsid w:val="0066747B"/>
    <w:rsid w:val="0066786B"/>
    <w:rsid w:val="006725EC"/>
    <w:rsid w:val="006742E3"/>
    <w:rsid w:val="00674ED0"/>
    <w:rsid w:val="00682650"/>
    <w:rsid w:val="00684851"/>
    <w:rsid w:val="00690F84"/>
    <w:rsid w:val="00695285"/>
    <w:rsid w:val="006978AD"/>
    <w:rsid w:val="006A38BF"/>
    <w:rsid w:val="006A6BB4"/>
    <w:rsid w:val="006A7FB0"/>
    <w:rsid w:val="006C2549"/>
    <w:rsid w:val="006C2A9A"/>
    <w:rsid w:val="006C423D"/>
    <w:rsid w:val="006C46EF"/>
    <w:rsid w:val="006C4C67"/>
    <w:rsid w:val="006C5EA4"/>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65A9"/>
    <w:rsid w:val="00727780"/>
    <w:rsid w:val="0073792C"/>
    <w:rsid w:val="00754069"/>
    <w:rsid w:val="0075660D"/>
    <w:rsid w:val="00761467"/>
    <w:rsid w:val="00763508"/>
    <w:rsid w:val="007667DF"/>
    <w:rsid w:val="0077080B"/>
    <w:rsid w:val="00787070"/>
    <w:rsid w:val="007906FD"/>
    <w:rsid w:val="00795360"/>
    <w:rsid w:val="00797197"/>
    <w:rsid w:val="007972A7"/>
    <w:rsid w:val="007A2BA2"/>
    <w:rsid w:val="007A45E6"/>
    <w:rsid w:val="007A6245"/>
    <w:rsid w:val="007A7376"/>
    <w:rsid w:val="007B1DB2"/>
    <w:rsid w:val="007B22F2"/>
    <w:rsid w:val="007B375B"/>
    <w:rsid w:val="007B412A"/>
    <w:rsid w:val="007B635E"/>
    <w:rsid w:val="007B7724"/>
    <w:rsid w:val="007B7CDC"/>
    <w:rsid w:val="007C74B4"/>
    <w:rsid w:val="007E3412"/>
    <w:rsid w:val="007F04FA"/>
    <w:rsid w:val="007F393D"/>
    <w:rsid w:val="007F5922"/>
    <w:rsid w:val="007F61D8"/>
    <w:rsid w:val="0080250F"/>
    <w:rsid w:val="008029AF"/>
    <w:rsid w:val="00802FFA"/>
    <w:rsid w:val="008102E5"/>
    <w:rsid w:val="008111B4"/>
    <w:rsid w:val="008133F0"/>
    <w:rsid w:val="00815713"/>
    <w:rsid w:val="00815880"/>
    <w:rsid w:val="0082322C"/>
    <w:rsid w:val="00823942"/>
    <w:rsid w:val="00827FFD"/>
    <w:rsid w:val="00831A30"/>
    <w:rsid w:val="00854535"/>
    <w:rsid w:val="00856EB3"/>
    <w:rsid w:val="0086461F"/>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0405F"/>
    <w:rsid w:val="00921CF6"/>
    <w:rsid w:val="009246F0"/>
    <w:rsid w:val="00924EF0"/>
    <w:rsid w:val="00934D39"/>
    <w:rsid w:val="00934D7B"/>
    <w:rsid w:val="00947180"/>
    <w:rsid w:val="009567BE"/>
    <w:rsid w:val="009676FA"/>
    <w:rsid w:val="009679E0"/>
    <w:rsid w:val="00971465"/>
    <w:rsid w:val="009749DC"/>
    <w:rsid w:val="00977632"/>
    <w:rsid w:val="00982A8E"/>
    <w:rsid w:val="0098505D"/>
    <w:rsid w:val="00987DB4"/>
    <w:rsid w:val="00996204"/>
    <w:rsid w:val="009A26CB"/>
    <w:rsid w:val="009A2D37"/>
    <w:rsid w:val="009A7587"/>
    <w:rsid w:val="009B0A69"/>
    <w:rsid w:val="009B5B0B"/>
    <w:rsid w:val="009C2474"/>
    <w:rsid w:val="009C7082"/>
    <w:rsid w:val="009D0006"/>
    <w:rsid w:val="009D068C"/>
    <w:rsid w:val="009F3A2A"/>
    <w:rsid w:val="009F495D"/>
    <w:rsid w:val="009F731F"/>
    <w:rsid w:val="00A021FE"/>
    <w:rsid w:val="00A02DBF"/>
    <w:rsid w:val="00A1270E"/>
    <w:rsid w:val="00A15342"/>
    <w:rsid w:val="00A202FF"/>
    <w:rsid w:val="00A3007E"/>
    <w:rsid w:val="00A32048"/>
    <w:rsid w:val="00A41F06"/>
    <w:rsid w:val="00A50FD4"/>
    <w:rsid w:val="00A52DB4"/>
    <w:rsid w:val="00A618E1"/>
    <w:rsid w:val="00A629B9"/>
    <w:rsid w:val="00A70C20"/>
    <w:rsid w:val="00A71299"/>
    <w:rsid w:val="00A73716"/>
    <w:rsid w:val="00A74292"/>
    <w:rsid w:val="00A7491F"/>
    <w:rsid w:val="00A776DE"/>
    <w:rsid w:val="00A804C5"/>
    <w:rsid w:val="00A80640"/>
    <w:rsid w:val="00A87FFD"/>
    <w:rsid w:val="00A97038"/>
    <w:rsid w:val="00AA0393"/>
    <w:rsid w:val="00AA3C15"/>
    <w:rsid w:val="00AA6330"/>
    <w:rsid w:val="00AC7501"/>
    <w:rsid w:val="00AD1039"/>
    <w:rsid w:val="00AD748B"/>
    <w:rsid w:val="00AE005D"/>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AA0"/>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46D7"/>
    <w:rsid w:val="00C46912"/>
    <w:rsid w:val="00C55BCB"/>
    <w:rsid w:val="00C612A8"/>
    <w:rsid w:val="00C65AF9"/>
    <w:rsid w:val="00C67631"/>
    <w:rsid w:val="00C729D7"/>
    <w:rsid w:val="00C83354"/>
    <w:rsid w:val="00C84004"/>
    <w:rsid w:val="00C843F6"/>
    <w:rsid w:val="00C84507"/>
    <w:rsid w:val="00C862C7"/>
    <w:rsid w:val="00CA3254"/>
    <w:rsid w:val="00CB11CE"/>
    <w:rsid w:val="00CB45F7"/>
    <w:rsid w:val="00CC25A2"/>
    <w:rsid w:val="00CD38A7"/>
    <w:rsid w:val="00CD7F07"/>
    <w:rsid w:val="00CE04F3"/>
    <w:rsid w:val="00CE12D8"/>
    <w:rsid w:val="00CE4574"/>
    <w:rsid w:val="00CE70E6"/>
    <w:rsid w:val="00CE725A"/>
    <w:rsid w:val="00CF2E1E"/>
    <w:rsid w:val="00D02E99"/>
    <w:rsid w:val="00D13357"/>
    <w:rsid w:val="00D137D6"/>
    <w:rsid w:val="00D13A13"/>
    <w:rsid w:val="00D2689A"/>
    <w:rsid w:val="00D65506"/>
    <w:rsid w:val="00D71DF4"/>
    <w:rsid w:val="00D773CF"/>
    <w:rsid w:val="00D83563"/>
    <w:rsid w:val="00D8448F"/>
    <w:rsid w:val="00DA64B6"/>
    <w:rsid w:val="00DB5C9D"/>
    <w:rsid w:val="00DD02E6"/>
    <w:rsid w:val="00DD2606"/>
    <w:rsid w:val="00DD3AC3"/>
    <w:rsid w:val="00DE388B"/>
    <w:rsid w:val="00DE4F08"/>
    <w:rsid w:val="00DF2132"/>
    <w:rsid w:val="00DF665B"/>
    <w:rsid w:val="00E0152A"/>
    <w:rsid w:val="00E03394"/>
    <w:rsid w:val="00E066E5"/>
    <w:rsid w:val="00E22F03"/>
    <w:rsid w:val="00E233C1"/>
    <w:rsid w:val="00E51404"/>
    <w:rsid w:val="00E5418E"/>
    <w:rsid w:val="00E574C9"/>
    <w:rsid w:val="00E60F4E"/>
    <w:rsid w:val="00E610DE"/>
    <w:rsid w:val="00E66167"/>
    <w:rsid w:val="00E71F2F"/>
    <w:rsid w:val="00E77786"/>
    <w:rsid w:val="00E806FB"/>
    <w:rsid w:val="00E86F17"/>
    <w:rsid w:val="00EA6558"/>
    <w:rsid w:val="00EB1C2D"/>
    <w:rsid w:val="00EC1810"/>
    <w:rsid w:val="00EC3FCC"/>
    <w:rsid w:val="00EC432B"/>
    <w:rsid w:val="00ED32FF"/>
    <w:rsid w:val="00EE29C2"/>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2A33"/>
    <w:rsid w:val="00F5324B"/>
    <w:rsid w:val="00F562AA"/>
    <w:rsid w:val="00F66348"/>
    <w:rsid w:val="00F7105A"/>
    <w:rsid w:val="00F7310C"/>
    <w:rsid w:val="00F77676"/>
    <w:rsid w:val="00F8197C"/>
    <w:rsid w:val="00F82B4E"/>
    <w:rsid w:val="00F87559"/>
    <w:rsid w:val="00F96D71"/>
    <w:rsid w:val="00F97C9E"/>
    <w:rsid w:val="00FA20DE"/>
    <w:rsid w:val="00FA4064"/>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9E8A"/>
  <w15:docId w15:val="{D30809A5-D343-4BD2-8F44-35C713E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14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31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9129586">
      <w:bodyDiv w:val="1"/>
      <w:marLeft w:val="0"/>
      <w:marRight w:val="0"/>
      <w:marTop w:val="0"/>
      <w:marBottom w:val="0"/>
      <w:divBdr>
        <w:top w:val="none" w:sz="0" w:space="0" w:color="auto"/>
        <w:left w:val="none" w:sz="0" w:space="0" w:color="auto"/>
        <w:bottom w:val="none" w:sz="0" w:space="0" w:color="auto"/>
        <w:right w:val="none" w:sz="0" w:space="0" w:color="auto"/>
      </w:divBdr>
    </w:div>
    <w:div w:id="4827000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419119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5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452188">
      <w:bodyDiv w:val="1"/>
      <w:marLeft w:val="0"/>
      <w:marRight w:val="0"/>
      <w:marTop w:val="0"/>
      <w:marBottom w:val="0"/>
      <w:divBdr>
        <w:top w:val="none" w:sz="0" w:space="0" w:color="auto"/>
        <w:left w:val="none" w:sz="0" w:space="0" w:color="auto"/>
        <w:bottom w:val="none" w:sz="0" w:space="0" w:color="auto"/>
        <w:right w:val="none" w:sz="0" w:space="0" w:color="auto"/>
      </w:divBdr>
    </w:div>
    <w:div w:id="1427075974">
      <w:bodyDiv w:val="1"/>
      <w:marLeft w:val="0"/>
      <w:marRight w:val="0"/>
      <w:marTop w:val="0"/>
      <w:marBottom w:val="0"/>
      <w:divBdr>
        <w:top w:val="none" w:sz="0" w:space="0" w:color="auto"/>
        <w:left w:val="none" w:sz="0" w:space="0" w:color="auto"/>
        <w:bottom w:val="none" w:sz="0" w:space="0" w:color="auto"/>
        <w:right w:val="none" w:sz="0" w:space="0" w:color="auto"/>
      </w:divBdr>
    </w:div>
    <w:div w:id="1618365672">
      <w:bodyDiv w:val="1"/>
      <w:marLeft w:val="0"/>
      <w:marRight w:val="0"/>
      <w:marTop w:val="0"/>
      <w:marBottom w:val="0"/>
      <w:divBdr>
        <w:top w:val="none" w:sz="0" w:space="0" w:color="auto"/>
        <w:left w:val="none" w:sz="0" w:space="0" w:color="auto"/>
        <w:bottom w:val="none" w:sz="0" w:space="0" w:color="auto"/>
        <w:right w:val="none" w:sz="0" w:space="0" w:color="auto"/>
      </w:divBdr>
    </w:div>
    <w:div w:id="1666973852">
      <w:bodyDiv w:val="1"/>
      <w:marLeft w:val="0"/>
      <w:marRight w:val="0"/>
      <w:marTop w:val="0"/>
      <w:marBottom w:val="0"/>
      <w:divBdr>
        <w:top w:val="none" w:sz="0" w:space="0" w:color="auto"/>
        <w:left w:val="none" w:sz="0" w:space="0" w:color="auto"/>
        <w:bottom w:val="none" w:sz="0" w:space="0" w:color="auto"/>
        <w:right w:val="none" w:sz="0" w:space="0" w:color="auto"/>
      </w:divBdr>
    </w:div>
    <w:div w:id="19615664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5A772-738C-489D-A798-EB91DCE93D5C}">
  <ds:schemaRefs>
    <ds:schemaRef ds:uri="http://schemas.openxmlformats.org/officeDocument/2006/bibliography"/>
  </ds:schemaRefs>
</ds:datastoreItem>
</file>

<file path=customXml/itemProps2.xml><?xml version="1.0" encoding="utf-8"?>
<ds:datastoreItem xmlns:ds="http://schemas.openxmlformats.org/officeDocument/2006/customXml" ds:itemID="{D7E3A6F0-3656-4784-A388-D25510EDEC5C}"/>
</file>

<file path=customXml/itemProps3.xml><?xml version="1.0" encoding="utf-8"?>
<ds:datastoreItem xmlns:ds="http://schemas.openxmlformats.org/officeDocument/2006/customXml" ds:itemID="{47BF7FB8-ADD2-47B3-B391-1161FF85FF87}"/>
</file>

<file path=customXml/itemProps4.xml><?xml version="1.0" encoding="utf-8"?>
<ds:datastoreItem xmlns:ds="http://schemas.openxmlformats.org/officeDocument/2006/customXml" ds:itemID="{6167459E-98F8-46D5-AEA2-79FB55124E42}"/>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2017-12-06T16:09:00Z</cp:lastPrinted>
  <dcterms:created xsi:type="dcterms:W3CDTF">2019-12-10T15:01:00Z</dcterms:created>
  <dcterms:modified xsi:type="dcterms:W3CDTF">2022-03-17T18:51:00Z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