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915" w14:textId="737C275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AD655B3" w14:textId="26B4912A" w:rsidR="009A2D37" w:rsidRPr="00373ACB" w:rsidRDefault="00FE062D" w:rsidP="0066061A">
      <w:pPr>
        <w:spacing w:after="120" w:line="240" w:lineRule="auto"/>
        <w:ind w:left="426" w:right="260"/>
        <w:rPr>
          <w:rFonts w:ascii="Arial" w:hAnsi="Arial" w:cs="Arial"/>
          <w:sz w:val="20"/>
          <w:szCs w:val="20"/>
        </w:rPr>
      </w:pPr>
      <w:r>
        <w:rPr>
          <w:rFonts w:ascii="Arial" w:hAnsi="Arial" w:cs="Arial"/>
          <w:sz w:val="20"/>
          <w:szCs w:val="20"/>
        </w:rPr>
        <w:t>LAWS5820</w:t>
      </w:r>
      <w:r w:rsidRPr="002F0A22">
        <w:rPr>
          <w:rFonts w:ascii="Arial" w:hAnsi="Arial" w:cs="Arial"/>
          <w:sz w:val="20"/>
          <w:szCs w:val="20"/>
        </w:rPr>
        <w:t xml:space="preserve"> (LW582)</w:t>
      </w:r>
      <w:r>
        <w:rPr>
          <w:rFonts w:ascii="Arial" w:hAnsi="Arial" w:cs="Arial"/>
          <w:sz w:val="20"/>
          <w:szCs w:val="20"/>
        </w:rPr>
        <w:t xml:space="preserve">: </w:t>
      </w:r>
      <w:r w:rsidR="002F0A22" w:rsidRPr="002F0A22">
        <w:rPr>
          <w:rFonts w:ascii="Arial" w:hAnsi="Arial" w:cs="Arial"/>
          <w:sz w:val="20"/>
          <w:szCs w:val="20"/>
        </w:rPr>
        <w:t>Banking Law</w:t>
      </w:r>
    </w:p>
    <w:p w14:paraId="0BA2A399" w14:textId="77777777" w:rsidR="00C07A56" w:rsidRPr="00373ACB" w:rsidRDefault="00C07A56" w:rsidP="0066061A">
      <w:pPr>
        <w:spacing w:after="120" w:line="240" w:lineRule="auto"/>
        <w:ind w:left="426" w:right="260"/>
        <w:jc w:val="both"/>
        <w:rPr>
          <w:rFonts w:ascii="Arial" w:hAnsi="Arial" w:cs="Arial"/>
          <w:sz w:val="20"/>
          <w:szCs w:val="20"/>
        </w:rPr>
      </w:pPr>
    </w:p>
    <w:p w14:paraId="796AE9E3" w14:textId="4EF6BB49" w:rsidR="009A2D37" w:rsidRPr="004F23A9" w:rsidRDefault="002C6CA1" w:rsidP="004F23A9">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4F23A9">
        <w:rPr>
          <w:rFonts w:ascii="Arial" w:hAnsi="Arial"/>
          <w:b/>
          <w:sz w:val="20"/>
        </w:rPr>
        <w:t xml:space="preserve"> which will be responsible for management of the module</w:t>
      </w:r>
    </w:p>
    <w:p w14:paraId="159BAA58" w14:textId="5CC58E92" w:rsidR="009A2D37" w:rsidRPr="004F23A9" w:rsidRDefault="00380EAE" w:rsidP="004F23A9">
      <w:pPr>
        <w:spacing w:after="120" w:line="240" w:lineRule="auto"/>
        <w:ind w:left="426" w:right="260"/>
        <w:rPr>
          <w:rFonts w:ascii="Arial" w:hAnsi="Arial"/>
          <w:sz w:val="20"/>
        </w:rPr>
      </w:pPr>
      <w:r w:rsidRPr="004F23A9">
        <w:rPr>
          <w:rFonts w:ascii="Arial" w:hAnsi="Arial"/>
          <w:sz w:val="20"/>
        </w:rPr>
        <w:t>Kent Law School</w:t>
      </w:r>
    </w:p>
    <w:p w14:paraId="0FE2B5A2" w14:textId="77777777" w:rsidR="00C07A56" w:rsidRPr="004F23A9" w:rsidRDefault="00C07A56" w:rsidP="004F23A9">
      <w:pPr>
        <w:spacing w:after="120" w:line="240" w:lineRule="auto"/>
        <w:ind w:left="426" w:right="260"/>
        <w:rPr>
          <w:rFonts w:ascii="Arial" w:hAnsi="Arial"/>
          <w:sz w:val="20"/>
        </w:rPr>
      </w:pPr>
    </w:p>
    <w:p w14:paraId="075EBC28" w14:textId="6EBBF938" w:rsidR="009A2D37" w:rsidRPr="004F23A9" w:rsidRDefault="009A2D37" w:rsidP="0066061A">
      <w:pPr>
        <w:numPr>
          <w:ilvl w:val="0"/>
          <w:numId w:val="1"/>
        </w:numPr>
        <w:spacing w:after="120" w:line="240" w:lineRule="auto"/>
        <w:ind w:left="426" w:right="260" w:hanging="426"/>
        <w:jc w:val="both"/>
        <w:rPr>
          <w:rFonts w:ascii="Arial" w:hAnsi="Arial" w:cs="Arial"/>
          <w:b/>
          <w:sz w:val="20"/>
          <w:szCs w:val="20"/>
        </w:rPr>
      </w:pPr>
      <w:r w:rsidRPr="004F23A9">
        <w:rPr>
          <w:rFonts w:ascii="Arial" w:hAnsi="Arial"/>
          <w:b/>
          <w:sz w:val="20"/>
        </w:rPr>
        <w:t>The level of the module (</w:t>
      </w:r>
      <w:proofErr w:type="gramStart"/>
      <w:r w:rsidRPr="00373ACB">
        <w:rPr>
          <w:rFonts w:ascii="Arial" w:hAnsi="Arial" w:cs="Arial"/>
          <w:b/>
          <w:sz w:val="20"/>
          <w:szCs w:val="20"/>
        </w:rPr>
        <w:t>e.</w:t>
      </w:r>
      <w:r w:rsidRPr="004F23A9">
        <w:rPr>
          <w:rFonts w:ascii="Arial" w:hAnsi="Arial" w:cs="Arial"/>
          <w:b/>
          <w:sz w:val="20"/>
          <w:szCs w:val="20"/>
        </w:rPr>
        <w:t>g.</w:t>
      </w:r>
      <w:proofErr w:type="gramEnd"/>
      <w:r w:rsidRPr="004F23A9">
        <w:rPr>
          <w:rFonts w:ascii="Arial" w:hAnsi="Arial"/>
          <w:b/>
          <w:sz w:val="20"/>
          <w:szCs w:val="20"/>
        </w:rPr>
        <w:t xml:space="preserve"> </w:t>
      </w:r>
      <w:r w:rsidR="00D83563" w:rsidRPr="004F23A9">
        <w:rPr>
          <w:rFonts w:ascii="Arial" w:hAnsi="Arial"/>
          <w:b/>
          <w:sz w:val="20"/>
          <w:szCs w:val="20"/>
        </w:rPr>
        <w:t>Level</w:t>
      </w:r>
      <w:r w:rsidR="00441E76" w:rsidRPr="004F23A9">
        <w:rPr>
          <w:rFonts w:ascii="Arial" w:hAnsi="Arial" w:cs="Arial"/>
          <w:b/>
          <w:sz w:val="20"/>
          <w:szCs w:val="20"/>
        </w:rPr>
        <w:t xml:space="preserve"> 4</w:t>
      </w:r>
      <w:r w:rsidR="001D0C7D" w:rsidRPr="004F23A9">
        <w:rPr>
          <w:rFonts w:ascii="Arial" w:hAnsi="Arial" w:cs="Arial"/>
          <w:b/>
          <w:sz w:val="20"/>
          <w:szCs w:val="20"/>
        </w:rPr>
        <w:t xml:space="preserve">, </w:t>
      </w:r>
      <w:r w:rsidR="00441E76" w:rsidRPr="004F23A9">
        <w:rPr>
          <w:rFonts w:ascii="Arial" w:hAnsi="Arial" w:cs="Arial"/>
          <w:b/>
          <w:sz w:val="20"/>
          <w:szCs w:val="20"/>
        </w:rPr>
        <w:t>Level 5</w:t>
      </w:r>
      <w:r w:rsidR="001D0C7D" w:rsidRPr="004F23A9">
        <w:rPr>
          <w:rFonts w:ascii="Arial" w:hAnsi="Arial" w:cs="Arial"/>
          <w:b/>
          <w:sz w:val="20"/>
          <w:szCs w:val="20"/>
        </w:rPr>
        <w:t xml:space="preserve">, </w:t>
      </w:r>
      <w:r w:rsidR="00441E76" w:rsidRPr="004F23A9">
        <w:rPr>
          <w:rFonts w:ascii="Arial" w:hAnsi="Arial" w:cs="Arial"/>
          <w:b/>
          <w:sz w:val="20"/>
          <w:szCs w:val="20"/>
        </w:rPr>
        <w:t>Level 6</w:t>
      </w:r>
      <w:r w:rsidR="001D0C7D" w:rsidRPr="004F23A9">
        <w:rPr>
          <w:rFonts w:ascii="Arial" w:hAnsi="Arial" w:cs="Arial"/>
          <w:b/>
          <w:sz w:val="20"/>
          <w:szCs w:val="20"/>
        </w:rPr>
        <w:t xml:space="preserve"> or </w:t>
      </w:r>
      <w:r w:rsidR="00C612A8" w:rsidRPr="004F23A9">
        <w:rPr>
          <w:rFonts w:ascii="Arial" w:hAnsi="Arial" w:cs="Arial"/>
          <w:b/>
          <w:sz w:val="20"/>
          <w:szCs w:val="20"/>
        </w:rPr>
        <w:t>L</w:t>
      </w:r>
      <w:r w:rsidR="00441E76" w:rsidRPr="004F23A9">
        <w:rPr>
          <w:rFonts w:ascii="Arial" w:hAnsi="Arial" w:cs="Arial"/>
          <w:b/>
          <w:sz w:val="20"/>
          <w:szCs w:val="20"/>
        </w:rPr>
        <w:t>evel 7</w:t>
      </w:r>
      <w:r w:rsidRPr="004F23A9">
        <w:rPr>
          <w:rFonts w:ascii="Arial" w:hAnsi="Arial" w:cs="Arial"/>
          <w:b/>
          <w:sz w:val="20"/>
          <w:szCs w:val="20"/>
        </w:rPr>
        <w:t>)</w:t>
      </w:r>
    </w:p>
    <w:p w14:paraId="5864F5C4" w14:textId="3C54BE93"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Level</w:t>
      </w:r>
      <w:r w:rsidRPr="004F23A9">
        <w:rPr>
          <w:rFonts w:ascii="Arial" w:hAnsi="Arial"/>
          <w:sz w:val="20"/>
        </w:rPr>
        <w:t xml:space="preserve"> 6</w:t>
      </w:r>
    </w:p>
    <w:p w14:paraId="343532A0" w14:textId="77777777" w:rsidR="00C07A56" w:rsidRPr="004F23A9" w:rsidRDefault="00C07A56" w:rsidP="004F23A9">
      <w:pPr>
        <w:spacing w:after="120" w:line="240" w:lineRule="auto"/>
        <w:ind w:left="426" w:right="260"/>
        <w:rPr>
          <w:rFonts w:ascii="Arial" w:hAnsi="Arial"/>
          <w:sz w:val="20"/>
        </w:rPr>
      </w:pPr>
    </w:p>
    <w:p w14:paraId="77E3F678" w14:textId="5181AF07" w:rsidR="009A2D37" w:rsidRPr="004F23A9" w:rsidRDefault="009A2D37" w:rsidP="004F23A9">
      <w:pPr>
        <w:numPr>
          <w:ilvl w:val="0"/>
          <w:numId w:val="1"/>
        </w:numPr>
        <w:spacing w:after="120" w:line="240" w:lineRule="auto"/>
        <w:ind w:left="426" w:right="260" w:hanging="426"/>
        <w:jc w:val="both"/>
        <w:rPr>
          <w:rFonts w:ascii="Arial" w:hAnsi="Arial"/>
          <w:b/>
          <w:sz w:val="20"/>
        </w:rPr>
      </w:pPr>
      <w:r w:rsidRPr="004F23A9">
        <w:rPr>
          <w:rFonts w:ascii="Arial" w:hAnsi="Arial"/>
          <w:b/>
          <w:sz w:val="20"/>
        </w:rPr>
        <w:t xml:space="preserve">The number of </w:t>
      </w:r>
      <w:r w:rsidRPr="004F23A9">
        <w:rPr>
          <w:rFonts w:ascii="Arial" w:hAnsi="Arial"/>
          <w:b/>
          <w:sz w:val="20"/>
          <w:szCs w:val="20"/>
        </w:rPr>
        <w:t xml:space="preserve">credits </w:t>
      </w:r>
      <w:r w:rsidRPr="004F23A9">
        <w:rPr>
          <w:rFonts w:ascii="Arial" w:hAnsi="Arial" w:cs="Arial"/>
          <w:b/>
          <w:sz w:val="20"/>
          <w:szCs w:val="20"/>
        </w:rPr>
        <w:t xml:space="preserve">and the ECTS value </w:t>
      </w:r>
      <w:r w:rsidRPr="004F23A9">
        <w:rPr>
          <w:rFonts w:ascii="Arial" w:hAnsi="Arial"/>
          <w:b/>
          <w:sz w:val="20"/>
          <w:szCs w:val="20"/>
        </w:rPr>
        <w:t>which</w:t>
      </w:r>
      <w:r w:rsidRPr="004F23A9">
        <w:rPr>
          <w:rFonts w:ascii="Arial" w:hAnsi="Arial"/>
          <w:b/>
          <w:sz w:val="20"/>
        </w:rPr>
        <w:t xml:space="preserve"> the module represents </w:t>
      </w:r>
    </w:p>
    <w:p w14:paraId="7F734B55" w14:textId="27A6ECAB"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2F0A22">
        <w:rPr>
          <w:rFonts w:ascii="Arial" w:hAnsi="Arial" w:cs="Arial"/>
          <w:sz w:val="20"/>
          <w:szCs w:val="20"/>
        </w:rPr>
        <w:t xml:space="preserve"> credits (</w:t>
      </w:r>
      <w:r>
        <w:rPr>
          <w:rFonts w:ascii="Arial" w:hAnsi="Arial" w:cs="Arial"/>
          <w:sz w:val="20"/>
          <w:szCs w:val="20"/>
        </w:rPr>
        <w:t>7.5 ECTS Credits)</w:t>
      </w:r>
    </w:p>
    <w:p w14:paraId="051DF1BF" w14:textId="77777777" w:rsidR="00C07A56" w:rsidRPr="00373ACB" w:rsidRDefault="00C07A56" w:rsidP="005E3FA7">
      <w:pPr>
        <w:spacing w:after="120" w:line="240" w:lineRule="auto"/>
        <w:ind w:left="426" w:right="260"/>
        <w:rPr>
          <w:rFonts w:ascii="Arial" w:hAnsi="Arial" w:cs="Arial"/>
          <w:sz w:val="20"/>
          <w:szCs w:val="20"/>
        </w:rPr>
      </w:pPr>
    </w:p>
    <w:p w14:paraId="68CFD538" w14:textId="49D21238"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Which term(s) the module is to be taught in (or other teaching pattern</w:t>
      </w:r>
      <w:r w:rsidRPr="00373ACB">
        <w:rPr>
          <w:rFonts w:ascii="Arial" w:hAnsi="Arial" w:cs="Arial"/>
          <w:b/>
          <w:sz w:val="20"/>
          <w:szCs w:val="20"/>
        </w:rPr>
        <w:t>)</w:t>
      </w:r>
    </w:p>
    <w:p w14:paraId="0833C553" w14:textId="150E3B2E" w:rsidR="00BC1D37" w:rsidRPr="004F23A9" w:rsidRDefault="002F0A22" w:rsidP="004F23A9">
      <w:pPr>
        <w:spacing w:line="240" w:lineRule="auto"/>
        <w:ind w:left="426"/>
        <w:rPr>
          <w:rFonts w:ascii="Arial" w:hAnsi="Arial"/>
          <w:sz w:val="20"/>
        </w:rPr>
      </w:pPr>
      <w:r w:rsidRPr="004F23A9">
        <w:rPr>
          <w:rFonts w:ascii="Arial" w:hAnsi="Arial"/>
          <w:sz w:val="20"/>
        </w:rPr>
        <w:t>Autumn</w:t>
      </w:r>
      <w:r w:rsidR="00220C6E" w:rsidRPr="004F23A9">
        <w:rPr>
          <w:rFonts w:ascii="Arial" w:hAnsi="Arial"/>
        </w:rPr>
        <w:t xml:space="preserve"> </w:t>
      </w:r>
      <w:r w:rsidR="00220C6E">
        <w:rPr>
          <w:rFonts w:ascii="Arial" w:hAnsi="Arial" w:cs="Arial"/>
          <w:sz w:val="20"/>
          <w:szCs w:val="20"/>
        </w:rPr>
        <w:t>or Spring</w:t>
      </w:r>
    </w:p>
    <w:p w14:paraId="4525BDEB" w14:textId="77777777" w:rsidR="00C07A56" w:rsidRPr="004F23A9" w:rsidRDefault="00C07A56" w:rsidP="004F23A9">
      <w:pPr>
        <w:spacing w:line="240" w:lineRule="auto"/>
        <w:ind w:left="426"/>
        <w:rPr>
          <w:rFonts w:ascii="Arial" w:hAnsi="Arial"/>
          <w:b/>
          <w:sz w:val="20"/>
        </w:rPr>
      </w:pPr>
    </w:p>
    <w:p w14:paraId="53F3C61F" w14:textId="68B70B85" w:rsidR="00B2615F" w:rsidRPr="004F23A9" w:rsidRDefault="00B2615F" w:rsidP="004F23A9">
      <w:pPr>
        <w:numPr>
          <w:ilvl w:val="0"/>
          <w:numId w:val="1"/>
        </w:numPr>
        <w:spacing w:after="120" w:line="240" w:lineRule="auto"/>
        <w:ind w:left="426" w:right="260" w:hanging="426"/>
        <w:jc w:val="both"/>
        <w:rPr>
          <w:rFonts w:ascii="Arial" w:hAnsi="Arial"/>
          <w:b/>
          <w:sz w:val="20"/>
          <w:szCs w:val="20"/>
        </w:rPr>
      </w:pPr>
      <w:r w:rsidRPr="004F23A9">
        <w:rPr>
          <w:rFonts w:ascii="Arial" w:hAnsi="Arial"/>
          <w:b/>
          <w:sz w:val="20"/>
        </w:rPr>
        <w:t xml:space="preserve">Prerequisite </w:t>
      </w:r>
      <w:r w:rsidRPr="004F23A9">
        <w:rPr>
          <w:rFonts w:ascii="Arial" w:hAnsi="Arial"/>
          <w:b/>
          <w:sz w:val="20"/>
          <w:szCs w:val="20"/>
        </w:rPr>
        <w:t>and co-requisite modules</w:t>
      </w:r>
    </w:p>
    <w:p w14:paraId="4A0486BA" w14:textId="4BA05044" w:rsidR="005E3FA7" w:rsidRPr="004F23A9" w:rsidRDefault="002F0A22" w:rsidP="004F23A9">
      <w:pPr>
        <w:spacing w:after="120" w:line="240" w:lineRule="auto"/>
        <w:ind w:left="426" w:right="260"/>
        <w:rPr>
          <w:rFonts w:ascii="Arial" w:hAnsi="Arial"/>
          <w:sz w:val="20"/>
        </w:rPr>
      </w:pPr>
      <w:r w:rsidRPr="004F23A9">
        <w:rPr>
          <w:rFonts w:ascii="Arial" w:hAnsi="Arial"/>
          <w:sz w:val="20"/>
        </w:rPr>
        <w:t>None</w:t>
      </w:r>
    </w:p>
    <w:p w14:paraId="2AB163E4" w14:textId="77777777" w:rsidR="005E3FA7" w:rsidRPr="005E3FA7" w:rsidRDefault="005E3FA7" w:rsidP="005E3FA7">
      <w:pPr>
        <w:spacing w:after="120" w:line="240" w:lineRule="auto"/>
        <w:ind w:left="426" w:right="260"/>
        <w:rPr>
          <w:rFonts w:ascii="Arial" w:hAnsi="Arial" w:cs="Arial"/>
          <w:b/>
          <w:sz w:val="20"/>
          <w:szCs w:val="20"/>
        </w:rPr>
      </w:pPr>
    </w:p>
    <w:p w14:paraId="7251DEE4" w14:textId="21B2BD92"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The programmes of study to which the module contributes</w:t>
      </w:r>
    </w:p>
    <w:p w14:paraId="49E0D274" w14:textId="7965C7A1"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All Social Sciences undergraduate Law</w:t>
      </w:r>
      <w:r w:rsidRPr="004F23A9">
        <w:rPr>
          <w:rFonts w:ascii="Arial" w:hAnsi="Arial"/>
          <w:sz w:val="20"/>
        </w:rPr>
        <w:t xml:space="preserve"> programmes</w:t>
      </w:r>
    </w:p>
    <w:p w14:paraId="50F68F1F" w14:textId="77777777" w:rsidR="00C07A56" w:rsidRPr="004F23A9" w:rsidRDefault="00C07A56" w:rsidP="004F23A9">
      <w:pPr>
        <w:spacing w:after="120" w:line="240" w:lineRule="auto"/>
        <w:ind w:left="426" w:right="260"/>
        <w:rPr>
          <w:rFonts w:ascii="Arial" w:hAnsi="Arial"/>
          <w:sz w:val="20"/>
        </w:rPr>
      </w:pPr>
    </w:p>
    <w:p w14:paraId="1DDD7015" w14:textId="43723AB3" w:rsidR="009A2D37" w:rsidRPr="004F23A9" w:rsidRDefault="009A2D37" w:rsidP="004F23A9">
      <w:pPr>
        <w:numPr>
          <w:ilvl w:val="0"/>
          <w:numId w:val="1"/>
        </w:numPr>
        <w:spacing w:after="120" w:line="240" w:lineRule="auto"/>
        <w:ind w:left="426" w:right="260" w:hanging="426"/>
        <w:rPr>
          <w:rFonts w:ascii="Arial" w:hAnsi="Arial"/>
          <w:b/>
          <w:sz w:val="20"/>
        </w:rPr>
      </w:pPr>
      <w:r w:rsidRPr="004F23A9">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w:t>
      </w:r>
      <w:r w:rsidR="00C729D7" w:rsidRPr="004F23A9">
        <w:rPr>
          <w:rFonts w:ascii="Arial" w:hAnsi="Arial"/>
          <w:b/>
          <w:sz w:val="20"/>
        </w:rPr>
        <w:t xml:space="preserve"> successfully </w:t>
      </w:r>
      <w:r w:rsidR="00C729D7" w:rsidRPr="00373ACB">
        <w:rPr>
          <w:rFonts w:ascii="Arial" w:hAnsi="Arial" w:cs="Arial"/>
          <w:b/>
          <w:sz w:val="20"/>
          <w:szCs w:val="20"/>
        </w:rPr>
        <w:t>completing the module students will be able to</w:t>
      </w:r>
      <w:r w:rsidR="00C729D7" w:rsidRPr="004F23A9">
        <w:rPr>
          <w:rFonts w:ascii="Arial" w:hAnsi="Arial"/>
          <w:b/>
          <w:sz w:val="20"/>
        </w:rPr>
        <w:t>:</w:t>
      </w:r>
    </w:p>
    <w:p w14:paraId="5321849C" w14:textId="1042B042" w:rsidR="00380EAE" w:rsidRPr="00373ACB" w:rsidRDefault="00380EAE" w:rsidP="0066061A">
      <w:pPr>
        <w:spacing w:after="120" w:line="240" w:lineRule="auto"/>
        <w:ind w:left="426" w:right="260"/>
        <w:rPr>
          <w:rFonts w:ascii="Arial" w:hAnsi="Arial" w:cs="Arial"/>
          <w:b/>
          <w:sz w:val="20"/>
          <w:szCs w:val="20"/>
        </w:rPr>
      </w:pPr>
    </w:p>
    <w:p w14:paraId="47E92A3D" w14:textId="69709589"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w:t>
      </w:r>
      <w:r w:rsidR="002F0A22" w:rsidRPr="004F23A9">
        <w:rPr>
          <w:rFonts w:ascii="Arial" w:hAnsi="Arial"/>
          <w:sz w:val="20"/>
        </w:rPr>
        <w:t xml:space="preserve"> an</w:t>
      </w:r>
      <w:r w:rsidR="002F0A22">
        <w:rPr>
          <w:rFonts w:ascii="Arial" w:hAnsi="Arial" w:cs="Arial"/>
          <w:sz w:val="20"/>
          <w:szCs w:val="20"/>
        </w:rPr>
        <w:t xml:space="preserve"> in-depth</w:t>
      </w:r>
      <w:r w:rsidR="002F0A22" w:rsidRPr="004F23A9">
        <w:rPr>
          <w:rFonts w:ascii="Arial" w:hAnsi="Arial"/>
          <w:sz w:val="20"/>
        </w:rPr>
        <w:t xml:space="preserve"> understanding of the nature and legal status of the banker-customer </w:t>
      </w:r>
      <w:proofErr w:type="gramStart"/>
      <w:r w:rsidR="002F0A22" w:rsidRPr="004F23A9">
        <w:rPr>
          <w:rFonts w:ascii="Arial" w:hAnsi="Arial"/>
          <w:sz w:val="20"/>
        </w:rPr>
        <w:t>relationship</w:t>
      </w:r>
      <w:r w:rsidR="002F0A22">
        <w:rPr>
          <w:rFonts w:ascii="Arial" w:hAnsi="Arial" w:cs="Arial"/>
          <w:sz w:val="20"/>
          <w:szCs w:val="20"/>
        </w:rPr>
        <w:t>;</w:t>
      </w:r>
      <w:proofErr w:type="gramEnd"/>
    </w:p>
    <w:p w14:paraId="570650A2" w14:textId="02714E67"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the operation of customer accounts and the scope of the bank’s duties to </w:t>
      </w:r>
      <w:proofErr w:type="gramStart"/>
      <w:r w:rsidR="002F0A22" w:rsidRPr="004F23A9">
        <w:rPr>
          <w:rFonts w:ascii="Arial" w:hAnsi="Arial"/>
          <w:sz w:val="20"/>
        </w:rPr>
        <w:t>customers</w:t>
      </w:r>
      <w:r w:rsidR="002F0A22">
        <w:rPr>
          <w:rFonts w:ascii="Arial" w:hAnsi="Arial" w:cs="Arial"/>
          <w:sz w:val="20"/>
          <w:szCs w:val="20"/>
        </w:rPr>
        <w:t>;</w:t>
      </w:r>
      <w:proofErr w:type="gramEnd"/>
    </w:p>
    <w:p w14:paraId="285034F7" w14:textId="4DF3C4CF"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banking operations, including the provision of </w:t>
      </w:r>
      <w:r w:rsidR="002F0A22" w:rsidRPr="002F0A22">
        <w:rPr>
          <w:rFonts w:ascii="Arial" w:hAnsi="Arial" w:cs="Arial"/>
          <w:sz w:val="20"/>
          <w:szCs w:val="20"/>
        </w:rPr>
        <w:t>credit</w:t>
      </w:r>
      <w:r w:rsidR="002F0A22" w:rsidRPr="004F23A9">
        <w:rPr>
          <w:rFonts w:ascii="Arial" w:hAnsi="Arial"/>
          <w:sz w:val="20"/>
        </w:rPr>
        <w:t xml:space="preserve">, the taking and enforcement of security for </w:t>
      </w:r>
      <w:proofErr w:type="gramStart"/>
      <w:r w:rsidR="002F0A22" w:rsidRPr="002F0A22">
        <w:rPr>
          <w:rFonts w:ascii="Arial" w:hAnsi="Arial" w:cs="Arial"/>
          <w:sz w:val="20"/>
          <w:szCs w:val="20"/>
        </w:rPr>
        <w:t>loans</w:t>
      </w:r>
      <w:r w:rsidR="002F0A22">
        <w:rPr>
          <w:rFonts w:ascii="Arial" w:hAnsi="Arial" w:cs="Arial"/>
          <w:sz w:val="20"/>
          <w:szCs w:val="20"/>
        </w:rPr>
        <w:t>;</w:t>
      </w:r>
      <w:proofErr w:type="gramEnd"/>
    </w:p>
    <w:p w14:paraId="280CA09A" w14:textId="2C2AC49F"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analyse and critically evaluate the relationship between </w:t>
      </w:r>
      <w:r w:rsidRPr="002F0A22">
        <w:rPr>
          <w:rFonts w:ascii="Arial" w:hAnsi="Arial" w:cs="Arial"/>
          <w:sz w:val="20"/>
          <w:szCs w:val="20"/>
        </w:rPr>
        <w:t xml:space="preserve">the law and </w:t>
      </w:r>
      <w:r w:rsidRPr="004F23A9">
        <w:rPr>
          <w:rFonts w:ascii="Arial" w:hAnsi="Arial"/>
          <w:sz w:val="20"/>
        </w:rPr>
        <w:t xml:space="preserve">banking business </w:t>
      </w:r>
      <w:r w:rsidRPr="002F0A22">
        <w:rPr>
          <w:rFonts w:ascii="Arial" w:hAnsi="Arial" w:cs="Arial"/>
          <w:sz w:val="20"/>
          <w:szCs w:val="20"/>
        </w:rPr>
        <w:t>as well as the practical application of</w:t>
      </w:r>
      <w:r w:rsidRPr="004F23A9">
        <w:rPr>
          <w:rFonts w:ascii="Arial" w:hAnsi="Arial"/>
          <w:sz w:val="20"/>
        </w:rPr>
        <w:t xml:space="preserve"> the law</w:t>
      </w:r>
      <w:r w:rsidRPr="002F0A22">
        <w:rPr>
          <w:rFonts w:ascii="Arial" w:hAnsi="Arial" w:cs="Arial"/>
          <w:sz w:val="20"/>
          <w:szCs w:val="20"/>
        </w:rPr>
        <w:t xml:space="preserve"> to </w:t>
      </w:r>
      <w:proofErr w:type="gramStart"/>
      <w:r w:rsidRPr="002F0A22">
        <w:rPr>
          <w:rFonts w:ascii="Arial" w:hAnsi="Arial" w:cs="Arial"/>
          <w:sz w:val="20"/>
          <w:szCs w:val="20"/>
        </w:rPr>
        <w:t>banking</w:t>
      </w:r>
      <w:r>
        <w:rPr>
          <w:rFonts w:ascii="Arial" w:hAnsi="Arial" w:cs="Arial"/>
          <w:sz w:val="20"/>
          <w:szCs w:val="20"/>
        </w:rPr>
        <w:t>;</w:t>
      </w:r>
      <w:proofErr w:type="gramEnd"/>
    </w:p>
    <w:p w14:paraId="077A089E" w14:textId="7FC5C7F9" w:rsidR="008A4BCA"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recognise and evaluate the issues related to the provision of banking services</w:t>
      </w:r>
      <w:r w:rsidRPr="002F0A22">
        <w:rPr>
          <w:rFonts w:ascii="Arial" w:hAnsi="Arial" w:cs="Arial"/>
          <w:sz w:val="20"/>
          <w:szCs w:val="20"/>
        </w:rPr>
        <w:t xml:space="preserve"> and regulation of the banking industry</w:t>
      </w:r>
      <w:r w:rsidRPr="004F23A9">
        <w:rPr>
          <w:rFonts w:ascii="Arial" w:hAnsi="Arial"/>
          <w:sz w:val="20"/>
        </w:rPr>
        <w:t>.</w:t>
      </w:r>
    </w:p>
    <w:p w14:paraId="6FA9529D" w14:textId="61958ED8" w:rsidR="00373ACB" w:rsidRPr="00373ACB" w:rsidRDefault="00373ACB" w:rsidP="005E3FA7">
      <w:pPr>
        <w:pStyle w:val="ListParagraph"/>
        <w:spacing w:after="120" w:line="240" w:lineRule="auto"/>
        <w:ind w:left="851" w:right="260"/>
        <w:rPr>
          <w:rFonts w:ascii="Arial" w:hAnsi="Arial" w:cs="Arial"/>
          <w:sz w:val="20"/>
          <w:szCs w:val="20"/>
        </w:rPr>
      </w:pPr>
    </w:p>
    <w:p w14:paraId="4DD33A3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B6DEA89" w14:textId="77777777" w:rsidR="00380EAE" w:rsidRPr="00380EAE" w:rsidRDefault="00380EAE" w:rsidP="0066061A">
      <w:pPr>
        <w:spacing w:after="120" w:line="240" w:lineRule="auto"/>
        <w:ind w:left="426" w:right="260"/>
        <w:rPr>
          <w:rFonts w:ascii="Arial" w:hAnsi="Arial" w:cs="Arial"/>
          <w:b/>
          <w:sz w:val="20"/>
          <w:szCs w:val="20"/>
        </w:rPr>
      </w:pPr>
    </w:p>
    <w:p w14:paraId="4F884B8B" w14:textId="6CBC7B7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structure, formulate, communicate as well as defend their arguments in relation to the issues </w:t>
      </w:r>
      <w:proofErr w:type="gramStart"/>
      <w:r w:rsidRPr="004F23A9">
        <w:rPr>
          <w:rFonts w:ascii="Arial" w:hAnsi="Arial"/>
          <w:sz w:val="20"/>
        </w:rPr>
        <w:t>identified</w:t>
      </w:r>
      <w:r w:rsidR="00B12D75">
        <w:rPr>
          <w:rFonts w:ascii="Arial" w:hAnsi="Arial" w:cs="Arial"/>
          <w:sz w:val="20"/>
          <w:szCs w:val="20"/>
        </w:rPr>
        <w:t>;</w:t>
      </w:r>
      <w:proofErr w:type="gramEnd"/>
    </w:p>
    <w:p w14:paraId="3AC6E638" w14:textId="5731820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organise their work, engage in independent study and use of resources particularly from the Library, the </w:t>
      </w:r>
      <w:r w:rsidR="004721CB">
        <w:rPr>
          <w:rFonts w:ascii="Arial" w:hAnsi="Arial" w:cs="Arial"/>
          <w:sz w:val="20"/>
          <w:szCs w:val="20"/>
        </w:rPr>
        <w:t>Kent</w:t>
      </w:r>
      <w:r w:rsidRPr="004F23A9">
        <w:rPr>
          <w:rFonts w:ascii="Arial" w:hAnsi="Arial"/>
          <w:sz w:val="20"/>
        </w:rPr>
        <w:t xml:space="preserve"> electronic network (</w:t>
      </w:r>
      <w:proofErr w:type="gramStart"/>
      <w:r w:rsidRPr="004F23A9">
        <w:rPr>
          <w:rFonts w:ascii="Arial" w:hAnsi="Arial"/>
          <w:sz w:val="20"/>
        </w:rPr>
        <w:t>e.g.</w:t>
      </w:r>
      <w:proofErr w:type="gramEnd"/>
      <w:r w:rsidRPr="004F23A9">
        <w:rPr>
          <w:rFonts w:ascii="Arial" w:hAnsi="Arial"/>
          <w:sz w:val="20"/>
        </w:rPr>
        <w:t xml:space="preserve"> Library CD-ROMs, Lexis) and the Internet</w:t>
      </w:r>
      <w:r w:rsidR="00D6661D">
        <w:rPr>
          <w:rFonts w:ascii="Arial" w:hAnsi="Arial" w:cs="Arial"/>
          <w:sz w:val="20"/>
          <w:szCs w:val="20"/>
        </w:rPr>
        <w:t>;</w:t>
      </w:r>
    </w:p>
    <w:p w14:paraId="7B7AD133" w14:textId="352A378E" w:rsidR="00373ACB"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carry out independent research</w:t>
      </w:r>
      <w:r w:rsidR="00D6661D">
        <w:rPr>
          <w:rFonts w:ascii="Arial" w:hAnsi="Arial" w:cs="Arial"/>
          <w:sz w:val="20"/>
          <w:szCs w:val="20"/>
        </w:rPr>
        <w:t>.</w:t>
      </w:r>
    </w:p>
    <w:p w14:paraId="31B89015" w14:textId="501BF041" w:rsidR="00373ACB" w:rsidRPr="00373ACB" w:rsidRDefault="00373ACB" w:rsidP="0066061A">
      <w:pPr>
        <w:pStyle w:val="Default"/>
        <w:spacing w:after="120"/>
        <w:ind w:right="260"/>
        <w:rPr>
          <w:color w:val="auto"/>
          <w:sz w:val="20"/>
          <w:szCs w:val="20"/>
        </w:rPr>
      </w:pPr>
    </w:p>
    <w:p w14:paraId="107C4787" w14:textId="5ADCC31B"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A synopsis of the curriculum</w:t>
      </w:r>
    </w:p>
    <w:p w14:paraId="0AD0CDFA" w14:textId="3560F946" w:rsidR="009A2D37" w:rsidRPr="008B1B0D" w:rsidRDefault="00D6661D" w:rsidP="00943BCD">
      <w:pPr>
        <w:spacing w:after="120" w:line="240" w:lineRule="auto"/>
        <w:ind w:left="426" w:right="260"/>
        <w:jc w:val="both"/>
        <w:rPr>
          <w:rFonts w:ascii="Arial" w:hAnsi="Arial"/>
          <w:sz w:val="20"/>
          <w:szCs w:val="20"/>
        </w:rPr>
      </w:pPr>
      <w:r w:rsidRPr="008B1B0D">
        <w:rPr>
          <w:rFonts w:ascii="Arial" w:hAnsi="Arial"/>
          <w:sz w:val="20"/>
          <w:szCs w:val="20"/>
        </w:rPr>
        <w:t xml:space="preserve">The module will </w:t>
      </w:r>
      <w:r w:rsidRPr="008B1B0D">
        <w:rPr>
          <w:rFonts w:ascii="Arial" w:hAnsi="Arial" w:cs="Arial"/>
          <w:iCs/>
          <w:sz w:val="20"/>
          <w:szCs w:val="20"/>
        </w:rPr>
        <w:t xml:space="preserve">be divided into three main sections. The </w:t>
      </w:r>
      <w:r w:rsidRPr="008B1B0D">
        <w:rPr>
          <w:rFonts w:ascii="Arial" w:hAnsi="Arial"/>
          <w:sz w:val="20"/>
          <w:szCs w:val="20"/>
        </w:rPr>
        <w:t xml:space="preserve">first </w:t>
      </w:r>
      <w:r w:rsidRPr="008B1B0D">
        <w:rPr>
          <w:rFonts w:ascii="Arial" w:hAnsi="Arial" w:cs="Arial"/>
          <w:iCs/>
          <w:sz w:val="20"/>
          <w:szCs w:val="20"/>
        </w:rPr>
        <w:t>section</w:t>
      </w:r>
      <w:r w:rsidRPr="008B1B0D">
        <w:rPr>
          <w:rFonts w:ascii="Arial" w:hAnsi="Arial"/>
          <w:sz w:val="20"/>
          <w:szCs w:val="20"/>
        </w:rPr>
        <w:t xml:space="preserve"> will </w:t>
      </w:r>
      <w:r w:rsidRPr="008B1B0D">
        <w:rPr>
          <w:rFonts w:ascii="Arial" w:hAnsi="Arial" w:cs="Arial"/>
          <w:iCs/>
          <w:sz w:val="20"/>
          <w:szCs w:val="20"/>
        </w:rPr>
        <w:t>involve an examination of</w:t>
      </w:r>
      <w:r w:rsidRPr="008B1B0D">
        <w:rPr>
          <w:rFonts w:ascii="Arial" w:hAnsi="Arial"/>
          <w:sz w:val="20"/>
          <w:szCs w:val="20"/>
        </w:rPr>
        <w:t xml:space="preserve"> the banker-customer relationship, including the rights and obligations of the parties in </w:t>
      </w:r>
      <w:r w:rsidRPr="008B1B0D">
        <w:rPr>
          <w:rFonts w:ascii="Arial" w:hAnsi="Arial" w:cs="Arial"/>
          <w:iCs/>
          <w:sz w:val="20"/>
          <w:szCs w:val="20"/>
        </w:rPr>
        <w:t xml:space="preserve">that relationship, the use of different methods of payments and remedies. </w:t>
      </w:r>
      <w:r w:rsidRPr="008B1B0D">
        <w:rPr>
          <w:rFonts w:ascii="Arial" w:hAnsi="Arial"/>
          <w:sz w:val="20"/>
          <w:szCs w:val="20"/>
        </w:rPr>
        <w:t xml:space="preserve">The second </w:t>
      </w:r>
      <w:r w:rsidRPr="008B1B0D">
        <w:rPr>
          <w:rFonts w:ascii="Arial" w:hAnsi="Arial" w:cs="Arial"/>
          <w:iCs/>
          <w:sz w:val="20"/>
          <w:szCs w:val="20"/>
        </w:rPr>
        <w:t xml:space="preserve">section </w:t>
      </w:r>
      <w:r w:rsidRPr="008B1B0D">
        <w:rPr>
          <w:rFonts w:ascii="Arial" w:hAnsi="Arial"/>
          <w:sz w:val="20"/>
          <w:szCs w:val="20"/>
        </w:rPr>
        <w:t>will focus on the provision of credit by banks</w:t>
      </w:r>
      <w:r w:rsidRPr="008B1B0D">
        <w:rPr>
          <w:rFonts w:ascii="Arial" w:hAnsi="Arial" w:cs="Arial"/>
          <w:iCs/>
          <w:sz w:val="20"/>
          <w:szCs w:val="20"/>
        </w:rPr>
        <w:t xml:space="preserve"> to customers. This section will look at the types of credit facilities provided by banks</w:t>
      </w:r>
      <w:r w:rsidRPr="008B1B0D">
        <w:rPr>
          <w:rFonts w:ascii="Arial" w:hAnsi="Arial"/>
          <w:sz w:val="20"/>
          <w:szCs w:val="20"/>
        </w:rPr>
        <w:t>, the taking of security by banks</w:t>
      </w:r>
      <w:r w:rsidRPr="008B1B0D">
        <w:rPr>
          <w:rFonts w:ascii="Arial" w:hAnsi="Arial" w:cs="Arial"/>
          <w:iCs/>
          <w:sz w:val="20"/>
          <w:szCs w:val="20"/>
        </w:rPr>
        <w:t xml:space="preserve"> and </w:t>
      </w:r>
      <w:r w:rsidRPr="008B1B0D">
        <w:rPr>
          <w:rFonts w:ascii="Arial" w:hAnsi="Arial"/>
          <w:sz w:val="20"/>
          <w:szCs w:val="20"/>
        </w:rPr>
        <w:t>the enforcement of such security</w:t>
      </w:r>
      <w:r w:rsidRPr="008B1B0D">
        <w:rPr>
          <w:rFonts w:ascii="Arial" w:hAnsi="Arial" w:cs="Arial"/>
          <w:iCs/>
          <w:sz w:val="20"/>
          <w:szCs w:val="20"/>
        </w:rPr>
        <w:t xml:space="preserve">. The final section will focus on </w:t>
      </w:r>
      <w:r w:rsidRPr="008B1B0D">
        <w:rPr>
          <w:rFonts w:ascii="Arial" w:hAnsi="Arial"/>
          <w:sz w:val="20"/>
          <w:szCs w:val="20"/>
        </w:rPr>
        <w:t xml:space="preserve">money laundering </w:t>
      </w:r>
      <w:r w:rsidRPr="008B1B0D">
        <w:rPr>
          <w:rFonts w:ascii="Arial" w:hAnsi="Arial" w:cs="Arial"/>
          <w:iCs/>
          <w:sz w:val="20"/>
          <w:szCs w:val="20"/>
        </w:rPr>
        <w:t>regulation within the banking industry</w:t>
      </w:r>
      <w:r w:rsidRPr="008B1B0D">
        <w:rPr>
          <w:rFonts w:ascii="Arial" w:hAnsi="Arial"/>
          <w:sz w:val="20"/>
          <w:szCs w:val="20"/>
        </w:rPr>
        <w:t>.</w:t>
      </w:r>
    </w:p>
    <w:p w14:paraId="077AB1B0" w14:textId="77777777" w:rsidR="00373ACB" w:rsidRPr="004F23A9" w:rsidRDefault="00373ACB" w:rsidP="004F23A9">
      <w:pPr>
        <w:spacing w:after="120" w:line="240" w:lineRule="auto"/>
        <w:ind w:left="426" w:right="260"/>
        <w:rPr>
          <w:rFonts w:ascii="Arial" w:hAnsi="Arial"/>
          <w:sz w:val="20"/>
        </w:rPr>
      </w:pPr>
    </w:p>
    <w:p w14:paraId="08FF537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46314A8E" w14:textId="591C7A44" w:rsidR="00D6661D" w:rsidRDefault="00D6661D" w:rsidP="00943BCD">
      <w:pPr>
        <w:spacing w:after="120" w:line="240" w:lineRule="auto"/>
        <w:ind w:left="426" w:right="260"/>
        <w:jc w:val="both"/>
        <w:rPr>
          <w:rFonts w:ascii="Arial" w:hAnsi="Arial" w:cs="Arial"/>
          <w:sz w:val="20"/>
          <w:szCs w:val="20"/>
        </w:rPr>
      </w:pPr>
      <w:r w:rsidRPr="00D6661D">
        <w:rPr>
          <w:rFonts w:ascii="Arial" w:hAnsi="Arial" w:cs="Arial"/>
          <w:sz w:val="20"/>
          <w:szCs w:val="20"/>
        </w:rPr>
        <w:t xml:space="preserve">The key source materials for the module are available in the </w:t>
      </w:r>
      <w:proofErr w:type="gramStart"/>
      <w:r w:rsidRPr="00D6661D">
        <w:rPr>
          <w:rFonts w:ascii="Arial" w:hAnsi="Arial" w:cs="Arial"/>
          <w:sz w:val="20"/>
          <w:szCs w:val="20"/>
        </w:rPr>
        <w:t>Library</w:t>
      </w:r>
      <w:proofErr w:type="gramEnd"/>
      <w:r w:rsidRPr="00D6661D">
        <w:rPr>
          <w:rFonts w:ascii="Arial" w:hAnsi="Arial" w:cs="Arial"/>
          <w:sz w:val="20"/>
          <w:szCs w:val="20"/>
        </w:rPr>
        <w:t>. The current recommended textbook for student purchase is:</w:t>
      </w:r>
    </w:p>
    <w:p w14:paraId="348B75DE" w14:textId="77777777" w:rsidR="00943BCD" w:rsidRPr="00D6661D" w:rsidRDefault="00943BCD" w:rsidP="00943BCD">
      <w:pPr>
        <w:spacing w:after="120" w:line="240" w:lineRule="auto"/>
        <w:ind w:left="426" w:right="260"/>
        <w:jc w:val="both"/>
        <w:rPr>
          <w:rFonts w:ascii="Arial" w:hAnsi="Arial" w:cs="Arial"/>
          <w:sz w:val="20"/>
          <w:szCs w:val="20"/>
        </w:rPr>
      </w:pPr>
    </w:p>
    <w:p w14:paraId="6C05F303" w14:textId="6A1FE774" w:rsidR="00D6661D"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EP </w:t>
      </w:r>
      <w:r w:rsidRPr="004F23A9">
        <w:rPr>
          <w:rFonts w:ascii="Arial" w:hAnsi="Arial"/>
          <w:sz w:val="20"/>
        </w:rPr>
        <w:t xml:space="preserve">Ellinger et al, </w:t>
      </w:r>
      <w:r w:rsidRPr="00943BCD">
        <w:rPr>
          <w:rFonts w:ascii="Arial" w:hAnsi="Arial" w:cs="Arial"/>
          <w:i/>
          <w:sz w:val="20"/>
          <w:szCs w:val="20"/>
        </w:rPr>
        <w:t xml:space="preserve">Ellinger’s </w:t>
      </w:r>
      <w:r w:rsidRPr="00943BCD">
        <w:rPr>
          <w:rFonts w:ascii="Arial" w:hAnsi="Arial"/>
          <w:i/>
          <w:sz w:val="20"/>
        </w:rPr>
        <w:t>Modern Banking Law</w:t>
      </w:r>
      <w:r w:rsidRPr="004F23A9">
        <w:rPr>
          <w:rFonts w:ascii="Arial" w:hAnsi="Arial"/>
          <w:sz w:val="20"/>
        </w:rPr>
        <w:t xml:space="preserve"> (</w:t>
      </w:r>
      <w:r w:rsidRPr="00D6661D">
        <w:rPr>
          <w:rFonts w:ascii="Arial" w:hAnsi="Arial" w:cs="Arial"/>
          <w:sz w:val="20"/>
          <w:szCs w:val="20"/>
        </w:rPr>
        <w:t>5th</w:t>
      </w:r>
      <w:r w:rsidRPr="004F23A9">
        <w:rPr>
          <w:rFonts w:ascii="Arial" w:hAnsi="Arial"/>
          <w:sz w:val="20"/>
        </w:rPr>
        <w:t xml:space="preserve"> ed</w:t>
      </w:r>
      <w:r w:rsidRPr="00D6661D">
        <w:rPr>
          <w:rFonts w:ascii="Arial" w:hAnsi="Arial" w:cs="Arial"/>
          <w:sz w:val="20"/>
          <w:szCs w:val="20"/>
        </w:rPr>
        <w:t xml:space="preserve">, Oxford University Press, 2011) </w:t>
      </w:r>
      <w:r>
        <w:rPr>
          <w:rFonts w:ascii="Arial" w:hAnsi="Arial" w:cs="Arial"/>
          <w:sz w:val="20"/>
          <w:szCs w:val="20"/>
        </w:rPr>
        <w:br/>
      </w:r>
    </w:p>
    <w:p w14:paraId="3B48BA98" w14:textId="77777777" w:rsidR="00D6661D" w:rsidRPr="00D6661D" w:rsidRDefault="00D6661D" w:rsidP="00D6661D">
      <w:pPr>
        <w:spacing w:after="120" w:line="240" w:lineRule="auto"/>
        <w:ind w:left="426" w:right="260"/>
        <w:rPr>
          <w:rFonts w:ascii="Arial" w:hAnsi="Arial" w:cs="Arial"/>
          <w:sz w:val="20"/>
          <w:szCs w:val="20"/>
        </w:rPr>
      </w:pPr>
      <w:r w:rsidRPr="00D6661D">
        <w:rPr>
          <w:rFonts w:ascii="Arial" w:hAnsi="Arial" w:cs="Arial"/>
          <w:sz w:val="20"/>
          <w:szCs w:val="20"/>
        </w:rPr>
        <w:t>Other key source materials for this module are:</w:t>
      </w:r>
      <w:r>
        <w:rPr>
          <w:rFonts w:ascii="Arial" w:hAnsi="Arial" w:cs="Arial"/>
          <w:sz w:val="20"/>
          <w:szCs w:val="20"/>
        </w:rPr>
        <w:br/>
      </w:r>
    </w:p>
    <w:p w14:paraId="702B2079" w14:textId="324BA7F9" w:rsidR="00220C6E" w:rsidRDefault="00220C6E" w:rsidP="00D6661D">
      <w:pPr>
        <w:pStyle w:val="ListParagraph"/>
        <w:numPr>
          <w:ilvl w:val="3"/>
          <w:numId w:val="1"/>
        </w:numPr>
        <w:spacing w:after="120" w:line="240" w:lineRule="auto"/>
        <w:ind w:left="1418" w:right="2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Arora, </w:t>
      </w:r>
      <w:r w:rsidRPr="00BC2A93">
        <w:rPr>
          <w:rFonts w:ascii="Arial" w:hAnsi="Arial" w:cs="Arial"/>
          <w:i/>
          <w:sz w:val="20"/>
          <w:szCs w:val="20"/>
        </w:rPr>
        <w:t>Banking Law</w:t>
      </w:r>
      <w:r>
        <w:rPr>
          <w:rFonts w:ascii="Arial" w:hAnsi="Arial" w:cs="Arial"/>
          <w:sz w:val="20"/>
          <w:szCs w:val="20"/>
        </w:rPr>
        <w:t xml:space="preserve"> (Pearson 2014)</w:t>
      </w:r>
    </w:p>
    <w:p w14:paraId="1B77D91F" w14:textId="688563DD" w:rsidR="008B1B0D" w:rsidRPr="004A3380" w:rsidRDefault="008B1B0D">
      <w:pPr>
        <w:pStyle w:val="ListParagraph"/>
        <w:numPr>
          <w:ilvl w:val="3"/>
          <w:numId w:val="1"/>
        </w:numPr>
        <w:spacing w:after="120" w:line="240" w:lineRule="auto"/>
        <w:ind w:left="1418" w:right="260"/>
        <w:rPr>
          <w:rFonts w:ascii="Arial" w:hAnsi="Arial" w:cs="Arial"/>
          <w:sz w:val="20"/>
          <w:szCs w:val="20"/>
        </w:rPr>
      </w:pPr>
      <w:proofErr w:type="gramStart"/>
      <w:r w:rsidRPr="00D6661D">
        <w:rPr>
          <w:rFonts w:ascii="Arial" w:hAnsi="Arial" w:cs="Arial"/>
          <w:sz w:val="20"/>
          <w:szCs w:val="20"/>
        </w:rPr>
        <w:t>A</w:t>
      </w:r>
      <w:proofErr w:type="gramEnd"/>
      <w:r w:rsidRPr="00D6661D">
        <w:rPr>
          <w:rFonts w:ascii="Arial" w:hAnsi="Arial" w:cs="Arial"/>
          <w:sz w:val="20"/>
          <w:szCs w:val="20"/>
        </w:rPr>
        <w:t xml:space="preserve"> Arora, </w:t>
      </w:r>
      <w:r w:rsidRPr="00BC2A93">
        <w:rPr>
          <w:rFonts w:ascii="Arial" w:hAnsi="Arial" w:cs="Arial"/>
          <w:i/>
          <w:sz w:val="20"/>
          <w:szCs w:val="20"/>
        </w:rPr>
        <w:t>Electronic</w:t>
      </w:r>
      <w:r w:rsidRPr="004F23A9">
        <w:rPr>
          <w:rFonts w:ascii="Arial" w:hAnsi="Arial"/>
          <w:i/>
          <w:sz w:val="20"/>
        </w:rPr>
        <w:t xml:space="preserve"> Banking</w:t>
      </w:r>
      <w:r w:rsidRPr="00BC2A93">
        <w:rPr>
          <w:rFonts w:ascii="Arial" w:hAnsi="Arial" w:cs="Arial"/>
          <w:i/>
          <w:sz w:val="20"/>
          <w:szCs w:val="20"/>
        </w:rPr>
        <w:t xml:space="preserve"> and the Law</w:t>
      </w:r>
      <w:r w:rsidRPr="00D6661D">
        <w:rPr>
          <w:rFonts w:ascii="Arial" w:hAnsi="Arial" w:cs="Arial"/>
          <w:sz w:val="20"/>
          <w:szCs w:val="20"/>
        </w:rPr>
        <w:t xml:space="preserve"> (2nd ed,</w:t>
      </w:r>
      <w:r w:rsidRPr="004F23A9">
        <w:rPr>
          <w:rFonts w:ascii="Arial" w:hAnsi="Arial"/>
          <w:sz w:val="20"/>
        </w:rPr>
        <w:t xml:space="preserve"> Banking </w:t>
      </w:r>
      <w:r w:rsidRPr="00D6661D">
        <w:rPr>
          <w:rFonts w:ascii="Arial" w:hAnsi="Arial" w:cs="Arial"/>
          <w:sz w:val="20"/>
          <w:szCs w:val="20"/>
        </w:rPr>
        <w:t>Technology, 1993)</w:t>
      </w:r>
    </w:p>
    <w:p w14:paraId="570F5349" w14:textId="2091A3AE" w:rsidR="008B1B0D" w:rsidRPr="004A3380" w:rsidRDefault="008B1B0D">
      <w:pPr>
        <w:pStyle w:val="ListParagraph"/>
        <w:numPr>
          <w:ilvl w:val="3"/>
          <w:numId w:val="1"/>
        </w:numPr>
        <w:spacing w:after="120" w:line="240" w:lineRule="auto"/>
        <w:ind w:left="1418" w:right="260"/>
        <w:rPr>
          <w:rFonts w:ascii="Arial" w:hAnsi="Arial" w:cs="Arial"/>
          <w:sz w:val="20"/>
          <w:szCs w:val="20"/>
        </w:rPr>
      </w:pPr>
      <w:r w:rsidRPr="00220C6E">
        <w:rPr>
          <w:rFonts w:ascii="Arial" w:hAnsi="Arial" w:cs="Arial"/>
          <w:sz w:val="20"/>
          <w:szCs w:val="20"/>
        </w:rPr>
        <w:t xml:space="preserve">R </w:t>
      </w:r>
      <w:r w:rsidRPr="004F23A9">
        <w:rPr>
          <w:rFonts w:ascii="Arial" w:hAnsi="Arial"/>
          <w:sz w:val="20"/>
        </w:rPr>
        <w:t xml:space="preserve">Cranston, </w:t>
      </w:r>
      <w:r w:rsidRPr="004F23A9">
        <w:rPr>
          <w:rFonts w:ascii="Arial" w:hAnsi="Arial"/>
          <w:i/>
          <w:sz w:val="20"/>
        </w:rPr>
        <w:t>Principles of Banking Law</w:t>
      </w:r>
      <w:r w:rsidRPr="004F23A9">
        <w:rPr>
          <w:rFonts w:ascii="Arial" w:hAnsi="Arial"/>
          <w:sz w:val="20"/>
        </w:rPr>
        <w:t xml:space="preserve"> (2nd ed</w:t>
      </w:r>
      <w:r w:rsidRPr="00220C6E">
        <w:rPr>
          <w:rFonts w:ascii="Arial" w:hAnsi="Arial" w:cs="Arial"/>
          <w:sz w:val="20"/>
          <w:szCs w:val="20"/>
        </w:rPr>
        <w:t>, Oxford University Press</w:t>
      </w:r>
      <w:r w:rsidR="00943BCD">
        <w:rPr>
          <w:rFonts w:ascii="Arial" w:hAnsi="Arial" w:cs="Arial"/>
          <w:sz w:val="20"/>
          <w:szCs w:val="20"/>
        </w:rPr>
        <w:t>,</w:t>
      </w:r>
      <w:r w:rsidRPr="004F23A9">
        <w:rPr>
          <w:rFonts w:ascii="Arial" w:hAnsi="Arial"/>
          <w:sz w:val="20"/>
        </w:rPr>
        <w:t xml:space="preserve"> 2002)</w:t>
      </w:r>
    </w:p>
    <w:p w14:paraId="4189B832" w14:textId="6A1872CA" w:rsidR="00220C6E" w:rsidRDefault="00D6661D" w:rsidP="00220C6E">
      <w:pPr>
        <w:pStyle w:val="ListParagraph"/>
        <w:numPr>
          <w:ilvl w:val="3"/>
          <w:numId w:val="1"/>
        </w:numPr>
        <w:spacing w:after="120" w:line="240" w:lineRule="auto"/>
        <w:ind w:left="1418" w:right="260"/>
        <w:rPr>
          <w:rFonts w:ascii="Arial" w:hAnsi="Arial" w:cs="Arial"/>
          <w:sz w:val="20"/>
          <w:szCs w:val="20"/>
        </w:rPr>
      </w:pPr>
      <w:r w:rsidRPr="00D6661D">
        <w:rPr>
          <w:rFonts w:ascii="Arial" w:hAnsi="Arial" w:cs="Arial"/>
          <w:sz w:val="20"/>
          <w:szCs w:val="20"/>
        </w:rPr>
        <w:t xml:space="preserve">M </w:t>
      </w:r>
      <w:proofErr w:type="spellStart"/>
      <w:r w:rsidRPr="00D6661D">
        <w:rPr>
          <w:rFonts w:ascii="Arial" w:hAnsi="Arial" w:cs="Arial"/>
          <w:sz w:val="20"/>
          <w:szCs w:val="20"/>
        </w:rPr>
        <w:t>Hapgood</w:t>
      </w:r>
      <w:proofErr w:type="spellEnd"/>
      <w:r w:rsidRPr="00D6661D">
        <w:rPr>
          <w:rFonts w:ascii="Arial" w:hAnsi="Arial" w:cs="Arial"/>
          <w:sz w:val="20"/>
          <w:szCs w:val="20"/>
        </w:rPr>
        <w:t xml:space="preserve">, </w:t>
      </w:r>
      <w:r w:rsidRPr="00943BCD">
        <w:rPr>
          <w:rFonts w:ascii="Arial" w:hAnsi="Arial" w:cs="Arial"/>
          <w:i/>
          <w:sz w:val="20"/>
          <w:szCs w:val="20"/>
        </w:rPr>
        <w:t>Paget’s Law of Banking</w:t>
      </w:r>
      <w:r w:rsidRPr="00D6661D">
        <w:rPr>
          <w:rFonts w:ascii="Arial" w:hAnsi="Arial" w:cs="Arial"/>
          <w:sz w:val="20"/>
          <w:szCs w:val="20"/>
        </w:rPr>
        <w:t xml:space="preserve"> (</w:t>
      </w:r>
      <w:r w:rsidR="00220C6E">
        <w:rPr>
          <w:rFonts w:ascii="Arial" w:hAnsi="Arial" w:cs="Arial"/>
          <w:sz w:val="20"/>
          <w:szCs w:val="20"/>
        </w:rPr>
        <w:t>13</w:t>
      </w:r>
      <w:r w:rsidR="00220C6E" w:rsidRPr="00BC2A93">
        <w:rPr>
          <w:rFonts w:ascii="Arial" w:hAnsi="Arial" w:cs="Arial"/>
          <w:sz w:val="20"/>
          <w:szCs w:val="20"/>
          <w:vertAlign w:val="superscript"/>
        </w:rPr>
        <w:t>th</w:t>
      </w:r>
      <w:r w:rsidR="00220C6E">
        <w:rPr>
          <w:rFonts w:ascii="Arial" w:hAnsi="Arial" w:cs="Arial"/>
          <w:sz w:val="20"/>
          <w:szCs w:val="20"/>
        </w:rPr>
        <w:t xml:space="preserve"> ed, LexisNexis Butterworths</w:t>
      </w:r>
      <w:r w:rsidR="00943BCD">
        <w:rPr>
          <w:rFonts w:ascii="Arial" w:hAnsi="Arial" w:cs="Arial"/>
          <w:sz w:val="20"/>
          <w:szCs w:val="20"/>
        </w:rPr>
        <w:t>,</w:t>
      </w:r>
      <w:r w:rsidR="00220C6E">
        <w:rPr>
          <w:rFonts w:ascii="Arial" w:hAnsi="Arial" w:cs="Arial"/>
          <w:sz w:val="20"/>
          <w:szCs w:val="20"/>
        </w:rPr>
        <w:t xml:space="preserve"> 2007)</w:t>
      </w:r>
      <w:r w:rsidR="00220C6E" w:rsidRPr="00220C6E">
        <w:rPr>
          <w:rFonts w:ascii="Arial" w:hAnsi="Arial" w:cs="Arial"/>
          <w:sz w:val="20"/>
          <w:szCs w:val="20"/>
        </w:rPr>
        <w:t xml:space="preserve"> </w:t>
      </w:r>
    </w:p>
    <w:p w14:paraId="5E58409B" w14:textId="1B54A249" w:rsidR="00220C6E"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G Penn &amp; J </w:t>
      </w:r>
      <w:proofErr w:type="spellStart"/>
      <w:r w:rsidRPr="004F23A9">
        <w:rPr>
          <w:rFonts w:ascii="Arial" w:hAnsi="Arial"/>
          <w:sz w:val="20"/>
        </w:rPr>
        <w:t>Wadsley</w:t>
      </w:r>
      <w:proofErr w:type="spellEnd"/>
      <w:r w:rsidRPr="004F23A9">
        <w:rPr>
          <w:rFonts w:ascii="Arial" w:hAnsi="Arial"/>
          <w:sz w:val="20"/>
        </w:rPr>
        <w:t xml:space="preserve">, </w:t>
      </w:r>
      <w:r w:rsidRPr="004F23A9">
        <w:rPr>
          <w:rFonts w:ascii="Arial" w:hAnsi="Arial"/>
          <w:i/>
          <w:sz w:val="20"/>
        </w:rPr>
        <w:t xml:space="preserve">The Law </w:t>
      </w:r>
      <w:r w:rsidRPr="00BC2A93">
        <w:rPr>
          <w:rFonts w:ascii="Arial" w:hAnsi="Arial" w:cs="Arial"/>
          <w:i/>
          <w:sz w:val="20"/>
          <w:szCs w:val="20"/>
        </w:rPr>
        <w:t>relating to</w:t>
      </w:r>
      <w:r w:rsidRPr="004F23A9">
        <w:rPr>
          <w:rFonts w:ascii="Arial" w:hAnsi="Arial"/>
          <w:i/>
          <w:sz w:val="20"/>
        </w:rPr>
        <w:t xml:space="preserve"> Domestic Banking</w:t>
      </w:r>
      <w:r w:rsidRPr="004F23A9">
        <w:rPr>
          <w:rFonts w:ascii="Arial" w:hAnsi="Arial"/>
          <w:sz w:val="20"/>
        </w:rPr>
        <w:t xml:space="preserve"> </w:t>
      </w:r>
      <w:r w:rsidRPr="00D6661D">
        <w:rPr>
          <w:rFonts w:ascii="Arial" w:hAnsi="Arial" w:cs="Arial"/>
          <w:sz w:val="20"/>
          <w:szCs w:val="20"/>
        </w:rPr>
        <w:t>(</w:t>
      </w:r>
      <w:r w:rsidRPr="004F23A9">
        <w:rPr>
          <w:rFonts w:ascii="Arial" w:hAnsi="Arial"/>
          <w:sz w:val="20"/>
        </w:rPr>
        <w:t>Sweet &amp; Maxwell</w:t>
      </w:r>
      <w:r w:rsidRPr="00D6661D">
        <w:rPr>
          <w:rFonts w:ascii="Arial" w:hAnsi="Arial" w:cs="Arial"/>
          <w:sz w:val="20"/>
          <w:szCs w:val="20"/>
        </w:rPr>
        <w:t>, 2002)</w:t>
      </w:r>
      <w:r w:rsidR="00220C6E" w:rsidRPr="00220C6E">
        <w:rPr>
          <w:rFonts w:ascii="Arial" w:hAnsi="Arial" w:cs="Arial"/>
          <w:sz w:val="20"/>
          <w:szCs w:val="20"/>
        </w:rPr>
        <w:t xml:space="preserve"> </w:t>
      </w:r>
    </w:p>
    <w:p w14:paraId="4EFA6D18" w14:textId="77777777" w:rsidR="00DE4F08" w:rsidRPr="00D6661D" w:rsidRDefault="00DE4F08" w:rsidP="00BC2A93">
      <w:pPr>
        <w:pStyle w:val="ListParagraph"/>
        <w:spacing w:after="120" w:line="240" w:lineRule="auto"/>
        <w:ind w:left="1418" w:right="260"/>
        <w:rPr>
          <w:rFonts w:ascii="Arial" w:hAnsi="Arial" w:cs="Arial"/>
          <w:sz w:val="20"/>
          <w:szCs w:val="20"/>
        </w:rPr>
      </w:pPr>
    </w:p>
    <w:p w14:paraId="78380E67" w14:textId="77777777" w:rsidR="00D6661D" w:rsidRPr="00D6661D" w:rsidRDefault="00D6661D" w:rsidP="00D6661D">
      <w:pPr>
        <w:pStyle w:val="ListParagraph"/>
        <w:spacing w:after="120" w:line="240" w:lineRule="auto"/>
        <w:ind w:left="1418" w:right="260"/>
        <w:rPr>
          <w:rFonts w:ascii="Arial" w:hAnsi="Arial" w:cs="Arial"/>
          <w:sz w:val="20"/>
          <w:szCs w:val="20"/>
        </w:rPr>
      </w:pPr>
    </w:p>
    <w:p w14:paraId="198D79B6" w14:textId="267BA2E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C9E8815" w14:textId="0EA4651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8D74647" w14:textId="34EDAAA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0227E879" w14:textId="0F9CD4A9" w:rsidR="00C82E71" w:rsidRPr="00943BCD" w:rsidRDefault="009834DA" w:rsidP="00943BCD">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456566">
        <w:rPr>
          <w:rFonts w:ascii="Arial" w:hAnsi="Arial" w:cs="Arial"/>
          <w:iCs/>
          <w:sz w:val="20"/>
          <w:szCs w:val="20"/>
        </w:rPr>
        <w:br/>
      </w:r>
    </w:p>
    <w:p w14:paraId="3FF3E05E" w14:textId="77777777" w:rsidR="00335C13" w:rsidRPr="00335C13" w:rsidRDefault="00EF4933" w:rsidP="004F23A9">
      <w:pPr>
        <w:numPr>
          <w:ilvl w:val="0"/>
          <w:numId w:val="1"/>
        </w:numPr>
        <w:spacing w:after="120" w:line="240" w:lineRule="auto"/>
        <w:ind w:left="426" w:right="260" w:hanging="426"/>
        <w:rPr>
          <w:rFonts w:ascii="Arial" w:hAnsi="Arial"/>
          <w:b/>
          <w:i/>
          <w:sz w:val="20"/>
        </w:rPr>
      </w:pPr>
      <w:r w:rsidRPr="004F23A9">
        <w:rPr>
          <w:rFonts w:ascii="Arial" w:hAnsi="Arial"/>
          <w:b/>
          <w:sz w:val="20"/>
        </w:rPr>
        <w:t>Assessment methods</w:t>
      </w:r>
      <w:r w:rsidR="006F3F8B" w:rsidRPr="00373ACB">
        <w:rPr>
          <w:rFonts w:ascii="Arial" w:hAnsi="Arial" w:cs="Arial"/>
          <w:b/>
          <w:sz w:val="20"/>
          <w:szCs w:val="20"/>
        </w:rPr>
        <w:t>.</w:t>
      </w:r>
    </w:p>
    <w:p w14:paraId="07135974" w14:textId="77777777" w:rsidR="00335C13" w:rsidRDefault="00335C13" w:rsidP="00335C13">
      <w:pPr>
        <w:spacing w:after="120" w:line="240" w:lineRule="auto"/>
        <w:ind w:left="426" w:right="260"/>
        <w:rPr>
          <w:rFonts w:ascii="Arial" w:hAnsi="Arial"/>
          <w:b/>
          <w:sz w:val="20"/>
        </w:rPr>
      </w:pPr>
    </w:p>
    <w:p w14:paraId="468BCDAD" w14:textId="3F27964A" w:rsidR="00373ACB" w:rsidRPr="004F23A9" w:rsidRDefault="00335C13">
      <w:pPr>
        <w:spacing w:after="120" w:line="240" w:lineRule="auto"/>
        <w:ind w:left="426" w:right="260"/>
        <w:rPr>
          <w:rFonts w:ascii="Arial" w:hAnsi="Arial"/>
          <w:b/>
          <w:i/>
          <w:sz w:val="20"/>
        </w:rPr>
      </w:pPr>
      <w:r w:rsidRPr="006F3F43">
        <w:rPr>
          <w:rFonts w:ascii="Arial" w:hAnsi="Arial" w:cs="Arial"/>
          <w:iCs/>
          <w:sz w:val="20"/>
          <w:szCs w:val="20"/>
          <w:u w:val="single"/>
        </w:rPr>
        <w:t>13.1 Main assessment methods</w:t>
      </w:r>
    </w:p>
    <w:p w14:paraId="63E340FA" w14:textId="77777777" w:rsidR="009834DA" w:rsidRDefault="00456566" w:rsidP="004F23A9">
      <w:pPr>
        <w:spacing w:after="120" w:line="240" w:lineRule="auto"/>
        <w:ind w:left="426" w:right="260"/>
        <w:rPr>
          <w:rFonts w:ascii="Arial" w:hAnsi="Arial" w:cs="Arial"/>
          <w:iCs/>
          <w:sz w:val="20"/>
          <w:szCs w:val="20"/>
        </w:rPr>
      </w:pPr>
      <w:r w:rsidRPr="008B1B0D">
        <w:rPr>
          <w:rFonts w:ascii="Arial" w:hAnsi="Arial"/>
          <w:sz w:val="20"/>
          <w:szCs w:val="20"/>
        </w:rPr>
        <w:t xml:space="preserve">The module will be </w:t>
      </w:r>
      <w:r w:rsidRPr="008B1B0D">
        <w:rPr>
          <w:rFonts w:ascii="Arial" w:hAnsi="Arial" w:cs="Arial"/>
          <w:iCs/>
          <w:sz w:val="20"/>
          <w:szCs w:val="20"/>
        </w:rPr>
        <w:t xml:space="preserve">examined </w:t>
      </w:r>
      <w:proofErr w:type="gramStart"/>
      <w:r w:rsidRPr="008B1B0D">
        <w:rPr>
          <w:rFonts w:ascii="Arial" w:hAnsi="Arial" w:cs="Arial"/>
          <w:iCs/>
          <w:sz w:val="20"/>
          <w:szCs w:val="20"/>
        </w:rPr>
        <w:t>on the basis of</w:t>
      </w:r>
      <w:proofErr w:type="gramEnd"/>
      <w:r w:rsidRPr="008B1B0D">
        <w:rPr>
          <w:rFonts w:ascii="Arial" w:hAnsi="Arial" w:cs="Arial"/>
          <w:iCs/>
          <w:sz w:val="20"/>
          <w:szCs w:val="20"/>
        </w:rPr>
        <w:t xml:space="preserve"> 100% coursework</w:t>
      </w:r>
      <w:r w:rsidR="009834DA">
        <w:rPr>
          <w:rFonts w:ascii="Arial" w:hAnsi="Arial" w:cs="Arial"/>
          <w:iCs/>
          <w:sz w:val="20"/>
          <w:szCs w:val="20"/>
        </w:rPr>
        <w:t>:</w:t>
      </w:r>
    </w:p>
    <w:p w14:paraId="448BAF4A" w14:textId="77777777" w:rsidR="009834DA" w:rsidRDefault="009834DA" w:rsidP="004F23A9">
      <w:pPr>
        <w:spacing w:after="120" w:line="240" w:lineRule="auto"/>
        <w:ind w:left="426" w:right="260"/>
        <w:rPr>
          <w:rFonts w:ascii="Arial" w:hAnsi="Arial" w:cs="Arial"/>
          <w:iCs/>
          <w:sz w:val="20"/>
          <w:szCs w:val="20"/>
        </w:rPr>
      </w:pPr>
    </w:p>
    <w:p w14:paraId="694A5048" w14:textId="0A7339B3" w:rsidR="009834DA" w:rsidRDefault="009834DA" w:rsidP="004F23A9">
      <w:pPr>
        <w:spacing w:after="120" w:line="240" w:lineRule="auto"/>
        <w:ind w:left="426" w:right="260"/>
        <w:rPr>
          <w:rFonts w:ascii="Arial" w:hAnsi="Arial" w:cs="Arial"/>
          <w:iCs/>
          <w:sz w:val="20"/>
          <w:szCs w:val="20"/>
        </w:rPr>
      </w:pPr>
      <w:r>
        <w:rPr>
          <w:rFonts w:ascii="Arial" w:hAnsi="Arial" w:cs="Arial"/>
          <w:iCs/>
          <w:sz w:val="20"/>
          <w:szCs w:val="20"/>
        </w:rPr>
        <w:t>Essay, 2</w:t>
      </w:r>
      <w:r w:rsidR="002C6CA1">
        <w:rPr>
          <w:rFonts w:ascii="Arial" w:hAnsi="Arial" w:cs="Arial"/>
          <w:iCs/>
          <w:sz w:val="20"/>
          <w:szCs w:val="20"/>
        </w:rPr>
        <w:t xml:space="preserve">,500 </w:t>
      </w:r>
      <w:r>
        <w:rPr>
          <w:rFonts w:ascii="Arial" w:hAnsi="Arial" w:cs="Arial"/>
          <w:iCs/>
          <w:sz w:val="20"/>
          <w:szCs w:val="20"/>
        </w:rPr>
        <w:t>words (</w:t>
      </w:r>
      <w:r w:rsidR="002C6CA1">
        <w:rPr>
          <w:rFonts w:ascii="Arial" w:hAnsi="Arial" w:cs="Arial"/>
          <w:iCs/>
          <w:sz w:val="20"/>
          <w:szCs w:val="20"/>
        </w:rPr>
        <w:t>70</w:t>
      </w:r>
      <w:r>
        <w:rPr>
          <w:rFonts w:ascii="Arial" w:hAnsi="Arial" w:cs="Arial"/>
          <w:iCs/>
          <w:sz w:val="20"/>
          <w:szCs w:val="20"/>
        </w:rPr>
        <w:t>%)</w:t>
      </w:r>
    </w:p>
    <w:p w14:paraId="35C4393D" w14:textId="2F6D78E2" w:rsidR="00335C13" w:rsidRDefault="002C6CA1" w:rsidP="002C6CA1">
      <w:pPr>
        <w:spacing w:after="120" w:line="240" w:lineRule="auto"/>
        <w:ind w:left="426" w:right="260"/>
        <w:rPr>
          <w:rFonts w:ascii="Arial" w:hAnsi="Arial" w:cs="Arial"/>
          <w:iCs/>
          <w:sz w:val="20"/>
          <w:szCs w:val="20"/>
          <w:u w:val="single"/>
        </w:rPr>
      </w:pPr>
      <w:r>
        <w:rPr>
          <w:rFonts w:ascii="Arial" w:hAnsi="Arial" w:cs="Arial"/>
          <w:iCs/>
          <w:sz w:val="20"/>
          <w:szCs w:val="20"/>
        </w:rPr>
        <w:t xml:space="preserve">‘Policy-Orientated’ </w:t>
      </w:r>
      <w:r w:rsidR="009834DA">
        <w:rPr>
          <w:rFonts w:ascii="Arial" w:hAnsi="Arial" w:cs="Arial"/>
          <w:iCs/>
          <w:sz w:val="20"/>
          <w:szCs w:val="20"/>
        </w:rPr>
        <w:t xml:space="preserve">Problem Question, </w:t>
      </w:r>
      <w:r>
        <w:rPr>
          <w:rFonts w:ascii="Arial" w:hAnsi="Arial" w:cs="Arial"/>
          <w:iCs/>
          <w:sz w:val="20"/>
          <w:szCs w:val="20"/>
        </w:rPr>
        <w:t xml:space="preserve">1,250 </w:t>
      </w:r>
      <w:r w:rsidR="009834DA">
        <w:rPr>
          <w:rFonts w:ascii="Arial" w:hAnsi="Arial" w:cs="Arial"/>
          <w:iCs/>
          <w:sz w:val="20"/>
          <w:szCs w:val="20"/>
        </w:rPr>
        <w:t>words (</w:t>
      </w:r>
      <w:r>
        <w:rPr>
          <w:rFonts w:ascii="Arial" w:hAnsi="Arial" w:cs="Arial"/>
          <w:iCs/>
          <w:sz w:val="20"/>
          <w:szCs w:val="20"/>
        </w:rPr>
        <w:t>30</w:t>
      </w:r>
      <w:r w:rsidR="009834DA">
        <w:rPr>
          <w:rFonts w:ascii="Arial" w:hAnsi="Arial" w:cs="Arial"/>
          <w:iCs/>
          <w:sz w:val="20"/>
          <w:szCs w:val="20"/>
        </w:rPr>
        <w:t>%)</w:t>
      </w:r>
      <w:r w:rsidR="00943BCD">
        <w:rPr>
          <w:rFonts w:ascii="Arial" w:hAnsi="Arial" w:cs="Arial"/>
          <w:iCs/>
          <w:sz w:val="20"/>
          <w:szCs w:val="20"/>
        </w:rPr>
        <w:t xml:space="preserve"> </w:t>
      </w:r>
      <w:r w:rsidR="00456566" w:rsidRPr="008B1B0D">
        <w:rPr>
          <w:rFonts w:ascii="Arial" w:hAnsi="Arial" w:cs="Arial"/>
          <w:iCs/>
          <w:sz w:val="20"/>
          <w:szCs w:val="20"/>
        </w:rPr>
        <w:br/>
      </w:r>
      <w:r w:rsidR="00456566" w:rsidRPr="008B1B0D">
        <w:rPr>
          <w:rFonts w:ascii="Arial" w:hAnsi="Arial" w:cs="Arial"/>
          <w:iCs/>
          <w:sz w:val="20"/>
          <w:szCs w:val="20"/>
        </w:rPr>
        <w:br/>
      </w:r>
      <w:r w:rsidR="00456566">
        <w:rPr>
          <w:rFonts w:ascii="Arial" w:hAnsi="Arial" w:cs="Arial"/>
          <w:iCs/>
          <w:sz w:val="20"/>
          <w:szCs w:val="20"/>
        </w:rPr>
        <w:br/>
      </w:r>
      <w:r w:rsidR="00335C13" w:rsidRPr="006F3F43">
        <w:rPr>
          <w:rFonts w:ascii="Arial" w:hAnsi="Arial" w:cs="Arial"/>
          <w:iCs/>
          <w:sz w:val="20"/>
          <w:szCs w:val="20"/>
          <w:u w:val="single"/>
        </w:rPr>
        <w:t>13.2 Reassessment methods</w:t>
      </w:r>
    </w:p>
    <w:p w14:paraId="43D4ACEE" w14:textId="3559240A" w:rsidR="00335C13" w:rsidRDefault="00335C13" w:rsidP="00335C13">
      <w:pPr>
        <w:spacing w:after="120" w:line="240" w:lineRule="auto"/>
        <w:ind w:left="426" w:right="260"/>
        <w:rPr>
          <w:rFonts w:ascii="Arial" w:hAnsi="Arial" w:cs="Arial"/>
          <w:iCs/>
          <w:sz w:val="20"/>
          <w:szCs w:val="20"/>
          <w:u w:val="single"/>
        </w:rPr>
      </w:pPr>
    </w:p>
    <w:p w14:paraId="37C871D2" w14:textId="6299FCF7" w:rsidR="00063280" w:rsidRPr="00063280" w:rsidRDefault="00063280" w:rsidP="00335C13">
      <w:pPr>
        <w:spacing w:after="120" w:line="240" w:lineRule="auto"/>
        <w:ind w:left="426" w:right="260"/>
        <w:rPr>
          <w:rFonts w:ascii="Arial" w:hAnsi="Arial" w:cs="Arial"/>
          <w:iCs/>
          <w:sz w:val="20"/>
          <w:szCs w:val="20"/>
        </w:rPr>
      </w:pPr>
      <w:r w:rsidRPr="00063280">
        <w:rPr>
          <w:rFonts w:ascii="Arial" w:hAnsi="Arial" w:cs="Arial"/>
          <w:iCs/>
          <w:sz w:val="20"/>
          <w:szCs w:val="20"/>
        </w:rPr>
        <w:t>Like-for-like</w:t>
      </w:r>
    </w:p>
    <w:p w14:paraId="7CDC9F92" w14:textId="77777777" w:rsidR="003E22D7" w:rsidRPr="004F23A9" w:rsidRDefault="003E22D7" w:rsidP="004F23A9">
      <w:pPr>
        <w:spacing w:after="120" w:line="240" w:lineRule="auto"/>
        <w:ind w:left="426" w:right="260"/>
        <w:rPr>
          <w:rFonts w:ascii="Arial" w:hAnsi="Arial"/>
          <w:b/>
          <w:i/>
          <w:sz w:val="20"/>
        </w:rPr>
      </w:pPr>
    </w:p>
    <w:p w14:paraId="461FFBB9"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lastRenderedPageBreak/>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5408BE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51" w:type="pct"/>
        <w:jc w:val="center"/>
        <w:tblLook w:val="04A0" w:firstRow="1" w:lastRow="0" w:firstColumn="1" w:lastColumn="0" w:noHBand="0" w:noVBand="1"/>
      </w:tblPr>
      <w:tblGrid>
        <w:gridCol w:w="2218"/>
        <w:gridCol w:w="650"/>
        <w:gridCol w:w="649"/>
        <w:gridCol w:w="649"/>
        <w:gridCol w:w="669"/>
        <w:gridCol w:w="738"/>
        <w:gridCol w:w="649"/>
        <w:gridCol w:w="649"/>
        <w:gridCol w:w="764"/>
      </w:tblGrid>
      <w:tr w:rsidR="002C6CA1" w:rsidRPr="00373ACB" w14:paraId="2EBB4442" w14:textId="77777777" w:rsidTr="002C6CA1">
        <w:trPr>
          <w:trHeight w:val="397"/>
          <w:jc w:val="center"/>
        </w:trPr>
        <w:tc>
          <w:tcPr>
            <w:tcW w:w="1453" w:type="pct"/>
            <w:shd w:val="clear" w:color="auto" w:fill="D9D9D9" w:themeFill="background1" w:themeFillShade="D9"/>
            <w:vAlign w:val="center"/>
          </w:tcPr>
          <w:p w14:paraId="6E739EC1" w14:textId="77777777" w:rsidR="002C6CA1" w:rsidRPr="00373ACB" w:rsidRDefault="002C6CA1" w:rsidP="0066061A">
            <w:pPr>
              <w:spacing w:after="120"/>
              <w:rPr>
                <w:rFonts w:ascii="Arial" w:hAnsi="Arial" w:cs="Arial"/>
                <w:i/>
                <w:sz w:val="20"/>
                <w:szCs w:val="20"/>
              </w:rPr>
            </w:pPr>
            <w:r w:rsidRPr="00373ACB">
              <w:rPr>
                <w:rFonts w:ascii="Arial" w:hAnsi="Arial" w:cs="Arial"/>
                <w:b/>
                <w:sz w:val="20"/>
                <w:szCs w:val="20"/>
              </w:rPr>
              <w:t>Module learning outcome</w:t>
            </w:r>
          </w:p>
        </w:tc>
        <w:tc>
          <w:tcPr>
            <w:tcW w:w="426" w:type="pct"/>
            <w:vAlign w:val="center"/>
          </w:tcPr>
          <w:p w14:paraId="649E41FB" w14:textId="108876B2" w:rsidR="002C6CA1" w:rsidRPr="007103E4" w:rsidRDefault="002C6CA1" w:rsidP="00943BCD">
            <w:pPr>
              <w:spacing w:after="120"/>
              <w:jc w:val="center"/>
              <w:rPr>
                <w:rFonts w:ascii="Arial" w:hAnsi="Arial" w:cs="Arial"/>
                <w:sz w:val="20"/>
                <w:szCs w:val="20"/>
              </w:rPr>
            </w:pPr>
            <w:r>
              <w:rPr>
                <w:rFonts w:ascii="Arial" w:hAnsi="Arial" w:cs="Arial"/>
                <w:sz w:val="20"/>
                <w:szCs w:val="20"/>
              </w:rPr>
              <w:t>8.1</w:t>
            </w:r>
          </w:p>
        </w:tc>
        <w:tc>
          <w:tcPr>
            <w:tcW w:w="425" w:type="pct"/>
            <w:vAlign w:val="center"/>
          </w:tcPr>
          <w:p w14:paraId="26561B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8.2</w:t>
            </w:r>
          </w:p>
        </w:tc>
        <w:tc>
          <w:tcPr>
            <w:tcW w:w="425" w:type="pct"/>
            <w:vAlign w:val="center"/>
          </w:tcPr>
          <w:p w14:paraId="5064AF2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8.3</w:t>
            </w:r>
          </w:p>
        </w:tc>
        <w:tc>
          <w:tcPr>
            <w:tcW w:w="438" w:type="pct"/>
            <w:vAlign w:val="center"/>
          </w:tcPr>
          <w:p w14:paraId="41A13CDF"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8.4</w:t>
            </w:r>
          </w:p>
        </w:tc>
        <w:tc>
          <w:tcPr>
            <w:tcW w:w="483" w:type="pct"/>
            <w:vAlign w:val="center"/>
          </w:tcPr>
          <w:p w14:paraId="61A9039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8.5</w:t>
            </w:r>
          </w:p>
        </w:tc>
        <w:tc>
          <w:tcPr>
            <w:tcW w:w="425" w:type="pct"/>
            <w:vAlign w:val="center"/>
          </w:tcPr>
          <w:p w14:paraId="6AFA8363" w14:textId="488A77CE" w:rsidR="002C6CA1" w:rsidRPr="007103E4" w:rsidRDefault="002C6CA1" w:rsidP="00943BCD">
            <w:pPr>
              <w:spacing w:after="120"/>
              <w:jc w:val="center"/>
              <w:rPr>
                <w:rFonts w:ascii="Arial" w:hAnsi="Arial" w:cs="Arial"/>
                <w:sz w:val="20"/>
                <w:szCs w:val="20"/>
              </w:rPr>
            </w:pPr>
            <w:r>
              <w:rPr>
                <w:rFonts w:ascii="Arial" w:hAnsi="Arial" w:cs="Arial"/>
                <w:sz w:val="20"/>
                <w:szCs w:val="20"/>
              </w:rPr>
              <w:t>9.1</w:t>
            </w:r>
          </w:p>
        </w:tc>
        <w:tc>
          <w:tcPr>
            <w:tcW w:w="425" w:type="pct"/>
            <w:vAlign w:val="center"/>
          </w:tcPr>
          <w:p w14:paraId="278F6BF8" w14:textId="0322FF25" w:rsidR="002C6CA1" w:rsidRPr="007103E4" w:rsidRDefault="002C6CA1" w:rsidP="00943BCD">
            <w:pPr>
              <w:spacing w:after="120"/>
              <w:jc w:val="center"/>
              <w:rPr>
                <w:rFonts w:ascii="Arial" w:hAnsi="Arial" w:cs="Arial"/>
                <w:sz w:val="20"/>
                <w:szCs w:val="20"/>
              </w:rPr>
            </w:pPr>
            <w:r>
              <w:rPr>
                <w:rFonts w:ascii="Arial" w:hAnsi="Arial" w:cs="Arial"/>
                <w:sz w:val="20"/>
                <w:szCs w:val="20"/>
              </w:rPr>
              <w:t>9.2</w:t>
            </w:r>
          </w:p>
        </w:tc>
        <w:tc>
          <w:tcPr>
            <w:tcW w:w="500" w:type="pct"/>
            <w:vAlign w:val="center"/>
          </w:tcPr>
          <w:p w14:paraId="442DDE70" w14:textId="70A2D1BB" w:rsidR="002C6CA1" w:rsidRPr="007103E4" w:rsidRDefault="002C6CA1" w:rsidP="00943BCD">
            <w:pPr>
              <w:spacing w:after="120"/>
              <w:jc w:val="center"/>
              <w:rPr>
                <w:rFonts w:ascii="Arial" w:hAnsi="Arial" w:cs="Arial"/>
                <w:sz w:val="20"/>
                <w:szCs w:val="20"/>
              </w:rPr>
            </w:pPr>
            <w:r>
              <w:rPr>
                <w:rFonts w:ascii="Arial" w:hAnsi="Arial" w:cs="Arial"/>
                <w:sz w:val="20"/>
                <w:szCs w:val="20"/>
              </w:rPr>
              <w:t>9.3</w:t>
            </w:r>
          </w:p>
        </w:tc>
      </w:tr>
      <w:tr w:rsidR="002C6CA1" w:rsidRPr="00373ACB" w14:paraId="496EAE45" w14:textId="77777777" w:rsidTr="002C6CA1">
        <w:trPr>
          <w:trHeight w:val="397"/>
          <w:jc w:val="center"/>
        </w:trPr>
        <w:tc>
          <w:tcPr>
            <w:tcW w:w="1453" w:type="pct"/>
            <w:shd w:val="clear" w:color="auto" w:fill="D9D9D9" w:themeFill="background1" w:themeFillShade="D9"/>
            <w:vAlign w:val="center"/>
          </w:tcPr>
          <w:p w14:paraId="61365C16" w14:textId="72E809E1" w:rsidR="002C6CA1" w:rsidRPr="004F23A9" w:rsidRDefault="002C6CA1" w:rsidP="004F23A9">
            <w:pPr>
              <w:spacing w:after="120"/>
              <w:rPr>
                <w:rFonts w:ascii="Arial" w:hAnsi="Arial"/>
                <w:b/>
                <w:sz w:val="20"/>
              </w:rPr>
            </w:pPr>
            <w:r w:rsidRPr="004F23A9">
              <w:rPr>
                <w:rFonts w:ascii="Arial" w:hAnsi="Arial"/>
                <w:b/>
                <w:sz w:val="20"/>
              </w:rPr>
              <w:t xml:space="preserve">Learning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26" w:type="pct"/>
            <w:vAlign w:val="center"/>
          </w:tcPr>
          <w:p w14:paraId="6FC642A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23F8E1F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E013844"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FD84E63"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184402F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7C479C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678060EB"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4312F5DB" w14:textId="77777777" w:rsidR="002C6CA1" w:rsidRPr="007103E4" w:rsidRDefault="002C6CA1" w:rsidP="00943BCD">
            <w:pPr>
              <w:spacing w:after="120"/>
              <w:jc w:val="center"/>
              <w:rPr>
                <w:rFonts w:ascii="Arial" w:hAnsi="Arial" w:cs="Arial"/>
                <w:b/>
                <w:sz w:val="20"/>
                <w:szCs w:val="20"/>
              </w:rPr>
            </w:pPr>
          </w:p>
        </w:tc>
      </w:tr>
      <w:tr w:rsidR="002C6CA1" w:rsidRPr="00373ACB" w14:paraId="2215C82F" w14:textId="77777777" w:rsidTr="002C6CA1">
        <w:trPr>
          <w:trHeight w:val="397"/>
          <w:jc w:val="center"/>
        </w:trPr>
        <w:tc>
          <w:tcPr>
            <w:tcW w:w="1453" w:type="pct"/>
            <w:vAlign w:val="center"/>
          </w:tcPr>
          <w:p w14:paraId="3620737F" w14:textId="77777777" w:rsidR="002C6CA1" w:rsidRPr="007103E4" w:rsidRDefault="002C6CA1" w:rsidP="0066061A">
            <w:pPr>
              <w:spacing w:after="120"/>
              <w:rPr>
                <w:rFonts w:ascii="Arial" w:hAnsi="Arial" w:cs="Arial"/>
                <w:sz w:val="20"/>
                <w:szCs w:val="20"/>
              </w:rPr>
            </w:pPr>
            <w:r w:rsidRPr="007103E4">
              <w:rPr>
                <w:rFonts w:ascii="Arial" w:hAnsi="Arial" w:cs="Arial"/>
                <w:sz w:val="20"/>
                <w:szCs w:val="20"/>
              </w:rPr>
              <w:t>Lectures</w:t>
            </w:r>
          </w:p>
        </w:tc>
        <w:tc>
          <w:tcPr>
            <w:tcW w:w="426" w:type="pct"/>
            <w:vAlign w:val="center"/>
          </w:tcPr>
          <w:p w14:paraId="6E8C1EA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081203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BD001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21B9821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4BFAED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ADE0A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34083D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7D0E210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41905DC8" w14:textId="77777777" w:rsidTr="002C6CA1">
        <w:trPr>
          <w:trHeight w:val="397"/>
          <w:jc w:val="center"/>
        </w:trPr>
        <w:tc>
          <w:tcPr>
            <w:tcW w:w="1453" w:type="pct"/>
            <w:vAlign w:val="center"/>
          </w:tcPr>
          <w:p w14:paraId="38AD8738" w14:textId="77777777" w:rsidR="002C6CA1" w:rsidRPr="007103E4" w:rsidRDefault="002C6CA1" w:rsidP="00865CBA">
            <w:pPr>
              <w:spacing w:after="120"/>
              <w:rPr>
                <w:rFonts w:ascii="Arial" w:hAnsi="Arial" w:cs="Arial"/>
                <w:sz w:val="20"/>
                <w:szCs w:val="20"/>
              </w:rPr>
            </w:pPr>
            <w:r w:rsidRPr="007103E4">
              <w:rPr>
                <w:rFonts w:ascii="Arial" w:hAnsi="Arial" w:cs="Arial"/>
                <w:sz w:val="20"/>
                <w:szCs w:val="20"/>
              </w:rPr>
              <w:t>Seminars</w:t>
            </w:r>
          </w:p>
        </w:tc>
        <w:tc>
          <w:tcPr>
            <w:tcW w:w="426" w:type="pct"/>
            <w:vAlign w:val="center"/>
          </w:tcPr>
          <w:p w14:paraId="6ECF82E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9DDFCD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396FA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A7CAE8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4C3F99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8E2B53A"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4F61D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C6A356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7BAFE9E4" w14:textId="77777777" w:rsidTr="002C6CA1">
        <w:trPr>
          <w:trHeight w:val="397"/>
          <w:jc w:val="center"/>
        </w:trPr>
        <w:tc>
          <w:tcPr>
            <w:tcW w:w="1453" w:type="pct"/>
            <w:vAlign w:val="center"/>
          </w:tcPr>
          <w:p w14:paraId="5A6A8A8F" w14:textId="77777777" w:rsidR="002C6CA1" w:rsidRPr="007103E4" w:rsidRDefault="002C6CA1" w:rsidP="0066061A">
            <w:pPr>
              <w:spacing w:after="120"/>
              <w:rPr>
                <w:rFonts w:ascii="Arial" w:hAnsi="Arial" w:cs="Arial"/>
                <w:sz w:val="20"/>
                <w:szCs w:val="20"/>
              </w:rPr>
            </w:pPr>
            <w:r>
              <w:rPr>
                <w:rFonts w:ascii="Arial" w:hAnsi="Arial" w:cs="Arial"/>
                <w:sz w:val="20"/>
                <w:szCs w:val="20"/>
              </w:rPr>
              <w:t>Private Study</w:t>
            </w:r>
          </w:p>
        </w:tc>
        <w:tc>
          <w:tcPr>
            <w:tcW w:w="426" w:type="pct"/>
            <w:vAlign w:val="center"/>
          </w:tcPr>
          <w:p w14:paraId="2CECEB4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80BAF4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34F38F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14A1CB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733CC4B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C6DD8F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D2A265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250CEB6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2C0C2BF6" w14:textId="77777777" w:rsidTr="002C6CA1">
        <w:trPr>
          <w:trHeight w:val="397"/>
          <w:jc w:val="center"/>
        </w:trPr>
        <w:tc>
          <w:tcPr>
            <w:tcW w:w="1453" w:type="pct"/>
            <w:shd w:val="clear" w:color="auto" w:fill="D9D9D9" w:themeFill="background1" w:themeFillShade="D9"/>
            <w:vAlign w:val="center"/>
          </w:tcPr>
          <w:p w14:paraId="26ACCC5C" w14:textId="77777777" w:rsidR="002C6CA1" w:rsidRPr="00373ACB" w:rsidRDefault="002C6CA1" w:rsidP="0066061A">
            <w:pPr>
              <w:spacing w:after="120"/>
              <w:rPr>
                <w:rFonts w:ascii="Arial" w:hAnsi="Arial" w:cs="Arial"/>
                <w:b/>
                <w:sz w:val="20"/>
                <w:szCs w:val="20"/>
              </w:rPr>
            </w:pPr>
            <w:r w:rsidRPr="00373ACB">
              <w:rPr>
                <w:rFonts w:ascii="Arial" w:hAnsi="Arial" w:cs="Arial"/>
                <w:b/>
                <w:sz w:val="20"/>
                <w:szCs w:val="20"/>
              </w:rPr>
              <w:t>Assessment method</w:t>
            </w:r>
          </w:p>
        </w:tc>
        <w:tc>
          <w:tcPr>
            <w:tcW w:w="426" w:type="pct"/>
            <w:vAlign w:val="center"/>
          </w:tcPr>
          <w:p w14:paraId="0B978684"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4F1031D2"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B542426"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5FB9DFF"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40E9117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1405D5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0D4A854A"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7EE82CD0" w14:textId="77777777" w:rsidR="002C6CA1" w:rsidRPr="007103E4" w:rsidRDefault="002C6CA1" w:rsidP="00943BCD">
            <w:pPr>
              <w:spacing w:after="120"/>
              <w:jc w:val="center"/>
              <w:rPr>
                <w:rFonts w:ascii="Arial" w:hAnsi="Arial" w:cs="Arial"/>
                <w:b/>
                <w:sz w:val="20"/>
                <w:szCs w:val="20"/>
              </w:rPr>
            </w:pPr>
          </w:p>
        </w:tc>
      </w:tr>
      <w:tr w:rsidR="002C6CA1" w:rsidRPr="00373ACB" w14:paraId="1CEF8DAB" w14:textId="77777777" w:rsidTr="002C6CA1">
        <w:trPr>
          <w:trHeight w:val="397"/>
          <w:jc w:val="center"/>
        </w:trPr>
        <w:tc>
          <w:tcPr>
            <w:tcW w:w="1453" w:type="pct"/>
            <w:vAlign w:val="center"/>
          </w:tcPr>
          <w:p w14:paraId="69FF54B5" w14:textId="3154E1FB" w:rsidR="002C6CA1" w:rsidRPr="00D71DF4" w:rsidRDefault="002C6CA1" w:rsidP="002C6CA1">
            <w:pPr>
              <w:spacing w:after="120"/>
              <w:rPr>
                <w:rFonts w:ascii="Arial" w:hAnsi="Arial" w:cs="Arial"/>
                <w:sz w:val="20"/>
                <w:szCs w:val="20"/>
              </w:rPr>
            </w:pPr>
            <w:r>
              <w:rPr>
                <w:rFonts w:ascii="Arial" w:hAnsi="Arial" w:cs="Arial"/>
                <w:sz w:val="20"/>
                <w:szCs w:val="20"/>
              </w:rPr>
              <w:t>Essay (70%)</w:t>
            </w:r>
          </w:p>
        </w:tc>
        <w:tc>
          <w:tcPr>
            <w:tcW w:w="426" w:type="pct"/>
            <w:vAlign w:val="center"/>
          </w:tcPr>
          <w:p w14:paraId="4EFF17A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B3C0E9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A082F97"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71675F1"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3B7805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487BFC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6D5EB0B"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37A701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520BAEBE" w14:textId="77777777" w:rsidTr="002C6CA1">
        <w:trPr>
          <w:trHeight w:val="397"/>
          <w:jc w:val="center"/>
        </w:trPr>
        <w:tc>
          <w:tcPr>
            <w:tcW w:w="1453" w:type="pct"/>
            <w:vAlign w:val="center"/>
          </w:tcPr>
          <w:p w14:paraId="1839DE01" w14:textId="206E2C15" w:rsidR="002C6CA1" w:rsidRDefault="002C6CA1" w:rsidP="002C6CA1">
            <w:pPr>
              <w:spacing w:after="120"/>
              <w:rPr>
                <w:rFonts w:ascii="Arial" w:hAnsi="Arial" w:cs="Arial"/>
                <w:sz w:val="20"/>
                <w:szCs w:val="20"/>
              </w:rPr>
            </w:pPr>
            <w:r>
              <w:rPr>
                <w:rFonts w:ascii="Arial" w:hAnsi="Arial" w:cs="Arial"/>
                <w:sz w:val="20"/>
                <w:szCs w:val="20"/>
              </w:rPr>
              <w:t>Problem Question (30%)</w:t>
            </w:r>
          </w:p>
        </w:tc>
        <w:tc>
          <w:tcPr>
            <w:tcW w:w="426" w:type="pct"/>
            <w:vAlign w:val="center"/>
          </w:tcPr>
          <w:p w14:paraId="393A9792" w14:textId="14D33442"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7D57DE7" w14:textId="174AD7D1"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744BD3CB" w14:textId="2F0F2038"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1C08FA86" w14:textId="48ED0537"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1F7FB030" w14:textId="2720F16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689BA23" w14:textId="58D3051A"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B699FF" w14:textId="614E17F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43EA34D" w14:textId="429D0354" w:rsidR="002C6CA1" w:rsidRDefault="002C6CA1" w:rsidP="00943BCD">
            <w:pPr>
              <w:spacing w:after="120"/>
              <w:jc w:val="center"/>
              <w:rPr>
                <w:rFonts w:ascii="Arial" w:hAnsi="Arial" w:cs="Arial"/>
                <w:sz w:val="20"/>
                <w:szCs w:val="20"/>
              </w:rPr>
            </w:pPr>
            <w:r>
              <w:rPr>
                <w:rFonts w:ascii="Arial" w:hAnsi="Arial" w:cs="Arial"/>
                <w:sz w:val="20"/>
                <w:szCs w:val="20"/>
              </w:rPr>
              <w:t>X</w:t>
            </w:r>
          </w:p>
        </w:tc>
      </w:tr>
    </w:tbl>
    <w:p w14:paraId="2D1A9A63" w14:textId="77777777" w:rsidR="007A6245" w:rsidRPr="004F23A9" w:rsidRDefault="007A6245" w:rsidP="004F23A9">
      <w:pPr>
        <w:spacing w:after="120" w:line="240" w:lineRule="auto"/>
        <w:ind w:left="426" w:right="260"/>
        <w:rPr>
          <w:rFonts w:ascii="Arial" w:hAnsi="Arial"/>
          <w:b/>
          <w:sz w:val="20"/>
        </w:rPr>
      </w:pPr>
    </w:p>
    <w:p w14:paraId="219525E3" w14:textId="3D1A5ED2" w:rsidR="00335C13" w:rsidRDefault="00335C13" w:rsidP="00943BC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2C6CA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43BCD">
        <w:rPr>
          <w:rFonts w:ascii="Arial" w:hAnsi="Arial" w:cs="Arial"/>
          <w:sz w:val="20"/>
          <w:szCs w:val="20"/>
        </w:rPr>
        <w:t xml:space="preserve"> policies and support services.</w:t>
      </w:r>
    </w:p>
    <w:p w14:paraId="24DD44A3" w14:textId="77777777" w:rsidR="00943BCD" w:rsidRPr="00DF2132" w:rsidRDefault="00943BCD" w:rsidP="00943BCD">
      <w:pPr>
        <w:spacing w:after="120" w:line="240" w:lineRule="auto"/>
        <w:ind w:left="426" w:right="260"/>
        <w:jc w:val="both"/>
        <w:rPr>
          <w:rFonts w:ascii="Arial" w:hAnsi="Arial" w:cs="Arial"/>
          <w:sz w:val="20"/>
          <w:szCs w:val="20"/>
        </w:rPr>
      </w:pPr>
    </w:p>
    <w:p w14:paraId="71DB2A70" w14:textId="77777777" w:rsidR="00335C13" w:rsidRDefault="00335C13" w:rsidP="00943BCD">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FF7F4A2" w14:textId="77777777" w:rsidR="00335C13" w:rsidRPr="00A7491F" w:rsidRDefault="00335C13" w:rsidP="00335C1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670E50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10542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7A397C"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8FC1C8B" w14:textId="77777777"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ADFD9CF" w14:textId="2BC985C2"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43BCD">
        <w:rPr>
          <w:rFonts w:ascii="Arial" w:hAnsi="Arial" w:cs="Arial"/>
          <w:sz w:val="20"/>
          <w:szCs w:val="20"/>
        </w:rPr>
        <w:t>ures that will not be recorded.</w:t>
      </w:r>
    </w:p>
    <w:p w14:paraId="6D1D3AFE" w14:textId="77777777" w:rsidR="00943BCD" w:rsidRPr="00971465" w:rsidRDefault="00943BCD" w:rsidP="00943BCD">
      <w:pPr>
        <w:pStyle w:val="ListParagraph"/>
        <w:spacing w:after="120" w:line="240" w:lineRule="auto"/>
        <w:ind w:left="1080" w:right="260"/>
        <w:jc w:val="both"/>
        <w:rPr>
          <w:rFonts w:ascii="Arial" w:hAnsi="Arial" w:cs="Arial"/>
          <w:sz w:val="20"/>
          <w:szCs w:val="20"/>
        </w:rPr>
      </w:pPr>
    </w:p>
    <w:p w14:paraId="58B3C7D1" w14:textId="77777777" w:rsidR="00335C13" w:rsidRPr="00A7491F" w:rsidRDefault="00335C13" w:rsidP="00335C1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405932B" w14:textId="79E17F40" w:rsidR="00335C13" w:rsidRDefault="00335C13" w:rsidP="00943BC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B1B0D">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sidR="00943BCD">
        <w:rPr>
          <w:rFonts w:ascii="Arial" w:hAnsi="Arial" w:cs="Arial"/>
          <w:iCs/>
          <w:sz w:val="20"/>
          <w:szCs w:val="20"/>
        </w:rPr>
        <w:t>eir assessments on this module.</w:t>
      </w:r>
    </w:p>
    <w:p w14:paraId="5ADBC29E" w14:textId="77777777" w:rsidR="00943BCD" w:rsidRPr="00373ACB" w:rsidRDefault="00943BCD" w:rsidP="00943BCD">
      <w:pPr>
        <w:spacing w:after="120" w:line="240" w:lineRule="auto"/>
        <w:ind w:left="426" w:right="260"/>
        <w:jc w:val="both"/>
        <w:rPr>
          <w:rFonts w:ascii="Arial" w:hAnsi="Arial" w:cs="Arial"/>
          <w:iCs/>
          <w:sz w:val="20"/>
          <w:szCs w:val="20"/>
        </w:rPr>
      </w:pPr>
    </w:p>
    <w:p w14:paraId="64EB7DDC" w14:textId="77777777" w:rsidR="00335C13" w:rsidRPr="00373ACB" w:rsidRDefault="00335C13" w:rsidP="00335C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39484554" w14:textId="7B68E71D" w:rsidR="00335C13" w:rsidRDefault="00335C13" w:rsidP="00335C13">
      <w:pPr>
        <w:spacing w:after="120" w:line="240" w:lineRule="auto"/>
        <w:ind w:left="426" w:right="260"/>
        <w:rPr>
          <w:rFonts w:ascii="Arial" w:hAnsi="Arial" w:cs="Arial"/>
          <w:iCs/>
          <w:sz w:val="20"/>
          <w:szCs w:val="20"/>
        </w:rPr>
      </w:pPr>
      <w:r>
        <w:rPr>
          <w:rFonts w:ascii="Arial" w:hAnsi="Arial" w:cs="Arial"/>
          <w:iCs/>
          <w:sz w:val="20"/>
          <w:szCs w:val="20"/>
        </w:rPr>
        <w:t>Canterbury</w:t>
      </w:r>
    </w:p>
    <w:p w14:paraId="24986A47" w14:textId="77777777" w:rsidR="00335C13" w:rsidRDefault="00335C13" w:rsidP="00335C13">
      <w:pPr>
        <w:spacing w:after="120" w:line="240" w:lineRule="auto"/>
        <w:ind w:left="426" w:right="260"/>
        <w:rPr>
          <w:rFonts w:ascii="Arial" w:hAnsi="Arial" w:cs="Arial"/>
          <w:iCs/>
          <w:sz w:val="20"/>
          <w:szCs w:val="20"/>
        </w:rPr>
      </w:pPr>
    </w:p>
    <w:p w14:paraId="33870467" w14:textId="77777777" w:rsidR="00943BCD" w:rsidRDefault="00335C13" w:rsidP="009834D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856F61" w14:textId="0A81E050" w:rsidR="00A018FA" w:rsidRPr="00943BCD" w:rsidRDefault="0081111B" w:rsidP="00943BCD">
      <w:pPr>
        <w:spacing w:after="120" w:line="240" w:lineRule="auto"/>
        <w:ind w:left="426" w:right="260"/>
        <w:jc w:val="both"/>
        <w:rPr>
          <w:rFonts w:ascii="Arial" w:hAnsi="Arial" w:cs="Arial"/>
          <w:b/>
          <w:sz w:val="20"/>
          <w:szCs w:val="20"/>
        </w:rPr>
      </w:pPr>
      <w:r w:rsidRPr="00943BCD">
        <w:rPr>
          <w:rFonts w:ascii="Arial" w:hAnsi="Arial" w:cs="Arial"/>
          <w:sz w:val="20"/>
          <w:szCs w:val="20"/>
        </w:rPr>
        <w:lastRenderedPageBreak/>
        <w:t xml:space="preserve">This module allows students to familiarise with legal concepts and principles </w:t>
      </w:r>
      <w:r w:rsidR="00171669" w:rsidRPr="00943BCD">
        <w:rPr>
          <w:rFonts w:ascii="Arial" w:hAnsi="Arial" w:cs="Arial"/>
          <w:sz w:val="20"/>
          <w:szCs w:val="20"/>
        </w:rPr>
        <w:t xml:space="preserve">relating to banking practices in the UK and how UK law is influenced and/or informed by international initiatives. In addition, the methods of assessment allow students to interact with each other to take advantage of their diversity and interpretations of social, </w:t>
      </w:r>
      <w:proofErr w:type="gramStart"/>
      <w:r w:rsidR="00171669" w:rsidRPr="00943BCD">
        <w:rPr>
          <w:rFonts w:ascii="Arial" w:hAnsi="Arial" w:cs="Arial"/>
          <w:sz w:val="20"/>
          <w:szCs w:val="20"/>
        </w:rPr>
        <w:t>legal</w:t>
      </w:r>
      <w:proofErr w:type="gramEnd"/>
      <w:r w:rsidR="00171669" w:rsidRPr="00943BCD">
        <w:rPr>
          <w:rFonts w:ascii="Arial" w:hAnsi="Arial" w:cs="Arial"/>
          <w:sz w:val="20"/>
          <w:szCs w:val="20"/>
        </w:rPr>
        <w:t xml:space="preserve"> and ethical issues that stem from growing up in different contexts.</w:t>
      </w:r>
    </w:p>
    <w:p w14:paraId="55D2CC07" w14:textId="77777777" w:rsidR="00943BCD" w:rsidRDefault="00943BCD">
      <w:pPr>
        <w:rPr>
          <w:rFonts w:ascii="Arial" w:hAnsi="Arial" w:cs="Arial"/>
          <w:sz w:val="20"/>
          <w:szCs w:val="20"/>
        </w:rPr>
      </w:pPr>
      <w:r>
        <w:rPr>
          <w:rFonts w:ascii="Arial" w:hAnsi="Arial" w:cs="Arial"/>
          <w:sz w:val="20"/>
          <w:szCs w:val="20"/>
        </w:rPr>
        <w:br w:type="page"/>
      </w:r>
    </w:p>
    <w:p w14:paraId="05A0E9B4" w14:textId="20D4778B" w:rsidR="00441E76" w:rsidRPr="004A3380" w:rsidRDefault="002C6CA1" w:rsidP="004A3380">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9325E7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C5E6D9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302082" w:rsidRPr="00373ACB" w14:paraId="6B8B0944" w14:textId="77777777" w:rsidTr="00943BCD">
        <w:trPr>
          <w:trHeight w:val="317"/>
        </w:trPr>
        <w:tc>
          <w:tcPr>
            <w:tcW w:w="1673" w:type="dxa"/>
          </w:tcPr>
          <w:p w14:paraId="7D9F37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CE71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5A9ACE1" w14:textId="13400B4B" w:rsidR="00422B69" w:rsidRPr="004F23A9" w:rsidRDefault="00422B69" w:rsidP="004F23A9">
            <w:pPr>
              <w:spacing w:after="120"/>
              <w:ind w:right="-34"/>
              <w:rPr>
                <w:rFonts w:ascii="Arial" w:hAnsi="Arial"/>
                <w:sz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959F992" w14:textId="1DAB54D0" w:rsidR="00422B69" w:rsidRPr="004F23A9" w:rsidRDefault="00422B69" w:rsidP="004F23A9">
            <w:pPr>
              <w:spacing w:after="120"/>
              <w:ind w:right="-330"/>
              <w:rPr>
                <w:rFonts w:ascii="Arial" w:hAnsi="Arial"/>
                <w:sz w:val="20"/>
              </w:rPr>
            </w:pPr>
            <w:r w:rsidRPr="00373ACB">
              <w:rPr>
                <w:rFonts w:ascii="Arial" w:hAnsi="Arial" w:cs="Arial"/>
                <w:sz w:val="20"/>
                <w:szCs w:val="20"/>
              </w:rPr>
              <w:t>Section revised</w:t>
            </w:r>
          </w:p>
        </w:tc>
        <w:tc>
          <w:tcPr>
            <w:tcW w:w="2400" w:type="dxa"/>
          </w:tcPr>
          <w:p w14:paraId="1BC83A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D5359DA" w14:textId="77777777" w:rsidTr="00943BCD">
        <w:trPr>
          <w:trHeight w:val="305"/>
        </w:trPr>
        <w:tc>
          <w:tcPr>
            <w:tcW w:w="1673" w:type="dxa"/>
          </w:tcPr>
          <w:p w14:paraId="4FEF795A" w14:textId="56AA522D" w:rsidR="00422B69" w:rsidRPr="00373ACB" w:rsidRDefault="004F23A9" w:rsidP="0066061A">
            <w:pPr>
              <w:spacing w:after="120"/>
              <w:ind w:right="-330"/>
              <w:rPr>
                <w:rFonts w:ascii="Arial" w:hAnsi="Arial" w:cs="Arial"/>
                <w:sz w:val="20"/>
                <w:szCs w:val="20"/>
              </w:rPr>
            </w:pPr>
            <w:r>
              <w:rPr>
                <w:rFonts w:ascii="Arial" w:hAnsi="Arial" w:cs="Arial"/>
                <w:sz w:val="20"/>
                <w:szCs w:val="20"/>
              </w:rPr>
              <w:t>29/01/16</w:t>
            </w:r>
          </w:p>
        </w:tc>
        <w:tc>
          <w:tcPr>
            <w:tcW w:w="1417" w:type="dxa"/>
          </w:tcPr>
          <w:p w14:paraId="310F5115" w14:textId="5F1F5C7E" w:rsidR="00422B69" w:rsidRPr="00373ACB" w:rsidRDefault="004F23A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A64EDF" w14:textId="512C26F0" w:rsidR="00422B69" w:rsidRPr="00373ACB" w:rsidRDefault="004F23A9"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0E2C9C5A" w14:textId="2C94771D" w:rsidR="00422B69" w:rsidRPr="00373ACB" w:rsidRDefault="004F23A9" w:rsidP="0066061A">
            <w:pPr>
              <w:spacing w:after="120"/>
              <w:ind w:right="-330"/>
              <w:rPr>
                <w:rFonts w:ascii="Arial" w:hAnsi="Arial" w:cs="Arial"/>
                <w:sz w:val="20"/>
                <w:szCs w:val="20"/>
              </w:rPr>
            </w:pPr>
            <w:r>
              <w:rPr>
                <w:rFonts w:ascii="Arial" w:hAnsi="Arial" w:cs="Arial"/>
                <w:sz w:val="20"/>
                <w:szCs w:val="20"/>
              </w:rPr>
              <w:t>5,7-13</w:t>
            </w:r>
          </w:p>
        </w:tc>
        <w:tc>
          <w:tcPr>
            <w:tcW w:w="2400" w:type="dxa"/>
          </w:tcPr>
          <w:p w14:paraId="6076EC47" w14:textId="25DEA4DF" w:rsidR="00422B69" w:rsidRPr="00373ACB" w:rsidRDefault="004F23A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DCC16FC" w14:textId="77777777" w:rsidTr="00943BCD">
        <w:trPr>
          <w:trHeight w:val="305"/>
        </w:trPr>
        <w:tc>
          <w:tcPr>
            <w:tcW w:w="1673" w:type="dxa"/>
          </w:tcPr>
          <w:p w14:paraId="11AAD5EB" w14:textId="103628B7" w:rsidR="00422B69" w:rsidRPr="00373ACB" w:rsidRDefault="004A3380"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61DD440D" w14:textId="08C4A1D1" w:rsidR="00422B69" w:rsidRPr="00373ACB" w:rsidRDefault="004A338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088A2F5" w14:textId="7A807E47" w:rsidR="00422B69" w:rsidRPr="00373ACB" w:rsidRDefault="004A3380"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E04AA0" w14:textId="7A5DC877" w:rsidR="00422B69" w:rsidRPr="00373ACB" w:rsidRDefault="004A3380" w:rsidP="0066061A">
            <w:pPr>
              <w:spacing w:after="120"/>
              <w:ind w:right="-330"/>
              <w:rPr>
                <w:rFonts w:ascii="Arial" w:hAnsi="Arial" w:cs="Arial"/>
                <w:sz w:val="20"/>
                <w:szCs w:val="20"/>
              </w:rPr>
            </w:pPr>
            <w:r>
              <w:rPr>
                <w:rFonts w:ascii="Arial" w:hAnsi="Arial" w:cs="Arial"/>
                <w:sz w:val="20"/>
                <w:szCs w:val="20"/>
              </w:rPr>
              <w:t>13-15, 17</w:t>
            </w:r>
          </w:p>
        </w:tc>
        <w:tc>
          <w:tcPr>
            <w:tcW w:w="2400" w:type="dxa"/>
          </w:tcPr>
          <w:p w14:paraId="7B9BA9C0" w14:textId="7AE076B0" w:rsidR="00422B69" w:rsidRPr="00373ACB" w:rsidRDefault="004A3380" w:rsidP="0066061A">
            <w:pPr>
              <w:spacing w:after="120"/>
              <w:ind w:right="-330"/>
              <w:rPr>
                <w:rFonts w:ascii="Arial" w:hAnsi="Arial" w:cs="Arial"/>
                <w:sz w:val="20"/>
                <w:szCs w:val="20"/>
              </w:rPr>
            </w:pPr>
            <w:r>
              <w:rPr>
                <w:rFonts w:ascii="Arial" w:hAnsi="Arial" w:cs="Arial"/>
                <w:sz w:val="20"/>
                <w:szCs w:val="20"/>
              </w:rPr>
              <w:t>No</w:t>
            </w:r>
          </w:p>
        </w:tc>
      </w:tr>
      <w:tr w:rsidR="00D16DCC" w:rsidRPr="00373ACB" w14:paraId="424E8B1E" w14:textId="77777777" w:rsidTr="00943BCD">
        <w:trPr>
          <w:trHeight w:val="305"/>
        </w:trPr>
        <w:tc>
          <w:tcPr>
            <w:tcW w:w="1673" w:type="dxa"/>
          </w:tcPr>
          <w:p w14:paraId="339D9507" w14:textId="44193F11" w:rsidR="00D16DCC" w:rsidRDefault="00D16DCC"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F6B0D27" w14:textId="26FFB992" w:rsidR="00D16DCC" w:rsidRDefault="00D16DC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8E46252" w14:textId="25A7DFDD" w:rsidR="00D16DCC" w:rsidRDefault="00D16DC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C9C8C67" w14:textId="310EF391" w:rsidR="00D16DCC" w:rsidRDefault="00D16DCC" w:rsidP="0066061A">
            <w:pPr>
              <w:spacing w:after="120"/>
              <w:ind w:right="-330"/>
              <w:rPr>
                <w:rFonts w:ascii="Arial" w:hAnsi="Arial" w:cs="Arial"/>
                <w:sz w:val="20"/>
                <w:szCs w:val="20"/>
              </w:rPr>
            </w:pPr>
            <w:r>
              <w:rPr>
                <w:rFonts w:ascii="Arial" w:hAnsi="Arial" w:cs="Arial"/>
                <w:sz w:val="20"/>
                <w:szCs w:val="20"/>
              </w:rPr>
              <w:t>13</w:t>
            </w:r>
          </w:p>
        </w:tc>
        <w:tc>
          <w:tcPr>
            <w:tcW w:w="2400" w:type="dxa"/>
          </w:tcPr>
          <w:p w14:paraId="5CC31020" w14:textId="17BDA8B2" w:rsidR="00D16DCC" w:rsidRDefault="00D16DCC" w:rsidP="0066061A">
            <w:pPr>
              <w:spacing w:after="120"/>
              <w:ind w:right="-330"/>
              <w:rPr>
                <w:rFonts w:ascii="Arial" w:hAnsi="Arial" w:cs="Arial"/>
                <w:sz w:val="20"/>
                <w:szCs w:val="20"/>
              </w:rPr>
            </w:pPr>
            <w:r>
              <w:rPr>
                <w:rFonts w:ascii="Arial" w:hAnsi="Arial" w:cs="Arial"/>
                <w:sz w:val="20"/>
                <w:szCs w:val="20"/>
              </w:rPr>
              <w:t>No</w:t>
            </w:r>
          </w:p>
        </w:tc>
      </w:tr>
      <w:tr w:rsidR="002C6CA1" w:rsidRPr="00373ACB" w14:paraId="6ECDCCB9" w14:textId="77777777" w:rsidTr="00943BCD">
        <w:trPr>
          <w:trHeight w:val="305"/>
        </w:trPr>
        <w:tc>
          <w:tcPr>
            <w:tcW w:w="1673" w:type="dxa"/>
          </w:tcPr>
          <w:p w14:paraId="2897FF6A" w14:textId="12F09B44" w:rsidR="002C6CA1" w:rsidRPr="00DB5617" w:rsidRDefault="00DB5617" w:rsidP="0066061A">
            <w:pPr>
              <w:spacing w:after="120"/>
              <w:ind w:right="-330"/>
              <w:rPr>
                <w:rFonts w:ascii="Arial" w:hAnsi="Arial" w:cs="Arial"/>
                <w:sz w:val="20"/>
                <w:szCs w:val="20"/>
              </w:rPr>
            </w:pPr>
            <w:r w:rsidRPr="00DB5617">
              <w:rPr>
                <w:rFonts w:ascii="Arial" w:hAnsi="Arial" w:cs="Arial"/>
                <w:sz w:val="20"/>
                <w:szCs w:val="20"/>
              </w:rPr>
              <w:t>EAP</w:t>
            </w:r>
          </w:p>
        </w:tc>
        <w:tc>
          <w:tcPr>
            <w:tcW w:w="1417" w:type="dxa"/>
          </w:tcPr>
          <w:p w14:paraId="6A2E5F6B" w14:textId="35A0ECD8"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Major</w:t>
            </w:r>
          </w:p>
        </w:tc>
        <w:tc>
          <w:tcPr>
            <w:tcW w:w="2342" w:type="dxa"/>
          </w:tcPr>
          <w:p w14:paraId="100F8AE1" w14:textId="6013A716"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September 2021</w:t>
            </w:r>
          </w:p>
        </w:tc>
        <w:tc>
          <w:tcPr>
            <w:tcW w:w="2658" w:type="dxa"/>
          </w:tcPr>
          <w:p w14:paraId="3F4F88A5" w14:textId="25CB23EA"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9, 13, 14</w:t>
            </w:r>
          </w:p>
        </w:tc>
        <w:tc>
          <w:tcPr>
            <w:tcW w:w="2400" w:type="dxa"/>
          </w:tcPr>
          <w:p w14:paraId="6939F08A" w14:textId="0C6C03DF"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No</w:t>
            </w:r>
          </w:p>
        </w:tc>
      </w:tr>
    </w:tbl>
    <w:p w14:paraId="399A96BE" w14:textId="77777777" w:rsidR="00D83563" w:rsidRPr="004F23A9" w:rsidRDefault="00D83563" w:rsidP="004F23A9">
      <w:pPr>
        <w:spacing w:after="120" w:line="240" w:lineRule="auto"/>
        <w:ind w:right="-330"/>
        <w:rPr>
          <w:rFonts w:ascii="Arial" w:hAnsi="Arial"/>
          <w:sz w:val="20"/>
        </w:rPr>
      </w:pPr>
    </w:p>
    <w:sectPr w:rsidR="00D83563" w:rsidRPr="004F23A9" w:rsidSect="00DB561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14A5" w14:textId="77777777" w:rsidR="001E32A8" w:rsidRDefault="001E32A8" w:rsidP="00055045">
      <w:pPr>
        <w:spacing w:after="0" w:line="240" w:lineRule="auto"/>
      </w:pPr>
      <w:r>
        <w:separator/>
      </w:r>
    </w:p>
  </w:endnote>
  <w:endnote w:type="continuationSeparator" w:id="0">
    <w:p w14:paraId="181D7DD5" w14:textId="77777777" w:rsidR="001E32A8" w:rsidRDefault="001E32A8" w:rsidP="00055045">
      <w:pPr>
        <w:spacing w:after="0" w:line="240" w:lineRule="auto"/>
      </w:pPr>
      <w:r>
        <w:continuationSeparator/>
      </w:r>
    </w:p>
  </w:endnote>
  <w:endnote w:type="continuationNotice" w:id="1">
    <w:p w14:paraId="12FEFA72" w14:textId="77777777" w:rsidR="001E32A8" w:rsidRDefault="001E32A8" w:rsidP="00055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52998D8" w14:textId="77777777" w:rsidR="002C6CA1" w:rsidRDefault="002C6CA1" w:rsidP="009A2D37">
        <w:pPr>
          <w:pStyle w:val="Footer"/>
          <w:jc w:val="center"/>
        </w:pPr>
      </w:p>
      <w:p w14:paraId="2EE76FAA" w14:textId="082E4077" w:rsidR="002C6CA1" w:rsidRDefault="002C6CA1" w:rsidP="009A2D37">
        <w:pPr>
          <w:pStyle w:val="Footer"/>
          <w:jc w:val="center"/>
        </w:pPr>
        <w:r>
          <w:fldChar w:fldCharType="begin"/>
        </w:r>
        <w:r>
          <w:instrText xml:space="preserve"> PAGE   \* MERGEFORMAT </w:instrText>
        </w:r>
        <w:r>
          <w:fldChar w:fldCharType="separate"/>
        </w:r>
        <w:r w:rsidR="001E7103">
          <w:rPr>
            <w:noProof/>
          </w:rPr>
          <w:t>8</w:t>
        </w:r>
        <w:r>
          <w:rPr>
            <w:noProof/>
          </w:rPr>
          <w:fldChar w:fldCharType="end"/>
        </w:r>
      </w:p>
    </w:sdtContent>
  </w:sdt>
  <w:p w14:paraId="0AD34A95" w14:textId="6E57F07F" w:rsidR="002C6CA1" w:rsidRPr="007B7724" w:rsidRDefault="002C6CA1" w:rsidP="00335C13">
    <w:pPr>
      <w:pStyle w:val="Footer"/>
      <w:spacing w:after="120"/>
      <w:ind w:right="-330"/>
      <w:jc w:val="center"/>
      <w:rPr>
        <w:rFonts w:ascii="Arial" w:hAnsi="Arial"/>
        <w:sz w:val="18"/>
      </w:rPr>
    </w:pPr>
    <w:r>
      <w:rPr>
        <w:rFonts w:ascii="Arial" w:hAnsi="Arial"/>
        <w:sz w:val="18"/>
      </w:rPr>
      <w:t>Banking Law (LW582) - (Sept. 2021 onwards)</w:t>
    </w:r>
  </w:p>
  <w:p w14:paraId="7FB3A120" w14:textId="60AC10F6" w:rsidR="002C6CA1" w:rsidRPr="004F23A9" w:rsidRDefault="002C6CA1" w:rsidP="004F23A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4A39" w14:textId="77777777" w:rsidR="001E32A8" w:rsidRDefault="001E32A8" w:rsidP="00055045">
      <w:pPr>
        <w:spacing w:after="0" w:line="240" w:lineRule="auto"/>
      </w:pPr>
      <w:r>
        <w:separator/>
      </w:r>
    </w:p>
  </w:footnote>
  <w:footnote w:type="continuationSeparator" w:id="0">
    <w:p w14:paraId="31D908C2" w14:textId="77777777" w:rsidR="001E32A8" w:rsidRDefault="001E32A8" w:rsidP="00055045">
      <w:pPr>
        <w:spacing w:after="0" w:line="240" w:lineRule="auto"/>
      </w:pPr>
      <w:r>
        <w:continuationSeparator/>
      </w:r>
    </w:p>
  </w:footnote>
  <w:footnote w:type="continuationNotice" w:id="1">
    <w:p w14:paraId="078B8609" w14:textId="77777777" w:rsidR="001E32A8" w:rsidRDefault="001E32A8" w:rsidP="00055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00A" w14:textId="77777777" w:rsidR="002C6CA1" w:rsidRPr="0075408A" w:rsidRDefault="002C6C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2CF1C" wp14:editId="2A30354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00B684" w14:textId="77777777" w:rsidR="002C6CA1" w:rsidRPr="008C00F8" w:rsidRDefault="002C6CA1" w:rsidP="005E6D38">
    <w:pPr>
      <w:pStyle w:val="Heading1"/>
      <w:spacing w:before="60" w:after="60"/>
      <w:rPr>
        <w:rFonts w:ascii="Arial" w:hAnsi="Arial" w:cs="Arial"/>
      </w:rPr>
    </w:pPr>
  </w:p>
  <w:p w14:paraId="6166B959" w14:textId="77777777" w:rsidR="002C6CA1" w:rsidRDefault="002C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E10" w14:textId="5C13D499" w:rsidR="002C6CA1" w:rsidRPr="0075408A" w:rsidRDefault="002C6C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787894" wp14:editId="26B6777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3205A8" w14:textId="77777777" w:rsidR="002C6CA1" w:rsidRPr="000F7FBF" w:rsidRDefault="002C6C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8A1420"/>
    <w:multiLevelType w:val="hybridMultilevel"/>
    <w:tmpl w:val="6FB6F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95777"/>
    <w:multiLevelType w:val="hybridMultilevel"/>
    <w:tmpl w:val="8E5E276C"/>
    <w:lvl w:ilvl="0" w:tplc="B7085A5A">
      <w:start w:val="1"/>
      <w:numFmt w:val="bullet"/>
      <w:lvlText w:val=""/>
      <w:lvlJc w:val="left"/>
      <w:pPr>
        <w:tabs>
          <w:tab w:val="num" w:pos="933"/>
        </w:tabs>
        <w:ind w:left="933" w:hanging="357"/>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1BF95B22"/>
    <w:multiLevelType w:val="hybridMultilevel"/>
    <w:tmpl w:val="61F444C2"/>
    <w:lvl w:ilvl="0" w:tplc="47D087C0">
      <w:start w:val="1"/>
      <w:numFmt w:val="lowerLetter"/>
      <w:lvlText w:val="%1)"/>
      <w:lvlJc w:val="left"/>
      <w:pPr>
        <w:tabs>
          <w:tab w:val="num" w:pos="2160"/>
        </w:tabs>
        <w:ind w:left="216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2C22D6F"/>
    <w:multiLevelType w:val="hybridMultilevel"/>
    <w:tmpl w:val="622A6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0272275E"/>
    <w:lvl w:ilvl="0" w:tplc="22265A20">
      <w:start w:val="1"/>
      <w:numFmt w:val="decimal"/>
      <w:lvlText w:val="%1."/>
      <w:lvlJc w:val="left"/>
      <w:pPr>
        <w:ind w:left="3762"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1DA508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D6EBD"/>
    <w:multiLevelType w:val="hybridMultilevel"/>
    <w:tmpl w:val="227E8828"/>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8649E0"/>
    <w:multiLevelType w:val="hybridMultilevel"/>
    <w:tmpl w:val="B34CF1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4230EB"/>
    <w:multiLevelType w:val="multilevel"/>
    <w:tmpl w:val="14345FE2"/>
    <w:lvl w:ilvl="0">
      <w:start w:val="1"/>
      <w:numFmt w:val="decimal"/>
      <w:lvlText w:val="%1"/>
      <w:lvlJc w:val="left"/>
      <w:pPr>
        <w:tabs>
          <w:tab w:val="num" w:pos="576"/>
        </w:tabs>
        <w:ind w:left="576" w:hanging="576"/>
      </w:pPr>
      <w:rPr>
        <w:rFonts w:ascii="Plantin" w:hAnsi="Plantin"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CDB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797AB1"/>
    <w:multiLevelType w:val="hybridMultilevel"/>
    <w:tmpl w:val="5E28B3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1956B2"/>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6F28BDB6"/>
    <w:lvl w:ilvl="0" w:tplc="F02A447E">
      <w:start w:val="1"/>
      <w:numFmt w:val="decimal"/>
      <w:lvlText w:val="%1."/>
      <w:lvlJc w:val="left"/>
      <w:pPr>
        <w:ind w:left="360" w:hanging="360"/>
      </w:pPr>
      <w:rPr>
        <w:rFonts w:ascii="Arial" w:hAnsi="Arial" w:cs="Arial" w:hint="default"/>
        <w:sz w:val="22"/>
        <w:szCs w:val="22"/>
      </w:rPr>
    </w:lvl>
    <w:lvl w:ilvl="1" w:tplc="680042D6">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5F4B78"/>
    <w:multiLevelType w:val="hybridMultilevel"/>
    <w:tmpl w:val="4E1C15FA"/>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41F80"/>
    <w:multiLevelType w:val="hybridMultilevel"/>
    <w:tmpl w:val="56602144"/>
    <w:lvl w:ilvl="0" w:tplc="BD5C1BE2">
      <w:start w:val="1"/>
      <w:numFmt w:val="bullet"/>
      <w:lvlText w:val=""/>
      <w:lvlJc w:val="left"/>
      <w:pPr>
        <w:tabs>
          <w:tab w:val="num" w:pos="567"/>
        </w:tabs>
        <w:ind w:left="567" w:hanging="2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56B70"/>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1"/>
  </w:num>
  <w:num w:numId="6">
    <w:abstractNumId w:val="19"/>
  </w:num>
  <w:num w:numId="7">
    <w:abstractNumId w:val="27"/>
  </w:num>
  <w:num w:numId="8">
    <w:abstractNumId w:val="20"/>
  </w:num>
  <w:num w:numId="9">
    <w:abstractNumId w:val="24"/>
  </w:num>
  <w:num w:numId="10">
    <w:abstractNumId w:val="16"/>
  </w:num>
  <w:num w:numId="11">
    <w:abstractNumId w:val="5"/>
  </w:num>
  <w:num w:numId="12">
    <w:abstractNumId w:val="17"/>
  </w:num>
  <w:num w:numId="13">
    <w:abstractNumId w:val="8"/>
  </w:num>
  <w:num w:numId="14">
    <w:abstractNumId w:val="13"/>
  </w:num>
  <w:num w:numId="1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5"/>
  </w:num>
  <w:num w:numId="20">
    <w:abstractNumId w:val="26"/>
  </w:num>
  <w:num w:numId="21">
    <w:abstractNumId w:val="18"/>
  </w:num>
  <w:num w:numId="22">
    <w:abstractNumId w:val="22"/>
  </w:num>
  <w:num w:numId="23">
    <w:abstractNumId w:val="2"/>
  </w:num>
  <w:num w:numId="24">
    <w:abstractNumId w:val="12"/>
  </w:num>
  <w:num w:numId="25">
    <w:abstractNumId w:val="23"/>
  </w:num>
  <w:num w:numId="26">
    <w:abstractNumId w:val="25"/>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30"/>
    <w:rsid w:val="00000C8C"/>
    <w:rsid w:val="000017F2"/>
    <w:rsid w:val="00002762"/>
    <w:rsid w:val="00005661"/>
    <w:rsid w:val="00010A16"/>
    <w:rsid w:val="0001243F"/>
    <w:rsid w:val="00021EA0"/>
    <w:rsid w:val="00025992"/>
    <w:rsid w:val="00027937"/>
    <w:rsid w:val="00030C9E"/>
    <w:rsid w:val="00031E67"/>
    <w:rsid w:val="000408CC"/>
    <w:rsid w:val="00045373"/>
    <w:rsid w:val="00055045"/>
    <w:rsid w:val="00063280"/>
    <w:rsid w:val="00063A2F"/>
    <w:rsid w:val="000678D3"/>
    <w:rsid w:val="0007557C"/>
    <w:rsid w:val="00081B27"/>
    <w:rsid w:val="00094810"/>
    <w:rsid w:val="000C0294"/>
    <w:rsid w:val="000C7A1C"/>
    <w:rsid w:val="000D2A8A"/>
    <w:rsid w:val="000D32AC"/>
    <w:rsid w:val="000E20C1"/>
    <w:rsid w:val="000E3B73"/>
    <w:rsid w:val="000F5F1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69"/>
    <w:rsid w:val="00172793"/>
    <w:rsid w:val="0017756A"/>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2A8"/>
    <w:rsid w:val="001E62C1"/>
    <w:rsid w:val="001E7103"/>
    <w:rsid w:val="001F0779"/>
    <w:rsid w:val="001F3C3E"/>
    <w:rsid w:val="0020243A"/>
    <w:rsid w:val="0021578E"/>
    <w:rsid w:val="00220C6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AD"/>
    <w:rsid w:val="00292C46"/>
    <w:rsid w:val="002938D6"/>
    <w:rsid w:val="00294B73"/>
    <w:rsid w:val="002A0C18"/>
    <w:rsid w:val="002A219B"/>
    <w:rsid w:val="002A22DB"/>
    <w:rsid w:val="002B20F5"/>
    <w:rsid w:val="002B2A1A"/>
    <w:rsid w:val="002B71F2"/>
    <w:rsid w:val="002C3678"/>
    <w:rsid w:val="002C6CA1"/>
    <w:rsid w:val="002E71C0"/>
    <w:rsid w:val="002F05F4"/>
    <w:rsid w:val="002F0A22"/>
    <w:rsid w:val="002F0CE4"/>
    <w:rsid w:val="002F23EF"/>
    <w:rsid w:val="002F24F4"/>
    <w:rsid w:val="002F2626"/>
    <w:rsid w:val="00302082"/>
    <w:rsid w:val="0030408E"/>
    <w:rsid w:val="00304503"/>
    <w:rsid w:val="00306620"/>
    <w:rsid w:val="00313BE9"/>
    <w:rsid w:val="003262B9"/>
    <w:rsid w:val="00334A02"/>
    <w:rsid w:val="00335875"/>
    <w:rsid w:val="00335C13"/>
    <w:rsid w:val="00335FBE"/>
    <w:rsid w:val="00352D8E"/>
    <w:rsid w:val="00356B68"/>
    <w:rsid w:val="0035702D"/>
    <w:rsid w:val="003604D4"/>
    <w:rsid w:val="003627B0"/>
    <w:rsid w:val="00363CB3"/>
    <w:rsid w:val="0036552E"/>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836"/>
    <w:rsid w:val="003C776B"/>
    <w:rsid w:val="003D4A1C"/>
    <w:rsid w:val="003D7AA0"/>
    <w:rsid w:val="003E1FF7"/>
    <w:rsid w:val="003E22D7"/>
    <w:rsid w:val="003E311D"/>
    <w:rsid w:val="003F4470"/>
    <w:rsid w:val="003F5A04"/>
    <w:rsid w:val="003F67CD"/>
    <w:rsid w:val="00402ED7"/>
    <w:rsid w:val="004114F8"/>
    <w:rsid w:val="00422B69"/>
    <w:rsid w:val="00423D86"/>
    <w:rsid w:val="00424C90"/>
    <w:rsid w:val="00433004"/>
    <w:rsid w:val="00436BE9"/>
    <w:rsid w:val="00441E76"/>
    <w:rsid w:val="004443DA"/>
    <w:rsid w:val="004474A2"/>
    <w:rsid w:val="00456566"/>
    <w:rsid w:val="00460925"/>
    <w:rsid w:val="00471C6C"/>
    <w:rsid w:val="00472023"/>
    <w:rsid w:val="004721CB"/>
    <w:rsid w:val="00486993"/>
    <w:rsid w:val="0049189C"/>
    <w:rsid w:val="00492DA4"/>
    <w:rsid w:val="00496AA3"/>
    <w:rsid w:val="00497C98"/>
    <w:rsid w:val="004A3380"/>
    <w:rsid w:val="004A39D7"/>
    <w:rsid w:val="004A55FA"/>
    <w:rsid w:val="004C1EC4"/>
    <w:rsid w:val="004D035C"/>
    <w:rsid w:val="004D12EF"/>
    <w:rsid w:val="004F23A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B5FF3"/>
    <w:rsid w:val="005C1A4F"/>
    <w:rsid w:val="005C27D7"/>
    <w:rsid w:val="005E1A3A"/>
    <w:rsid w:val="005E3FA7"/>
    <w:rsid w:val="005E6ADC"/>
    <w:rsid w:val="005E6D10"/>
    <w:rsid w:val="005E6D38"/>
    <w:rsid w:val="005E7B3F"/>
    <w:rsid w:val="005F040F"/>
    <w:rsid w:val="005F2C42"/>
    <w:rsid w:val="006050CF"/>
    <w:rsid w:val="00607A37"/>
    <w:rsid w:val="00614E27"/>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1C4"/>
    <w:rsid w:val="00695285"/>
    <w:rsid w:val="00697BBA"/>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5F7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502"/>
    <w:rsid w:val="007F393D"/>
    <w:rsid w:val="008013C2"/>
    <w:rsid w:val="008029AF"/>
    <w:rsid w:val="00802FFA"/>
    <w:rsid w:val="008102E5"/>
    <w:rsid w:val="0081111B"/>
    <w:rsid w:val="008111B4"/>
    <w:rsid w:val="00813135"/>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1B0D"/>
    <w:rsid w:val="008B2543"/>
    <w:rsid w:val="008B4B6E"/>
    <w:rsid w:val="008D7401"/>
    <w:rsid w:val="008E38B5"/>
    <w:rsid w:val="00903DF6"/>
    <w:rsid w:val="00921CF6"/>
    <w:rsid w:val="009246F0"/>
    <w:rsid w:val="00924EF0"/>
    <w:rsid w:val="00934D7B"/>
    <w:rsid w:val="00943BCD"/>
    <w:rsid w:val="00947180"/>
    <w:rsid w:val="009567BE"/>
    <w:rsid w:val="0096640F"/>
    <w:rsid w:val="009676FA"/>
    <w:rsid w:val="009679E0"/>
    <w:rsid w:val="00977632"/>
    <w:rsid w:val="00982A8E"/>
    <w:rsid w:val="009834DA"/>
    <w:rsid w:val="00987DB4"/>
    <w:rsid w:val="00996204"/>
    <w:rsid w:val="009A26CB"/>
    <w:rsid w:val="009A27A9"/>
    <w:rsid w:val="009A2D37"/>
    <w:rsid w:val="009A7587"/>
    <w:rsid w:val="009B0A69"/>
    <w:rsid w:val="009B5B0B"/>
    <w:rsid w:val="009C2474"/>
    <w:rsid w:val="009C5952"/>
    <w:rsid w:val="009C7082"/>
    <w:rsid w:val="009D0006"/>
    <w:rsid w:val="009D068C"/>
    <w:rsid w:val="009F3A2A"/>
    <w:rsid w:val="009F4991"/>
    <w:rsid w:val="009F731F"/>
    <w:rsid w:val="00A018FA"/>
    <w:rsid w:val="00A021FE"/>
    <w:rsid w:val="00A1270E"/>
    <w:rsid w:val="00A15342"/>
    <w:rsid w:val="00A3007E"/>
    <w:rsid w:val="00A32048"/>
    <w:rsid w:val="00A33533"/>
    <w:rsid w:val="00A346C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2D75"/>
    <w:rsid w:val="00B13402"/>
    <w:rsid w:val="00B14BC2"/>
    <w:rsid w:val="00B17024"/>
    <w:rsid w:val="00B17CD2"/>
    <w:rsid w:val="00B213D2"/>
    <w:rsid w:val="00B248BA"/>
    <w:rsid w:val="00B24B56"/>
    <w:rsid w:val="00B2615F"/>
    <w:rsid w:val="00B30E07"/>
    <w:rsid w:val="00B34ADD"/>
    <w:rsid w:val="00B52FF5"/>
    <w:rsid w:val="00B57219"/>
    <w:rsid w:val="00B658A3"/>
    <w:rsid w:val="00B65C2D"/>
    <w:rsid w:val="00B746A8"/>
    <w:rsid w:val="00B7664D"/>
    <w:rsid w:val="00B80989"/>
    <w:rsid w:val="00B847EA"/>
    <w:rsid w:val="00B9109B"/>
    <w:rsid w:val="00B927AE"/>
    <w:rsid w:val="00B93721"/>
    <w:rsid w:val="00B937B1"/>
    <w:rsid w:val="00BA453C"/>
    <w:rsid w:val="00BA4E02"/>
    <w:rsid w:val="00BA63AE"/>
    <w:rsid w:val="00BB2A6D"/>
    <w:rsid w:val="00BB4189"/>
    <w:rsid w:val="00BC19F7"/>
    <w:rsid w:val="00BC1D37"/>
    <w:rsid w:val="00BC2A93"/>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1716A"/>
    <w:rsid w:val="00C2492F"/>
    <w:rsid w:val="00C3744A"/>
    <w:rsid w:val="00C4002A"/>
    <w:rsid w:val="00C41D3A"/>
    <w:rsid w:val="00C46912"/>
    <w:rsid w:val="00C612A8"/>
    <w:rsid w:val="00C67631"/>
    <w:rsid w:val="00C729D7"/>
    <w:rsid w:val="00C82E7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16DCC"/>
    <w:rsid w:val="00D2689A"/>
    <w:rsid w:val="00D524F2"/>
    <w:rsid w:val="00D65506"/>
    <w:rsid w:val="00D6661D"/>
    <w:rsid w:val="00D71DF4"/>
    <w:rsid w:val="00D773CF"/>
    <w:rsid w:val="00D83563"/>
    <w:rsid w:val="00D8448F"/>
    <w:rsid w:val="00DA64B6"/>
    <w:rsid w:val="00DB4A30"/>
    <w:rsid w:val="00DB5617"/>
    <w:rsid w:val="00DB5C9D"/>
    <w:rsid w:val="00DD02E6"/>
    <w:rsid w:val="00DD2606"/>
    <w:rsid w:val="00DE4F08"/>
    <w:rsid w:val="00DF665B"/>
    <w:rsid w:val="00E0152A"/>
    <w:rsid w:val="00E03394"/>
    <w:rsid w:val="00E066E5"/>
    <w:rsid w:val="00E22F03"/>
    <w:rsid w:val="00E233C1"/>
    <w:rsid w:val="00E23979"/>
    <w:rsid w:val="00E335A2"/>
    <w:rsid w:val="00E51404"/>
    <w:rsid w:val="00E574C9"/>
    <w:rsid w:val="00E610DE"/>
    <w:rsid w:val="00E66167"/>
    <w:rsid w:val="00E71F2F"/>
    <w:rsid w:val="00E77786"/>
    <w:rsid w:val="00E806FB"/>
    <w:rsid w:val="00EA6558"/>
    <w:rsid w:val="00EB1C2D"/>
    <w:rsid w:val="00EC1810"/>
    <w:rsid w:val="00EC3FCC"/>
    <w:rsid w:val="00EC4098"/>
    <w:rsid w:val="00EC432B"/>
    <w:rsid w:val="00ED32FF"/>
    <w:rsid w:val="00EE1715"/>
    <w:rsid w:val="00EE279B"/>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4089"/>
    <w:rsid w:val="00F7730B"/>
    <w:rsid w:val="00F77676"/>
    <w:rsid w:val="00F8197C"/>
    <w:rsid w:val="00F82B4E"/>
    <w:rsid w:val="00F87559"/>
    <w:rsid w:val="00F96D71"/>
    <w:rsid w:val="00F97C9E"/>
    <w:rsid w:val="00FA20DE"/>
    <w:rsid w:val="00FA4EE8"/>
    <w:rsid w:val="00FB12CA"/>
    <w:rsid w:val="00FB36EC"/>
    <w:rsid w:val="00FB4E1B"/>
    <w:rsid w:val="00FB7036"/>
    <w:rsid w:val="00FC0291"/>
    <w:rsid w:val="00FC1C92"/>
    <w:rsid w:val="00FC6BFB"/>
    <w:rsid w:val="00FD333B"/>
    <w:rsid w:val="00FD689C"/>
    <w:rsid w:val="00FD705C"/>
    <w:rsid w:val="00FD777A"/>
    <w:rsid w:val="00FE062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F1E1"/>
  <w15:docId w15:val="{882E4728-4AC8-43CD-A396-CFA7BEF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4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055045"/>
    <w:pPr>
      <w:keepNext/>
      <w:numPr>
        <w:numId w:val="15"/>
      </w:numPr>
      <w:tabs>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055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05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055045"/>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055045"/>
    <w:rPr>
      <w:rFonts w:ascii="Plantin" w:eastAsia="Times New Roman" w:hAnsi="Plantin" w:cs="Times New Roman"/>
      <w:sz w:val="24"/>
      <w:szCs w:val="20"/>
    </w:rPr>
  </w:style>
  <w:style w:type="paragraph" w:styleId="BodyTextIndent">
    <w:name w:val="Body Text Indent"/>
    <w:basedOn w:val="Normal"/>
    <w:link w:val="BodyTextIndentChar"/>
    <w:rsid w:val="00055045"/>
    <w:pPr>
      <w:spacing w:after="120" w:line="240" w:lineRule="auto"/>
      <w:ind w:left="270" w:hanging="270"/>
    </w:pPr>
    <w:rPr>
      <w:rFonts w:ascii="Plantin" w:eastAsia="Times New Roman" w:hAnsi="Plantin" w:cs="Times New Roman"/>
      <w:sz w:val="20"/>
      <w:szCs w:val="20"/>
      <w:lang w:eastAsia="en-US"/>
    </w:rPr>
  </w:style>
  <w:style w:type="character" w:customStyle="1" w:styleId="BodyTextIndentChar">
    <w:name w:val="Body Text Indent Char"/>
    <w:basedOn w:val="DefaultParagraphFont"/>
    <w:link w:val="BodyTextIndent"/>
    <w:rsid w:val="00055045"/>
    <w:rPr>
      <w:rFonts w:ascii="Plantin" w:eastAsia="Times New Roman" w:hAnsi="Plantin" w:cs="Times New Roman"/>
      <w:sz w:val="20"/>
      <w:szCs w:val="20"/>
    </w:rPr>
  </w:style>
  <w:style w:type="paragraph" w:styleId="BodyTextIndent2">
    <w:name w:val="Body Text Indent 2"/>
    <w:basedOn w:val="Normal"/>
    <w:link w:val="BodyTextIndent2Char"/>
    <w:rsid w:val="00055045"/>
    <w:pPr>
      <w:spacing w:after="60" w:line="240" w:lineRule="auto"/>
      <w:ind w:left="720"/>
    </w:pPr>
    <w:rPr>
      <w:rFonts w:ascii="Palatino Linotype" w:eastAsia="Times New Roman" w:hAnsi="Palatino Linotype" w:cs="Arial"/>
      <w:b/>
      <w:bCs/>
      <w:sz w:val="20"/>
      <w:szCs w:val="24"/>
      <w:lang w:eastAsia="en-US"/>
    </w:rPr>
  </w:style>
  <w:style w:type="character" w:customStyle="1" w:styleId="BodyTextIndent2Char">
    <w:name w:val="Body Text Indent 2 Char"/>
    <w:basedOn w:val="DefaultParagraphFont"/>
    <w:link w:val="BodyTextIndent2"/>
    <w:rsid w:val="00055045"/>
    <w:rPr>
      <w:rFonts w:ascii="Palatino Linotype" w:eastAsia="Times New Roman" w:hAnsi="Palatino Linotype" w:cs="Arial"/>
      <w:b/>
      <w:bCs/>
      <w:sz w:val="20"/>
      <w:szCs w:val="24"/>
    </w:rPr>
  </w:style>
  <w:style w:type="paragraph" w:styleId="BodyTextIndent3">
    <w:name w:val="Body Text Indent 3"/>
    <w:basedOn w:val="Normal"/>
    <w:link w:val="BodyTextIndent3Char"/>
    <w:rsid w:val="00055045"/>
    <w:pPr>
      <w:spacing w:after="120" w:line="240" w:lineRule="auto"/>
      <w:ind w:left="360" w:hanging="360"/>
    </w:pPr>
    <w:rPr>
      <w:rFonts w:ascii="Plantin" w:eastAsia="Times New Roman" w:hAnsi="Plantin" w:cs="Times New Roman"/>
      <w:sz w:val="20"/>
      <w:szCs w:val="20"/>
      <w:lang w:eastAsia="en-US"/>
    </w:rPr>
  </w:style>
  <w:style w:type="character" w:customStyle="1" w:styleId="BodyTextIndent3Char">
    <w:name w:val="Body Text Indent 3 Char"/>
    <w:basedOn w:val="DefaultParagraphFont"/>
    <w:link w:val="BodyTextIndent3"/>
    <w:rsid w:val="00055045"/>
    <w:rPr>
      <w:rFonts w:ascii="Plantin" w:eastAsia="Times New Roman" w:hAnsi="Plantin" w:cs="Times New Roman"/>
      <w:sz w:val="20"/>
      <w:szCs w:val="20"/>
    </w:rPr>
  </w:style>
  <w:style w:type="table" w:styleId="LightList">
    <w:name w:val="Light List"/>
    <w:basedOn w:val="TableNormal"/>
    <w:uiPriority w:val="61"/>
    <w:rsid w:val="00943B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7B05A-852D-463C-9919-29588E6E7BE3}">
  <ds:schemaRefs>
    <ds:schemaRef ds:uri="http://schemas.openxmlformats.org/officeDocument/2006/bibliography"/>
  </ds:schemaRefs>
</ds:datastoreItem>
</file>

<file path=customXml/itemProps2.xml><?xml version="1.0" encoding="utf-8"?>
<ds:datastoreItem xmlns:ds="http://schemas.openxmlformats.org/officeDocument/2006/customXml" ds:itemID="{3D0ACC44-F55B-443A-B41A-83F020134AB6}"/>
</file>

<file path=customXml/itemProps3.xml><?xml version="1.0" encoding="utf-8"?>
<ds:datastoreItem xmlns:ds="http://schemas.openxmlformats.org/officeDocument/2006/customXml" ds:itemID="{F066F5CF-B7CC-4D05-9E9B-DB0FC3F36A24}"/>
</file>

<file path=customXml/itemProps4.xml><?xml version="1.0" encoding="utf-8"?>
<ds:datastoreItem xmlns:ds="http://schemas.openxmlformats.org/officeDocument/2006/customXml" ds:itemID="{0F7FDFED-90B7-4356-8AC7-164155E3B001}"/>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7</cp:revision>
  <cp:lastPrinted>2015-10-30T10:06:00Z</cp:lastPrinted>
  <dcterms:created xsi:type="dcterms:W3CDTF">2020-10-26T14:16:00Z</dcterms:created>
  <dcterms:modified xsi:type="dcterms:W3CDTF">2022-03-17T18:37:00Z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