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C0B" w14:textId="77777777" w:rsidR="009A2D37" w:rsidRPr="00373ACB" w:rsidRDefault="00C07A56"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1AE3B8B" w14:textId="77777777" w:rsidR="00C07A56" w:rsidRDefault="00764C76" w:rsidP="00BE3A59">
      <w:pPr>
        <w:spacing w:before="60" w:after="60" w:line="240" w:lineRule="auto"/>
        <w:ind w:left="426" w:right="260"/>
        <w:rPr>
          <w:rFonts w:ascii="Arial" w:hAnsi="Arial" w:cs="Arial"/>
          <w:sz w:val="20"/>
          <w:szCs w:val="20"/>
        </w:rPr>
      </w:pPr>
      <w:r>
        <w:rPr>
          <w:rFonts w:ascii="Arial" w:hAnsi="Arial" w:cs="Arial"/>
          <w:sz w:val="20"/>
          <w:szCs w:val="20"/>
        </w:rPr>
        <w:t xml:space="preserve">LAWS5730 (LW573): </w:t>
      </w:r>
      <w:r w:rsidR="002C197B" w:rsidRPr="002C197B">
        <w:rPr>
          <w:rFonts w:ascii="Arial" w:hAnsi="Arial" w:cs="Arial"/>
          <w:sz w:val="20"/>
          <w:szCs w:val="20"/>
        </w:rPr>
        <w:t>Law of Evidence for Forensic Scientists</w:t>
      </w:r>
      <w:r w:rsidR="00D35E3E">
        <w:rPr>
          <w:rFonts w:ascii="Arial" w:hAnsi="Arial" w:cs="Arial"/>
          <w:sz w:val="20"/>
          <w:szCs w:val="20"/>
        </w:rPr>
        <w:t xml:space="preserve"> </w:t>
      </w:r>
    </w:p>
    <w:p w14:paraId="042F0A28" w14:textId="77777777" w:rsidR="00453808" w:rsidRPr="00373ACB" w:rsidRDefault="00453808" w:rsidP="00BE3A59">
      <w:pPr>
        <w:spacing w:before="60" w:after="60" w:line="240" w:lineRule="auto"/>
        <w:ind w:left="426" w:right="260"/>
        <w:rPr>
          <w:rFonts w:ascii="Arial" w:hAnsi="Arial" w:cs="Arial"/>
          <w:sz w:val="20"/>
          <w:szCs w:val="20"/>
        </w:rPr>
      </w:pPr>
    </w:p>
    <w:p w14:paraId="1BA55F06"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23B2F63" w14:textId="77777777" w:rsidR="009A2D37" w:rsidRPr="00373ACB" w:rsidRDefault="00380EAE" w:rsidP="00BE3A59">
      <w:pPr>
        <w:spacing w:before="60" w:after="60" w:line="240" w:lineRule="auto"/>
        <w:ind w:left="426" w:right="260"/>
        <w:rPr>
          <w:rFonts w:ascii="Arial" w:hAnsi="Arial" w:cs="Arial"/>
          <w:iCs/>
          <w:sz w:val="20"/>
          <w:szCs w:val="20"/>
        </w:rPr>
      </w:pPr>
      <w:r>
        <w:rPr>
          <w:rFonts w:ascii="Arial" w:hAnsi="Arial" w:cs="Arial"/>
          <w:iCs/>
          <w:sz w:val="20"/>
          <w:szCs w:val="20"/>
        </w:rPr>
        <w:t>Kent Law School</w:t>
      </w:r>
    </w:p>
    <w:p w14:paraId="2395CA60" w14:textId="77777777" w:rsidR="00C07A56" w:rsidRPr="00373ACB" w:rsidRDefault="00C07A56" w:rsidP="00BE3A59">
      <w:pPr>
        <w:spacing w:before="60" w:after="60" w:line="240" w:lineRule="auto"/>
        <w:ind w:left="426" w:right="260"/>
        <w:rPr>
          <w:rFonts w:ascii="Arial" w:hAnsi="Arial" w:cs="Arial"/>
          <w:iCs/>
          <w:sz w:val="20"/>
          <w:szCs w:val="20"/>
        </w:rPr>
      </w:pPr>
    </w:p>
    <w:p w14:paraId="44817D72"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6B65D93" w14:textId="77777777" w:rsidR="009A2D37" w:rsidRPr="00373ACB" w:rsidRDefault="00BC1D37" w:rsidP="00BE3A59">
      <w:pPr>
        <w:spacing w:before="60" w:after="60" w:line="240" w:lineRule="auto"/>
        <w:ind w:left="426" w:right="260"/>
        <w:rPr>
          <w:rFonts w:ascii="Arial" w:hAnsi="Arial" w:cs="Arial"/>
          <w:iCs/>
          <w:sz w:val="20"/>
          <w:szCs w:val="20"/>
        </w:rPr>
      </w:pPr>
      <w:r>
        <w:rPr>
          <w:rFonts w:ascii="Arial" w:hAnsi="Arial" w:cs="Arial"/>
          <w:iCs/>
          <w:sz w:val="20"/>
          <w:szCs w:val="20"/>
        </w:rPr>
        <w:t>Level</w:t>
      </w:r>
      <w:r w:rsidR="002C197B">
        <w:rPr>
          <w:rFonts w:ascii="Arial" w:hAnsi="Arial" w:cs="Arial"/>
          <w:iCs/>
          <w:sz w:val="20"/>
          <w:szCs w:val="20"/>
        </w:rPr>
        <w:t xml:space="preserve"> </w:t>
      </w:r>
      <w:r>
        <w:rPr>
          <w:rFonts w:ascii="Arial" w:hAnsi="Arial" w:cs="Arial"/>
          <w:iCs/>
          <w:sz w:val="20"/>
          <w:szCs w:val="20"/>
        </w:rPr>
        <w:t>6</w:t>
      </w:r>
    </w:p>
    <w:p w14:paraId="0D309E1B" w14:textId="77777777" w:rsidR="00C07A56" w:rsidRPr="00373ACB" w:rsidRDefault="00C07A56" w:rsidP="00BE3A59">
      <w:pPr>
        <w:spacing w:before="60" w:after="60" w:line="240" w:lineRule="auto"/>
        <w:ind w:left="426" w:right="260"/>
        <w:rPr>
          <w:rFonts w:ascii="Arial" w:hAnsi="Arial" w:cs="Arial"/>
          <w:iCs/>
          <w:sz w:val="20"/>
          <w:szCs w:val="20"/>
        </w:rPr>
      </w:pPr>
    </w:p>
    <w:p w14:paraId="1D2E3326"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06CFB45" w14:textId="77777777" w:rsidR="00BC1D37" w:rsidRPr="00373ACB" w:rsidRDefault="00BC1D37" w:rsidP="00BE3A59">
      <w:pPr>
        <w:spacing w:before="60" w:after="60" w:line="240" w:lineRule="auto"/>
        <w:ind w:left="426" w:right="260"/>
        <w:rPr>
          <w:rFonts w:ascii="Arial" w:hAnsi="Arial" w:cs="Arial"/>
          <w:sz w:val="20"/>
          <w:szCs w:val="20"/>
        </w:rPr>
      </w:pPr>
      <w:r>
        <w:rPr>
          <w:rFonts w:ascii="Arial" w:hAnsi="Arial" w:cs="Arial"/>
          <w:sz w:val="20"/>
          <w:szCs w:val="20"/>
        </w:rPr>
        <w:t>15</w:t>
      </w:r>
      <w:r w:rsidR="002C197B">
        <w:rPr>
          <w:rFonts w:ascii="Arial" w:hAnsi="Arial" w:cs="Arial"/>
          <w:sz w:val="20"/>
          <w:szCs w:val="20"/>
        </w:rPr>
        <w:t xml:space="preserve"> </w:t>
      </w:r>
      <w:r>
        <w:rPr>
          <w:rFonts w:ascii="Arial" w:hAnsi="Arial" w:cs="Arial"/>
          <w:sz w:val="20"/>
          <w:szCs w:val="20"/>
        </w:rPr>
        <w:t>credits (7.5 ECTS Credits)</w:t>
      </w:r>
    </w:p>
    <w:p w14:paraId="3FF03DF7" w14:textId="77777777" w:rsidR="00C07A56" w:rsidRPr="00373ACB" w:rsidRDefault="00C07A56" w:rsidP="00BE3A59">
      <w:pPr>
        <w:spacing w:before="60" w:after="60" w:line="240" w:lineRule="auto"/>
        <w:ind w:left="426" w:right="260"/>
        <w:rPr>
          <w:rFonts w:ascii="Arial" w:hAnsi="Arial" w:cs="Arial"/>
          <w:sz w:val="20"/>
          <w:szCs w:val="20"/>
        </w:rPr>
      </w:pPr>
    </w:p>
    <w:p w14:paraId="7E85F389"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DCC18F" w14:textId="77777777" w:rsidR="00BC1D37" w:rsidRPr="00380EAE" w:rsidRDefault="002C197B" w:rsidP="00BE3A59">
      <w:pPr>
        <w:spacing w:before="60" w:after="60" w:line="240" w:lineRule="auto"/>
        <w:ind w:left="426"/>
        <w:rPr>
          <w:rFonts w:ascii="Arial" w:hAnsi="Arial" w:cs="Arial"/>
          <w:sz w:val="20"/>
          <w:szCs w:val="20"/>
        </w:rPr>
      </w:pPr>
      <w:r>
        <w:rPr>
          <w:rFonts w:ascii="Arial" w:hAnsi="Arial" w:cs="Arial"/>
          <w:sz w:val="20"/>
          <w:szCs w:val="20"/>
        </w:rPr>
        <w:t>Autumn Term</w:t>
      </w:r>
    </w:p>
    <w:p w14:paraId="76FA6F46" w14:textId="77777777" w:rsidR="00C07A56" w:rsidRPr="00373ACB" w:rsidRDefault="00C07A56" w:rsidP="00BE3A59">
      <w:pPr>
        <w:spacing w:before="60" w:after="60" w:line="240" w:lineRule="auto"/>
        <w:ind w:left="426"/>
        <w:rPr>
          <w:rFonts w:ascii="Arial" w:hAnsi="Arial" w:cs="Arial"/>
          <w:b/>
          <w:sz w:val="20"/>
          <w:szCs w:val="20"/>
        </w:rPr>
      </w:pPr>
    </w:p>
    <w:p w14:paraId="008BD907" w14:textId="77777777" w:rsidR="00B2615F" w:rsidRPr="00373ACB" w:rsidRDefault="00B2615F"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0119A1E" w14:textId="77777777" w:rsidR="002C197B" w:rsidRPr="00725CCE" w:rsidRDefault="002C197B" w:rsidP="00BE3A59">
      <w:pPr>
        <w:spacing w:before="60" w:after="60" w:line="240" w:lineRule="auto"/>
        <w:ind w:left="426" w:right="260"/>
        <w:jc w:val="both"/>
        <w:rPr>
          <w:rFonts w:ascii="Arial" w:hAnsi="Arial" w:cs="Arial"/>
          <w:iCs/>
          <w:sz w:val="20"/>
          <w:szCs w:val="20"/>
        </w:rPr>
      </w:pPr>
      <w:r w:rsidRPr="00725CCE">
        <w:rPr>
          <w:rFonts w:ascii="Arial" w:hAnsi="Arial" w:cs="Arial"/>
          <w:iCs/>
          <w:sz w:val="20"/>
          <w:szCs w:val="20"/>
        </w:rPr>
        <w:t>L</w:t>
      </w:r>
      <w:r w:rsidR="009428D7" w:rsidRPr="00725CCE">
        <w:rPr>
          <w:rFonts w:ascii="Arial" w:hAnsi="Arial" w:cs="Arial"/>
          <w:iCs/>
          <w:sz w:val="20"/>
          <w:szCs w:val="20"/>
        </w:rPr>
        <w:t>A</w:t>
      </w:r>
      <w:r w:rsidRPr="00725CCE">
        <w:rPr>
          <w:rFonts w:ascii="Arial" w:hAnsi="Arial" w:cs="Arial"/>
          <w:iCs/>
          <w:sz w:val="20"/>
          <w:szCs w:val="20"/>
        </w:rPr>
        <w:t>W</w:t>
      </w:r>
      <w:r w:rsidR="009428D7" w:rsidRPr="00725CCE">
        <w:rPr>
          <w:rFonts w:ascii="Arial" w:hAnsi="Arial" w:cs="Arial"/>
          <w:iCs/>
          <w:sz w:val="20"/>
          <w:szCs w:val="20"/>
        </w:rPr>
        <w:t>S</w:t>
      </w:r>
      <w:r w:rsidRPr="00725CCE">
        <w:rPr>
          <w:rFonts w:ascii="Arial" w:hAnsi="Arial" w:cs="Arial"/>
          <w:iCs/>
          <w:sz w:val="20"/>
          <w:szCs w:val="20"/>
        </w:rPr>
        <w:t>562</w:t>
      </w:r>
      <w:r w:rsidR="009428D7" w:rsidRPr="00725CCE">
        <w:rPr>
          <w:rFonts w:ascii="Arial" w:hAnsi="Arial" w:cs="Arial"/>
          <w:iCs/>
          <w:sz w:val="20"/>
          <w:szCs w:val="20"/>
        </w:rPr>
        <w:t>0</w:t>
      </w:r>
      <w:r w:rsidR="0009374F" w:rsidRPr="00725CCE">
        <w:rPr>
          <w:rFonts w:ascii="Arial" w:hAnsi="Arial" w:cs="Arial"/>
          <w:iCs/>
          <w:sz w:val="20"/>
          <w:szCs w:val="20"/>
        </w:rPr>
        <w:t xml:space="preserve"> </w:t>
      </w:r>
      <w:r w:rsidRPr="00725CCE">
        <w:rPr>
          <w:rFonts w:ascii="Arial" w:hAnsi="Arial" w:cs="Arial"/>
          <w:iCs/>
          <w:sz w:val="20"/>
          <w:szCs w:val="20"/>
        </w:rPr>
        <w:t>Crimi</w:t>
      </w:r>
      <w:r w:rsidR="0009374F" w:rsidRPr="00725CCE">
        <w:rPr>
          <w:rFonts w:ascii="Arial" w:hAnsi="Arial" w:cs="Arial"/>
          <w:iCs/>
          <w:sz w:val="20"/>
          <w:szCs w:val="20"/>
        </w:rPr>
        <w:t>nal Law for Forensic Scientists</w:t>
      </w:r>
      <w:r w:rsidRPr="00725CCE">
        <w:rPr>
          <w:rFonts w:ascii="Arial" w:hAnsi="Arial" w:cs="Arial"/>
          <w:iCs/>
          <w:sz w:val="20"/>
          <w:szCs w:val="20"/>
        </w:rPr>
        <w:t xml:space="preserve"> is normally a prerequisite but </w:t>
      </w:r>
      <w:r w:rsidR="00D35E3E" w:rsidRPr="00725CCE">
        <w:rPr>
          <w:rFonts w:ascii="Arial" w:hAnsi="Arial" w:cs="Arial"/>
          <w:iCs/>
          <w:sz w:val="20"/>
          <w:szCs w:val="20"/>
        </w:rPr>
        <w:t>at the convenors discretion may be taken as a</w:t>
      </w:r>
      <w:r w:rsidRPr="00725CCE">
        <w:rPr>
          <w:rFonts w:ascii="Arial" w:hAnsi="Arial" w:cs="Arial"/>
          <w:iCs/>
          <w:sz w:val="20"/>
          <w:szCs w:val="20"/>
        </w:rPr>
        <w:t xml:space="preserve"> co-requisite</w:t>
      </w:r>
    </w:p>
    <w:p w14:paraId="0E5229B3" w14:textId="77777777" w:rsidR="005E3FA7" w:rsidRPr="005E3FA7" w:rsidRDefault="005E3FA7" w:rsidP="00BE3A59">
      <w:pPr>
        <w:spacing w:before="60" w:after="60" w:line="240" w:lineRule="auto"/>
        <w:ind w:left="426" w:right="260"/>
        <w:rPr>
          <w:rFonts w:ascii="Arial" w:hAnsi="Arial" w:cs="Arial"/>
          <w:b/>
          <w:sz w:val="20"/>
          <w:szCs w:val="20"/>
        </w:rPr>
      </w:pPr>
    </w:p>
    <w:p w14:paraId="01166ADF"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40E96A2" w14:textId="77777777" w:rsidR="009A2D37" w:rsidRPr="002C197B" w:rsidRDefault="002C197B" w:rsidP="00BE3A59">
      <w:pPr>
        <w:spacing w:before="60" w:after="60" w:line="240" w:lineRule="auto"/>
        <w:ind w:left="426" w:right="260"/>
        <w:rPr>
          <w:rFonts w:ascii="Arial" w:hAnsi="Arial" w:cs="Arial"/>
          <w:iCs/>
          <w:sz w:val="20"/>
          <w:szCs w:val="20"/>
        </w:rPr>
      </w:pPr>
      <w:r w:rsidRPr="002C197B">
        <w:rPr>
          <w:rFonts w:ascii="Arial" w:hAnsi="Arial" w:cs="Arial"/>
          <w:sz w:val="20"/>
          <w:szCs w:val="20"/>
        </w:rPr>
        <w:t>This module is only available for students on one of the Forensic Science programmes</w:t>
      </w:r>
    </w:p>
    <w:p w14:paraId="4EB5AE17" w14:textId="77777777" w:rsidR="00C07A56" w:rsidRPr="00373ACB" w:rsidRDefault="00C07A56" w:rsidP="00BE3A59">
      <w:pPr>
        <w:spacing w:before="60" w:after="60" w:line="240" w:lineRule="auto"/>
        <w:ind w:left="426" w:right="260"/>
        <w:rPr>
          <w:rFonts w:ascii="Arial" w:hAnsi="Arial" w:cs="Arial"/>
          <w:iCs/>
          <w:sz w:val="20"/>
          <w:szCs w:val="20"/>
        </w:rPr>
      </w:pPr>
    </w:p>
    <w:p w14:paraId="2AE47EE6" w14:textId="77777777" w:rsidR="009A2D37" w:rsidRDefault="009A2D37" w:rsidP="00BE3A59">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AE50F87" w14:textId="77777777" w:rsidR="00380EAE" w:rsidRPr="00373ACB" w:rsidRDefault="00380EAE" w:rsidP="00BE3A59">
      <w:pPr>
        <w:spacing w:before="60" w:after="60" w:line="240" w:lineRule="auto"/>
        <w:ind w:left="426" w:right="260"/>
        <w:rPr>
          <w:rFonts w:ascii="Arial" w:hAnsi="Arial" w:cs="Arial"/>
          <w:b/>
          <w:sz w:val="20"/>
          <w:szCs w:val="20"/>
        </w:rPr>
      </w:pPr>
    </w:p>
    <w:p w14:paraId="60917CF1" w14:textId="77777777" w:rsidR="002C197B" w:rsidRPr="009B79AE" w:rsidRDefault="00701766"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Identify </w:t>
      </w:r>
      <w:r w:rsidR="00235FD3">
        <w:rPr>
          <w:rFonts w:ascii="Arial" w:hAnsi="Arial" w:cs="Arial"/>
          <w:sz w:val="20"/>
          <w:szCs w:val="20"/>
        </w:rPr>
        <w:t xml:space="preserve">and critically analyse </w:t>
      </w:r>
      <w:r w:rsidR="002C197B" w:rsidRPr="009B79AE">
        <w:rPr>
          <w:rFonts w:ascii="Arial" w:hAnsi="Arial" w:cs="Arial"/>
          <w:sz w:val="20"/>
          <w:szCs w:val="20"/>
        </w:rPr>
        <w:t xml:space="preserve">sources relating to evidence, from a range of disciplines. </w:t>
      </w:r>
    </w:p>
    <w:p w14:paraId="48730DA8" w14:textId="77777777" w:rsidR="002C197B" w:rsidRPr="009B79AE" w:rsidRDefault="00701766"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Utilise</w:t>
      </w:r>
      <w:r w:rsidR="00235FD3">
        <w:rPr>
          <w:rFonts w:ascii="Arial" w:hAnsi="Arial" w:cs="Arial"/>
          <w:sz w:val="20"/>
          <w:szCs w:val="20"/>
        </w:rPr>
        <w:t xml:space="preserve"> and apply</w:t>
      </w:r>
      <w:r>
        <w:rPr>
          <w:rFonts w:ascii="Arial" w:hAnsi="Arial" w:cs="Arial"/>
          <w:sz w:val="20"/>
          <w:szCs w:val="20"/>
        </w:rPr>
        <w:t xml:space="preserve"> inferential logic and the</w:t>
      </w:r>
      <w:r w:rsidR="002A5B78">
        <w:rPr>
          <w:rFonts w:ascii="Arial" w:hAnsi="Arial" w:cs="Arial"/>
          <w:sz w:val="20"/>
          <w:szCs w:val="20"/>
        </w:rPr>
        <w:t>n</w:t>
      </w:r>
      <w:r>
        <w:rPr>
          <w:rFonts w:ascii="Arial" w:hAnsi="Arial" w:cs="Arial"/>
          <w:sz w:val="20"/>
          <w:szCs w:val="20"/>
        </w:rPr>
        <w:t xml:space="preserve"> apply </w:t>
      </w:r>
      <w:r w:rsidR="002C197B" w:rsidRPr="009B79AE">
        <w:rPr>
          <w:rFonts w:ascii="Arial" w:hAnsi="Arial" w:cs="Arial"/>
          <w:sz w:val="20"/>
          <w:szCs w:val="20"/>
        </w:rPr>
        <w:t xml:space="preserve">analysis to factual situations </w:t>
      </w:r>
    </w:p>
    <w:p w14:paraId="00DFB349" w14:textId="77777777" w:rsidR="002C197B" w:rsidRPr="009B79AE" w:rsidRDefault="00701766"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00235FD3">
        <w:rPr>
          <w:rFonts w:ascii="Arial" w:hAnsi="Arial" w:cs="Arial"/>
          <w:sz w:val="20"/>
          <w:szCs w:val="20"/>
        </w:rPr>
        <w:t xml:space="preserve"> detailed</w:t>
      </w:r>
      <w:r>
        <w:rPr>
          <w:rFonts w:ascii="Arial" w:hAnsi="Arial" w:cs="Arial"/>
          <w:sz w:val="20"/>
          <w:szCs w:val="20"/>
        </w:rPr>
        <w:t xml:space="preserve"> knowledge of </w:t>
      </w:r>
      <w:r w:rsidR="002A5B78">
        <w:rPr>
          <w:rFonts w:ascii="Arial" w:hAnsi="Arial" w:cs="Arial"/>
          <w:sz w:val="20"/>
          <w:szCs w:val="20"/>
        </w:rPr>
        <w:t xml:space="preserve">the </w:t>
      </w:r>
      <w:r w:rsidR="002C197B" w:rsidRPr="009B79AE">
        <w:rPr>
          <w:rFonts w:ascii="Arial" w:hAnsi="Arial" w:cs="Arial"/>
          <w:sz w:val="20"/>
          <w:szCs w:val="20"/>
        </w:rPr>
        <w:t xml:space="preserve">rules of evidence </w:t>
      </w:r>
    </w:p>
    <w:p w14:paraId="20EDB56A" w14:textId="77777777" w:rsidR="002C197B" w:rsidRPr="009B79AE" w:rsidRDefault="00701766"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00235FD3">
        <w:rPr>
          <w:rFonts w:ascii="Arial" w:hAnsi="Arial" w:cs="Arial"/>
          <w:sz w:val="20"/>
          <w:szCs w:val="20"/>
        </w:rPr>
        <w:t xml:space="preserve"> comprehensive</w:t>
      </w:r>
      <w:r>
        <w:rPr>
          <w:rFonts w:ascii="Arial" w:hAnsi="Arial" w:cs="Arial"/>
          <w:sz w:val="20"/>
          <w:szCs w:val="20"/>
        </w:rPr>
        <w:t xml:space="preserve"> knowledge of</w:t>
      </w:r>
      <w:r w:rsidR="002C197B" w:rsidRPr="009B79AE">
        <w:rPr>
          <w:rFonts w:ascii="Arial" w:hAnsi="Arial" w:cs="Arial"/>
          <w:sz w:val="20"/>
          <w:szCs w:val="20"/>
        </w:rPr>
        <w:t xml:space="preserve"> implications for evidence</w:t>
      </w:r>
      <w:r w:rsidR="002A5B78">
        <w:rPr>
          <w:rFonts w:ascii="Arial" w:hAnsi="Arial" w:cs="Arial"/>
          <w:sz w:val="20"/>
          <w:szCs w:val="20"/>
        </w:rPr>
        <w:t>,</w:t>
      </w:r>
      <w:r w:rsidR="002C197B" w:rsidRPr="009B79AE">
        <w:rPr>
          <w:rFonts w:ascii="Arial" w:hAnsi="Arial" w:cs="Arial"/>
          <w:sz w:val="20"/>
          <w:szCs w:val="20"/>
        </w:rPr>
        <w:t xml:space="preserve"> and procedure</w:t>
      </w:r>
      <w:r w:rsidR="002A5B78">
        <w:rPr>
          <w:rFonts w:ascii="Arial" w:hAnsi="Arial" w:cs="Arial"/>
          <w:sz w:val="20"/>
          <w:szCs w:val="20"/>
        </w:rPr>
        <w:t xml:space="preserve">, in light of </w:t>
      </w:r>
      <w:r w:rsidR="002C197B" w:rsidRPr="009B79AE">
        <w:rPr>
          <w:rFonts w:ascii="Arial" w:hAnsi="Arial" w:cs="Arial"/>
          <w:sz w:val="20"/>
          <w:szCs w:val="20"/>
        </w:rPr>
        <w:t xml:space="preserve">the European Convention on Human Rights </w:t>
      </w:r>
    </w:p>
    <w:p w14:paraId="5A555855" w14:textId="77777777" w:rsidR="008A4BCA" w:rsidRPr="0009374F" w:rsidRDefault="00D93B53"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Demonstrate </w:t>
      </w:r>
      <w:r w:rsidR="00235FD3">
        <w:rPr>
          <w:rFonts w:ascii="Arial" w:hAnsi="Arial" w:cs="Arial"/>
          <w:sz w:val="20"/>
          <w:szCs w:val="20"/>
        </w:rPr>
        <w:t xml:space="preserve">detailed </w:t>
      </w:r>
      <w:r>
        <w:rPr>
          <w:rFonts w:ascii="Arial" w:hAnsi="Arial" w:cs="Arial"/>
          <w:sz w:val="20"/>
          <w:szCs w:val="20"/>
        </w:rPr>
        <w:t xml:space="preserve">knowledge of the </w:t>
      </w:r>
      <w:r w:rsidR="002C197B" w:rsidRPr="009B79AE">
        <w:rPr>
          <w:rFonts w:ascii="Arial" w:hAnsi="Arial" w:cs="Arial"/>
          <w:sz w:val="20"/>
          <w:szCs w:val="20"/>
        </w:rPr>
        <w:t xml:space="preserve">relationship between forensic science and the rules of evidence  </w:t>
      </w:r>
    </w:p>
    <w:p w14:paraId="172A9C65" w14:textId="77777777" w:rsidR="00373ACB" w:rsidRPr="00373ACB" w:rsidRDefault="00373ACB" w:rsidP="00BE3A59">
      <w:pPr>
        <w:pStyle w:val="ListParagraph"/>
        <w:spacing w:before="60" w:after="60" w:line="240" w:lineRule="auto"/>
        <w:ind w:left="851" w:right="260"/>
        <w:rPr>
          <w:rFonts w:ascii="Arial" w:hAnsi="Arial" w:cs="Arial"/>
          <w:sz w:val="20"/>
          <w:szCs w:val="20"/>
        </w:rPr>
      </w:pPr>
    </w:p>
    <w:p w14:paraId="58BE92E0" w14:textId="77777777" w:rsidR="00380EAE" w:rsidRDefault="009A2D37" w:rsidP="00BE3A59">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2158075" w14:textId="77777777" w:rsidR="00380EAE" w:rsidRPr="00380EAE" w:rsidRDefault="00380EAE" w:rsidP="00BE3A59">
      <w:pPr>
        <w:spacing w:before="60" w:after="60" w:line="240" w:lineRule="auto"/>
        <w:ind w:left="426" w:right="260"/>
        <w:rPr>
          <w:rFonts w:ascii="Arial" w:hAnsi="Arial" w:cs="Arial"/>
          <w:b/>
          <w:sz w:val="20"/>
          <w:szCs w:val="20"/>
        </w:rPr>
      </w:pPr>
    </w:p>
    <w:p w14:paraId="2DEDBD41" w14:textId="77777777" w:rsidR="002C197B" w:rsidRPr="009B79AE" w:rsidRDefault="00652CB1"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002C197B" w:rsidRPr="009B79AE">
        <w:rPr>
          <w:rFonts w:ascii="Arial" w:hAnsi="Arial" w:cs="Arial"/>
          <w:sz w:val="20"/>
          <w:szCs w:val="20"/>
        </w:rPr>
        <w:t xml:space="preserve">pply knowledge to complex situations </w:t>
      </w:r>
    </w:p>
    <w:p w14:paraId="14823BA9" w14:textId="77777777" w:rsidR="002C197B" w:rsidRPr="009B79AE" w:rsidRDefault="00652CB1"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R</w:t>
      </w:r>
      <w:r w:rsidR="002C197B" w:rsidRPr="009B79AE">
        <w:rPr>
          <w:rFonts w:ascii="Arial" w:hAnsi="Arial" w:cs="Arial"/>
          <w:sz w:val="20"/>
          <w:szCs w:val="20"/>
        </w:rPr>
        <w:t xml:space="preserve">ecognise potential alternative conclusions for particular situations, and provide supporting reasons for them </w:t>
      </w:r>
    </w:p>
    <w:p w14:paraId="63377C16" w14:textId="77777777" w:rsidR="00373ACB" w:rsidRPr="0009374F" w:rsidRDefault="00652CB1" w:rsidP="00BE3A59">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U</w:t>
      </w:r>
      <w:r w:rsidR="002C197B" w:rsidRPr="009B79AE">
        <w:rPr>
          <w:rFonts w:ascii="Arial" w:hAnsi="Arial" w:cs="Arial"/>
          <w:sz w:val="20"/>
          <w:szCs w:val="20"/>
        </w:rPr>
        <w:t xml:space="preserve">se the English language and legal terminology with care and accuracy </w:t>
      </w:r>
    </w:p>
    <w:p w14:paraId="62A052F3" w14:textId="77777777" w:rsidR="00373ACB" w:rsidRPr="00373ACB" w:rsidRDefault="00373ACB" w:rsidP="00BE3A59">
      <w:pPr>
        <w:pStyle w:val="Default"/>
        <w:spacing w:before="60" w:after="60"/>
        <w:ind w:right="260"/>
        <w:rPr>
          <w:color w:val="auto"/>
          <w:sz w:val="20"/>
          <w:szCs w:val="20"/>
        </w:rPr>
      </w:pPr>
    </w:p>
    <w:p w14:paraId="3B9B10E4"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6E3C1C9" w14:textId="77777777" w:rsidR="00373ACB" w:rsidRDefault="00D35E3E" w:rsidP="00BE3A59">
      <w:pPr>
        <w:spacing w:before="60" w:after="60" w:line="240" w:lineRule="auto"/>
        <w:ind w:left="426" w:right="260"/>
        <w:jc w:val="both"/>
        <w:rPr>
          <w:rFonts w:ascii="Arial" w:hAnsi="Arial" w:cs="Arial"/>
          <w:iCs/>
          <w:sz w:val="20"/>
          <w:szCs w:val="20"/>
        </w:rPr>
      </w:pPr>
      <w:r w:rsidRPr="00D35E3E">
        <w:rPr>
          <w:rFonts w:ascii="Arial" w:hAnsi="Arial" w:cs="Arial"/>
          <w:iCs/>
          <w:sz w:val="20"/>
          <w:szCs w:val="20"/>
        </w:rPr>
        <w:t>The role of evidence in a courtroom is technical but its rules reflect core principles of the due process of law. These are becoming more significant with the implementation of the Human Rights Act 1998 and it is important for forensic scientists, who may act as expert witnesses, to have an understanding of these rules and their operation in the trial process. This module considers the position of forensic evidence within the trial process, rules governing the recognition of such evidence and the perception of its value in the trial. In addition matters such as the function of the judge and jury, burden and standard of proof, and hearsay are considered from a central focus of how they relate to forensic evidence.</w:t>
      </w:r>
    </w:p>
    <w:p w14:paraId="2A8E1662" w14:textId="77777777" w:rsidR="00D35E3E" w:rsidRPr="00D35E3E" w:rsidRDefault="00D35E3E" w:rsidP="00BE3A59">
      <w:pPr>
        <w:spacing w:before="60" w:after="60" w:line="240" w:lineRule="auto"/>
        <w:ind w:left="426" w:right="260"/>
        <w:rPr>
          <w:rFonts w:ascii="Arial" w:hAnsi="Arial" w:cs="Arial"/>
          <w:iCs/>
          <w:sz w:val="20"/>
          <w:szCs w:val="20"/>
        </w:rPr>
      </w:pPr>
    </w:p>
    <w:p w14:paraId="27FD89B1" w14:textId="77777777" w:rsidR="009A2D37" w:rsidRPr="00373ACB" w:rsidRDefault="00DF2132" w:rsidP="00BE3A59">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lastRenderedPageBreak/>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710A91">
        <w:rPr>
          <w:rFonts w:ascii="Arial" w:hAnsi="Arial" w:cs="Arial"/>
          <w:b/>
          <w:sz w:val="20"/>
          <w:szCs w:val="20"/>
        </w:rPr>
        <w:br/>
      </w:r>
    </w:p>
    <w:p w14:paraId="449807D8" w14:textId="77777777" w:rsidR="002C197B" w:rsidRPr="002C197B" w:rsidRDefault="002C197B" w:rsidP="00BE3A59">
      <w:pPr>
        <w:pStyle w:val="ListParagraph"/>
        <w:numPr>
          <w:ilvl w:val="0"/>
          <w:numId w:val="17"/>
        </w:numPr>
        <w:spacing w:before="60" w:after="60" w:line="240" w:lineRule="auto"/>
        <w:ind w:right="260"/>
        <w:jc w:val="both"/>
        <w:rPr>
          <w:rFonts w:ascii="Arial" w:hAnsi="Arial" w:cs="Arial"/>
          <w:sz w:val="20"/>
          <w:szCs w:val="20"/>
        </w:rPr>
      </w:pPr>
      <w:r w:rsidRPr="002C197B">
        <w:rPr>
          <w:rFonts w:ascii="Arial" w:hAnsi="Arial" w:cs="Arial"/>
          <w:sz w:val="20"/>
          <w:szCs w:val="20"/>
        </w:rPr>
        <w:t>Huxley, Blackstone’s Statutes on Evidence (</w:t>
      </w:r>
      <w:r w:rsidR="00C1298D" w:rsidRPr="00C1298D">
        <w:rPr>
          <w:rFonts w:ascii="Arial" w:hAnsi="Arial" w:cs="Arial"/>
          <w:sz w:val="20"/>
          <w:szCs w:val="20"/>
        </w:rPr>
        <w:t>14th ed. Oxford: Oxford University Press, 2016</w:t>
      </w:r>
      <w:r w:rsidRPr="002C197B">
        <w:rPr>
          <w:rFonts w:ascii="Arial" w:hAnsi="Arial" w:cs="Arial"/>
          <w:sz w:val="20"/>
          <w:szCs w:val="20"/>
        </w:rPr>
        <w:t>)</w:t>
      </w:r>
    </w:p>
    <w:p w14:paraId="1771BA52" w14:textId="77777777" w:rsidR="002C197B" w:rsidRPr="002C197B" w:rsidRDefault="002C197B" w:rsidP="00BE3A59">
      <w:pPr>
        <w:pStyle w:val="ListParagraph"/>
        <w:numPr>
          <w:ilvl w:val="0"/>
          <w:numId w:val="17"/>
        </w:numPr>
        <w:spacing w:before="60" w:after="60" w:line="240" w:lineRule="auto"/>
        <w:ind w:right="260"/>
        <w:jc w:val="both"/>
        <w:rPr>
          <w:rFonts w:ascii="Arial" w:hAnsi="Arial" w:cs="Arial"/>
          <w:sz w:val="20"/>
          <w:szCs w:val="20"/>
        </w:rPr>
      </w:pPr>
      <w:r w:rsidRPr="002C197B">
        <w:rPr>
          <w:rFonts w:ascii="Arial" w:hAnsi="Arial" w:cs="Arial"/>
          <w:sz w:val="20"/>
          <w:szCs w:val="20"/>
        </w:rPr>
        <w:t>Keane and McKeown, The Modern Law of Evidence (</w:t>
      </w:r>
      <w:r w:rsidR="00C1298D" w:rsidRPr="00C1298D">
        <w:rPr>
          <w:rFonts w:ascii="Arial" w:hAnsi="Arial" w:cs="Arial"/>
          <w:sz w:val="20"/>
          <w:szCs w:val="20"/>
        </w:rPr>
        <w:t>11th ed. Oxford: Oxford University Press, 2016</w:t>
      </w:r>
      <w:r w:rsidRPr="002C197B">
        <w:rPr>
          <w:rFonts w:ascii="Arial" w:hAnsi="Arial" w:cs="Arial"/>
          <w:sz w:val="20"/>
          <w:szCs w:val="20"/>
        </w:rPr>
        <w:t>)</w:t>
      </w:r>
    </w:p>
    <w:p w14:paraId="01058EE5" w14:textId="77777777" w:rsidR="002C197B" w:rsidRPr="002C197B" w:rsidRDefault="00710A91" w:rsidP="00BE3A59">
      <w:pPr>
        <w:spacing w:before="60" w:after="60"/>
        <w:ind w:left="426" w:right="260"/>
        <w:jc w:val="both"/>
        <w:rPr>
          <w:rFonts w:ascii="Arial" w:hAnsi="Arial" w:cs="Arial"/>
          <w:color w:val="000000"/>
          <w:sz w:val="20"/>
          <w:szCs w:val="20"/>
        </w:rPr>
      </w:pPr>
      <w:r>
        <w:rPr>
          <w:rFonts w:ascii="Arial" w:hAnsi="Arial" w:cs="Arial"/>
          <w:color w:val="000000"/>
          <w:sz w:val="20"/>
          <w:szCs w:val="20"/>
        </w:rPr>
        <w:br/>
      </w:r>
      <w:r w:rsidR="002C197B" w:rsidRPr="002C197B">
        <w:rPr>
          <w:rFonts w:ascii="Arial" w:hAnsi="Arial" w:cs="Arial"/>
          <w:color w:val="000000"/>
          <w:sz w:val="20"/>
          <w:szCs w:val="20"/>
        </w:rPr>
        <w:t xml:space="preserve">Background: </w:t>
      </w:r>
    </w:p>
    <w:p w14:paraId="4D479605" w14:textId="77777777" w:rsidR="002C197B" w:rsidRPr="002C197B" w:rsidRDefault="002C197B" w:rsidP="00BE3A59">
      <w:pPr>
        <w:pStyle w:val="ListParagraph"/>
        <w:numPr>
          <w:ilvl w:val="0"/>
          <w:numId w:val="16"/>
        </w:numPr>
        <w:spacing w:before="60" w:after="60"/>
        <w:ind w:right="260"/>
        <w:jc w:val="both"/>
        <w:rPr>
          <w:rFonts w:ascii="Arial" w:hAnsi="Arial" w:cs="Arial"/>
          <w:bCs/>
          <w:sz w:val="20"/>
          <w:szCs w:val="20"/>
        </w:rPr>
      </w:pPr>
      <w:r w:rsidRPr="002C197B">
        <w:rPr>
          <w:rFonts w:ascii="Arial" w:hAnsi="Arial" w:cs="Arial"/>
          <w:sz w:val="20"/>
          <w:szCs w:val="20"/>
          <w:lang w:val="en"/>
        </w:rPr>
        <w:t xml:space="preserve">Allen, C. </w:t>
      </w:r>
      <w:r w:rsidRPr="002C197B">
        <w:rPr>
          <w:rFonts w:ascii="Arial" w:hAnsi="Arial" w:cs="Arial"/>
          <w:sz w:val="20"/>
          <w:szCs w:val="20"/>
          <w:u w:val="single"/>
          <w:lang w:val="en"/>
        </w:rPr>
        <w:t>Practical Guide to Evidence.</w:t>
      </w:r>
      <w:r w:rsidRPr="002C197B">
        <w:rPr>
          <w:rFonts w:ascii="Arial" w:hAnsi="Arial" w:cs="Arial"/>
          <w:sz w:val="20"/>
          <w:szCs w:val="20"/>
          <w:lang w:val="en"/>
        </w:rPr>
        <w:t xml:space="preserve"> (</w:t>
      </w:r>
      <w:r w:rsidR="00C1298D" w:rsidRPr="00C1298D">
        <w:rPr>
          <w:rFonts w:ascii="Arial" w:hAnsi="Arial" w:cs="Arial"/>
          <w:sz w:val="20"/>
          <w:szCs w:val="20"/>
          <w:lang w:val="en"/>
        </w:rPr>
        <w:t>5th ed. New York: Routledge-Cavendish, 2016</w:t>
      </w:r>
      <w:r w:rsidRPr="002C197B">
        <w:rPr>
          <w:rFonts w:ascii="Arial" w:hAnsi="Arial" w:cs="Arial"/>
          <w:bCs/>
          <w:sz w:val="20"/>
          <w:szCs w:val="20"/>
        </w:rPr>
        <w:t xml:space="preserve">) </w:t>
      </w:r>
    </w:p>
    <w:p w14:paraId="4E532BD0" w14:textId="77777777" w:rsidR="002C197B" w:rsidRPr="002C197B" w:rsidRDefault="002C197B" w:rsidP="00BE3A59">
      <w:pPr>
        <w:pStyle w:val="ListParagraph"/>
        <w:numPr>
          <w:ilvl w:val="0"/>
          <w:numId w:val="16"/>
        </w:numPr>
        <w:spacing w:before="60" w:after="60"/>
        <w:ind w:right="260"/>
        <w:jc w:val="both"/>
        <w:rPr>
          <w:rFonts w:ascii="Arial" w:hAnsi="Arial" w:cs="Arial"/>
          <w:bCs/>
          <w:sz w:val="20"/>
          <w:szCs w:val="20"/>
        </w:rPr>
      </w:pPr>
      <w:proofErr w:type="spellStart"/>
      <w:r w:rsidRPr="002C197B">
        <w:rPr>
          <w:rFonts w:ascii="Arial" w:hAnsi="Arial" w:cs="Arial"/>
          <w:sz w:val="20"/>
          <w:szCs w:val="20"/>
          <w:lang w:val="en"/>
        </w:rPr>
        <w:t>Emson</w:t>
      </w:r>
      <w:proofErr w:type="spellEnd"/>
      <w:r w:rsidRPr="002C197B">
        <w:rPr>
          <w:rFonts w:ascii="Arial" w:hAnsi="Arial" w:cs="Arial"/>
          <w:sz w:val="20"/>
          <w:szCs w:val="20"/>
          <w:lang w:val="en"/>
        </w:rPr>
        <w:t xml:space="preserve">, R. </w:t>
      </w:r>
      <w:r w:rsidRPr="002C197B">
        <w:rPr>
          <w:rFonts w:ascii="Arial" w:hAnsi="Arial" w:cs="Arial"/>
          <w:sz w:val="20"/>
          <w:szCs w:val="20"/>
          <w:u w:val="single"/>
          <w:lang w:val="en"/>
        </w:rPr>
        <w:t>Evidence</w:t>
      </w:r>
      <w:r w:rsidRPr="002C197B">
        <w:rPr>
          <w:rFonts w:ascii="Arial" w:hAnsi="Arial" w:cs="Arial"/>
          <w:sz w:val="20"/>
          <w:szCs w:val="20"/>
          <w:lang w:val="en"/>
        </w:rPr>
        <w:t xml:space="preserve"> (5th ed. Basingstoke: Palgrave Macmillan, 2010)</w:t>
      </w:r>
    </w:p>
    <w:p w14:paraId="67C4A260" w14:textId="77777777" w:rsidR="002C197B" w:rsidRPr="002C197B" w:rsidRDefault="002C197B" w:rsidP="00BE3A59">
      <w:pPr>
        <w:pStyle w:val="ListParagraph"/>
        <w:numPr>
          <w:ilvl w:val="0"/>
          <w:numId w:val="16"/>
        </w:numPr>
        <w:spacing w:before="60" w:after="60"/>
        <w:ind w:right="260"/>
        <w:jc w:val="both"/>
        <w:rPr>
          <w:rFonts w:ascii="Arial" w:hAnsi="Arial" w:cs="Arial"/>
          <w:sz w:val="20"/>
          <w:szCs w:val="20"/>
        </w:rPr>
      </w:pPr>
      <w:r w:rsidRPr="002C197B">
        <w:rPr>
          <w:rFonts w:ascii="Arial" w:hAnsi="Arial" w:cs="Arial"/>
          <w:sz w:val="20"/>
          <w:szCs w:val="20"/>
          <w:lang w:val="en"/>
        </w:rPr>
        <w:t xml:space="preserve">Munday, R. </w:t>
      </w:r>
      <w:r w:rsidRPr="002C197B">
        <w:rPr>
          <w:rFonts w:ascii="Arial" w:hAnsi="Arial" w:cs="Arial"/>
          <w:sz w:val="20"/>
          <w:szCs w:val="20"/>
          <w:u w:val="single"/>
          <w:lang w:val="en"/>
        </w:rPr>
        <w:t>Evidence.</w:t>
      </w:r>
      <w:r w:rsidRPr="002C197B">
        <w:rPr>
          <w:rFonts w:ascii="Arial" w:hAnsi="Arial" w:cs="Arial"/>
          <w:sz w:val="20"/>
          <w:szCs w:val="20"/>
          <w:lang w:val="en"/>
        </w:rPr>
        <w:t xml:space="preserve"> (</w:t>
      </w:r>
      <w:r w:rsidR="00C1298D" w:rsidRPr="00C1298D">
        <w:rPr>
          <w:rFonts w:ascii="Arial" w:hAnsi="Arial" w:cs="Arial"/>
          <w:sz w:val="20"/>
          <w:szCs w:val="20"/>
          <w:lang w:val="en"/>
        </w:rPr>
        <w:t>9th ed. Oxford: Oxford University Press, 2017</w:t>
      </w:r>
      <w:r w:rsidRPr="002C197B">
        <w:rPr>
          <w:rFonts w:ascii="Arial" w:hAnsi="Arial" w:cs="Arial"/>
          <w:sz w:val="20"/>
          <w:szCs w:val="20"/>
          <w:lang w:val="en"/>
        </w:rPr>
        <w:t>)</w:t>
      </w:r>
      <w:r w:rsidRPr="002C197B">
        <w:rPr>
          <w:rFonts w:ascii="Arial" w:hAnsi="Arial" w:cs="Arial"/>
          <w:sz w:val="20"/>
          <w:szCs w:val="20"/>
        </w:rPr>
        <w:t xml:space="preserve">  </w:t>
      </w:r>
    </w:p>
    <w:p w14:paraId="7D963894" w14:textId="77777777" w:rsidR="002C197B" w:rsidRPr="002C197B" w:rsidRDefault="002C197B" w:rsidP="00BE3A59">
      <w:pPr>
        <w:spacing w:before="60" w:after="60" w:line="240" w:lineRule="auto"/>
        <w:ind w:left="426" w:right="260"/>
        <w:rPr>
          <w:rFonts w:ascii="Arial" w:hAnsi="Arial" w:cs="Arial"/>
          <w:sz w:val="20"/>
          <w:szCs w:val="20"/>
        </w:rPr>
      </w:pPr>
    </w:p>
    <w:p w14:paraId="070581B3" w14:textId="77777777" w:rsidR="00DE4F08" w:rsidRDefault="009A2D37" w:rsidP="00BE3A59">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94D7449" w14:textId="77777777" w:rsidR="00D35E3E" w:rsidRDefault="00D35E3E" w:rsidP="00BE3A59">
      <w:pPr>
        <w:spacing w:before="60" w:after="60" w:line="240" w:lineRule="auto"/>
        <w:ind w:left="426" w:right="260"/>
        <w:rPr>
          <w:rFonts w:ascii="Arial" w:hAnsi="Arial" w:cs="Arial"/>
          <w:iCs/>
          <w:sz w:val="20"/>
          <w:szCs w:val="20"/>
        </w:rPr>
      </w:pPr>
      <w:r>
        <w:rPr>
          <w:rFonts w:ascii="Arial" w:hAnsi="Arial" w:cs="Arial"/>
          <w:iCs/>
          <w:sz w:val="20"/>
          <w:szCs w:val="20"/>
        </w:rPr>
        <w:t>Total Study Hours: 150</w:t>
      </w:r>
    </w:p>
    <w:p w14:paraId="2B730091" w14:textId="77777777" w:rsidR="00D35E3E" w:rsidRDefault="00D35E3E" w:rsidP="00BE3A59">
      <w:pPr>
        <w:spacing w:before="60" w:after="60" w:line="240" w:lineRule="auto"/>
        <w:ind w:left="426" w:right="260"/>
        <w:rPr>
          <w:rFonts w:ascii="Arial" w:hAnsi="Arial" w:cs="Arial"/>
          <w:iCs/>
          <w:sz w:val="20"/>
          <w:szCs w:val="20"/>
        </w:rPr>
      </w:pPr>
      <w:r>
        <w:rPr>
          <w:rFonts w:ascii="Arial" w:hAnsi="Arial" w:cs="Arial"/>
          <w:iCs/>
          <w:sz w:val="20"/>
          <w:szCs w:val="20"/>
        </w:rPr>
        <w:t>Total Contact Hours: 30</w:t>
      </w:r>
    </w:p>
    <w:p w14:paraId="75E991D0" w14:textId="77777777" w:rsidR="00D35E3E" w:rsidRDefault="00D35E3E" w:rsidP="00BE3A59">
      <w:pPr>
        <w:spacing w:before="60" w:after="60" w:line="240" w:lineRule="auto"/>
        <w:ind w:left="426" w:right="260"/>
        <w:rPr>
          <w:rFonts w:ascii="Arial" w:hAnsi="Arial" w:cs="Arial"/>
          <w:iCs/>
          <w:sz w:val="20"/>
          <w:szCs w:val="20"/>
        </w:rPr>
      </w:pPr>
      <w:r>
        <w:rPr>
          <w:rFonts w:ascii="Arial" w:hAnsi="Arial" w:cs="Arial"/>
          <w:iCs/>
          <w:sz w:val="20"/>
          <w:szCs w:val="20"/>
        </w:rPr>
        <w:t>Private Study Hours: 120</w:t>
      </w:r>
    </w:p>
    <w:p w14:paraId="1C8BE248" w14:textId="77777777" w:rsidR="00D35E3E" w:rsidRDefault="00D35E3E" w:rsidP="00BE3A59">
      <w:pPr>
        <w:spacing w:before="60" w:after="60" w:line="240" w:lineRule="auto"/>
        <w:ind w:left="426" w:right="260"/>
        <w:rPr>
          <w:rFonts w:ascii="Arial" w:hAnsi="Arial" w:cs="Arial"/>
          <w:iCs/>
          <w:sz w:val="20"/>
          <w:szCs w:val="20"/>
        </w:rPr>
      </w:pPr>
    </w:p>
    <w:p w14:paraId="3D74B89A" w14:textId="77777777" w:rsidR="00373ACB" w:rsidRPr="009B79AE" w:rsidRDefault="009B79AE" w:rsidP="00BE3A59">
      <w:pPr>
        <w:numPr>
          <w:ilvl w:val="0"/>
          <w:numId w:val="1"/>
        </w:numPr>
        <w:spacing w:before="60" w:after="6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41DABA9F" w14:textId="77777777" w:rsidR="00652CB1" w:rsidRPr="00652CB1" w:rsidRDefault="00652CB1" w:rsidP="00BE3A59">
      <w:pPr>
        <w:spacing w:before="60" w:after="60" w:line="240" w:lineRule="auto"/>
        <w:ind w:right="260" w:firstLine="426"/>
        <w:rPr>
          <w:rFonts w:ascii="Arial" w:hAnsi="Arial" w:cs="Arial"/>
          <w:iCs/>
          <w:sz w:val="20"/>
          <w:szCs w:val="20"/>
          <w:u w:val="single"/>
        </w:rPr>
      </w:pPr>
      <w:r w:rsidRPr="00652CB1">
        <w:rPr>
          <w:rFonts w:ascii="Arial" w:hAnsi="Arial" w:cs="Arial"/>
          <w:iCs/>
          <w:sz w:val="20"/>
          <w:szCs w:val="20"/>
          <w:u w:val="single"/>
        </w:rPr>
        <w:t>13.1 Main assessment methods</w:t>
      </w:r>
    </w:p>
    <w:p w14:paraId="7F3634F5" w14:textId="77777777" w:rsidR="00652CB1" w:rsidRDefault="00652CB1" w:rsidP="00BE3A59">
      <w:pPr>
        <w:spacing w:before="60" w:after="60" w:line="240" w:lineRule="auto"/>
        <w:ind w:left="426" w:right="260"/>
        <w:rPr>
          <w:rFonts w:ascii="Arial" w:hAnsi="Arial" w:cs="Arial"/>
          <w:iCs/>
          <w:sz w:val="20"/>
          <w:szCs w:val="20"/>
        </w:rPr>
      </w:pPr>
    </w:p>
    <w:p w14:paraId="5D9A9AFB" w14:textId="77777777" w:rsidR="0066061A" w:rsidRPr="009B79AE" w:rsidRDefault="0066061A" w:rsidP="00BE3A59">
      <w:pPr>
        <w:spacing w:before="60" w:after="60" w:line="240" w:lineRule="auto"/>
        <w:ind w:left="426" w:right="260"/>
        <w:rPr>
          <w:rFonts w:ascii="Arial" w:hAnsi="Arial" w:cs="Arial"/>
          <w:iCs/>
          <w:sz w:val="20"/>
          <w:szCs w:val="20"/>
        </w:rPr>
      </w:pPr>
      <w:r w:rsidRPr="009B79AE">
        <w:rPr>
          <w:rFonts w:ascii="Arial" w:hAnsi="Arial" w:cs="Arial"/>
          <w:iCs/>
          <w:sz w:val="20"/>
          <w:szCs w:val="20"/>
        </w:rPr>
        <w:t xml:space="preserve">The module will be assessed by </w:t>
      </w:r>
      <w:r w:rsidR="009B79AE" w:rsidRPr="009B79AE">
        <w:rPr>
          <w:rFonts w:ascii="Arial" w:hAnsi="Arial" w:cs="Arial"/>
          <w:iCs/>
          <w:sz w:val="20"/>
          <w:szCs w:val="20"/>
        </w:rPr>
        <w:t xml:space="preserve">20% </w:t>
      </w:r>
      <w:r w:rsidR="00710A91">
        <w:rPr>
          <w:rFonts w:ascii="Arial" w:hAnsi="Arial" w:cs="Arial"/>
          <w:iCs/>
          <w:sz w:val="20"/>
          <w:szCs w:val="20"/>
        </w:rPr>
        <w:t>c</w:t>
      </w:r>
      <w:r w:rsidR="00453808">
        <w:rPr>
          <w:rFonts w:ascii="Arial" w:hAnsi="Arial" w:cs="Arial"/>
          <w:iCs/>
          <w:sz w:val="20"/>
          <w:szCs w:val="20"/>
        </w:rPr>
        <w:t>oursework</w:t>
      </w:r>
      <w:r w:rsidR="00710A91">
        <w:rPr>
          <w:rFonts w:ascii="Arial" w:hAnsi="Arial" w:cs="Arial"/>
          <w:iCs/>
          <w:sz w:val="20"/>
          <w:szCs w:val="20"/>
        </w:rPr>
        <w:t xml:space="preserve"> and 80% e</w:t>
      </w:r>
      <w:r w:rsidR="009B79AE" w:rsidRPr="009B79AE">
        <w:rPr>
          <w:rFonts w:ascii="Arial" w:hAnsi="Arial" w:cs="Arial"/>
          <w:iCs/>
          <w:sz w:val="20"/>
          <w:szCs w:val="20"/>
        </w:rPr>
        <w:t xml:space="preserve">xam </w:t>
      </w:r>
      <w:r w:rsidR="00865CBA" w:rsidRPr="009B79AE">
        <w:rPr>
          <w:rFonts w:ascii="Arial" w:hAnsi="Arial" w:cs="Arial"/>
          <w:iCs/>
          <w:sz w:val="20"/>
          <w:szCs w:val="20"/>
        </w:rPr>
        <w:t>as follows</w:t>
      </w:r>
      <w:r w:rsidRPr="009B79AE">
        <w:rPr>
          <w:rFonts w:ascii="Arial" w:hAnsi="Arial" w:cs="Arial"/>
          <w:iCs/>
          <w:sz w:val="20"/>
          <w:szCs w:val="20"/>
        </w:rPr>
        <w:t>:</w:t>
      </w:r>
    </w:p>
    <w:p w14:paraId="0F387251" w14:textId="77777777" w:rsidR="009B79AE" w:rsidRPr="00BE3A59" w:rsidRDefault="009B79AE" w:rsidP="00BE3A59">
      <w:pPr>
        <w:spacing w:before="60" w:after="60" w:line="240" w:lineRule="auto"/>
        <w:ind w:left="426" w:right="260"/>
        <w:rPr>
          <w:rFonts w:ascii="Arial" w:hAnsi="Arial" w:cs="Arial"/>
          <w:iCs/>
          <w:sz w:val="20"/>
          <w:szCs w:val="20"/>
        </w:rPr>
      </w:pPr>
      <w:r w:rsidRPr="00BE3A59">
        <w:rPr>
          <w:rFonts w:ascii="Arial" w:hAnsi="Arial" w:cs="Arial"/>
          <w:iCs/>
          <w:sz w:val="20"/>
          <w:szCs w:val="20"/>
        </w:rPr>
        <w:t>Multiple choice test</w:t>
      </w:r>
      <w:r w:rsidR="00235FD3" w:rsidRPr="00BE3A59">
        <w:rPr>
          <w:rFonts w:ascii="Arial" w:hAnsi="Arial" w:cs="Arial"/>
          <w:iCs/>
          <w:sz w:val="20"/>
          <w:szCs w:val="20"/>
        </w:rPr>
        <w:t>, online (</w:t>
      </w:r>
      <w:r w:rsidRPr="00BE3A59">
        <w:rPr>
          <w:rFonts w:ascii="Arial" w:hAnsi="Arial" w:cs="Arial"/>
          <w:iCs/>
          <w:sz w:val="20"/>
          <w:szCs w:val="20"/>
        </w:rPr>
        <w:t>20%</w:t>
      </w:r>
      <w:r w:rsidR="00235FD3" w:rsidRPr="00BE3A59">
        <w:rPr>
          <w:rFonts w:ascii="Arial" w:hAnsi="Arial" w:cs="Arial"/>
          <w:iCs/>
          <w:sz w:val="20"/>
          <w:szCs w:val="20"/>
        </w:rPr>
        <w:t>)</w:t>
      </w:r>
      <w:r w:rsidRPr="00BE3A59">
        <w:rPr>
          <w:rFonts w:ascii="Arial" w:hAnsi="Arial" w:cs="Arial"/>
          <w:iCs/>
          <w:sz w:val="20"/>
          <w:szCs w:val="20"/>
        </w:rPr>
        <w:t xml:space="preserve"> </w:t>
      </w:r>
    </w:p>
    <w:p w14:paraId="03864CD2" w14:textId="77777777" w:rsidR="009B79AE" w:rsidRPr="00BE3A59" w:rsidRDefault="009B79AE" w:rsidP="00BE3A59">
      <w:pPr>
        <w:spacing w:before="60" w:after="60" w:line="240" w:lineRule="auto"/>
        <w:ind w:left="426" w:right="260"/>
        <w:rPr>
          <w:rFonts w:ascii="Arial" w:hAnsi="Arial" w:cs="Arial"/>
          <w:iCs/>
          <w:sz w:val="20"/>
          <w:szCs w:val="20"/>
        </w:rPr>
      </w:pPr>
      <w:r w:rsidRPr="00BE3A59">
        <w:rPr>
          <w:rFonts w:ascii="Arial" w:hAnsi="Arial" w:cs="Arial"/>
          <w:iCs/>
          <w:sz w:val="20"/>
          <w:szCs w:val="20"/>
        </w:rPr>
        <w:t>Written examination</w:t>
      </w:r>
      <w:r w:rsidR="00235FD3" w:rsidRPr="00BE3A59">
        <w:rPr>
          <w:rFonts w:ascii="Arial" w:hAnsi="Arial" w:cs="Arial"/>
          <w:iCs/>
          <w:sz w:val="20"/>
          <w:szCs w:val="20"/>
        </w:rPr>
        <w:t>, 2 hours</w:t>
      </w:r>
      <w:r w:rsidRPr="00BE3A59">
        <w:rPr>
          <w:rFonts w:ascii="Arial" w:hAnsi="Arial" w:cs="Arial"/>
          <w:iCs/>
          <w:sz w:val="20"/>
          <w:szCs w:val="20"/>
        </w:rPr>
        <w:t xml:space="preserve"> </w:t>
      </w:r>
      <w:r w:rsidR="00235FD3" w:rsidRPr="00BE3A59">
        <w:rPr>
          <w:rFonts w:ascii="Arial" w:hAnsi="Arial" w:cs="Arial"/>
          <w:iCs/>
          <w:sz w:val="20"/>
          <w:szCs w:val="20"/>
        </w:rPr>
        <w:t>(</w:t>
      </w:r>
      <w:r w:rsidRPr="00BE3A59">
        <w:rPr>
          <w:rFonts w:ascii="Arial" w:hAnsi="Arial" w:cs="Arial"/>
          <w:iCs/>
          <w:sz w:val="20"/>
          <w:szCs w:val="20"/>
        </w:rPr>
        <w:t>80%</w:t>
      </w:r>
      <w:r w:rsidR="00235FD3" w:rsidRPr="00BE3A59">
        <w:rPr>
          <w:rFonts w:ascii="Arial" w:hAnsi="Arial" w:cs="Arial"/>
          <w:iCs/>
          <w:sz w:val="20"/>
          <w:szCs w:val="20"/>
        </w:rPr>
        <w:t>)</w:t>
      </w:r>
      <w:r w:rsidRPr="00BE3A59">
        <w:rPr>
          <w:rFonts w:ascii="Arial" w:hAnsi="Arial" w:cs="Arial"/>
          <w:iCs/>
          <w:sz w:val="20"/>
          <w:szCs w:val="20"/>
        </w:rPr>
        <w:t xml:space="preserve"> </w:t>
      </w:r>
    </w:p>
    <w:p w14:paraId="523DBB07" w14:textId="77777777" w:rsidR="009816D9" w:rsidRDefault="009816D9" w:rsidP="00BE3A59">
      <w:pPr>
        <w:spacing w:before="60" w:after="60" w:line="240" w:lineRule="auto"/>
        <w:ind w:left="426" w:right="260"/>
        <w:rPr>
          <w:rFonts w:ascii="Arial" w:hAnsi="Arial" w:cs="Arial"/>
          <w:iCs/>
          <w:sz w:val="20"/>
          <w:szCs w:val="20"/>
        </w:rPr>
      </w:pPr>
    </w:p>
    <w:p w14:paraId="253CD1DD" w14:textId="77777777" w:rsidR="00652CB1" w:rsidRDefault="009816D9" w:rsidP="00BE3A59">
      <w:pPr>
        <w:spacing w:before="60" w:after="60" w:line="240" w:lineRule="auto"/>
        <w:ind w:left="426" w:right="260"/>
        <w:rPr>
          <w:rFonts w:ascii="Arial" w:hAnsi="Arial" w:cs="Arial"/>
          <w:iCs/>
          <w:sz w:val="20"/>
          <w:szCs w:val="20"/>
          <w:u w:val="single"/>
        </w:rPr>
      </w:pPr>
      <w:r>
        <w:rPr>
          <w:rFonts w:ascii="Arial" w:hAnsi="Arial" w:cs="Arial"/>
          <w:iCs/>
          <w:sz w:val="20"/>
          <w:szCs w:val="20"/>
        </w:rPr>
        <w:t>* Students must achieve a mark of 40% in the exam in order to pass this module.</w:t>
      </w:r>
    </w:p>
    <w:p w14:paraId="294BC85A" w14:textId="77777777" w:rsidR="009816D9" w:rsidRDefault="009816D9" w:rsidP="00BE3A59">
      <w:pPr>
        <w:spacing w:before="60" w:after="60" w:line="240" w:lineRule="auto"/>
        <w:ind w:left="426" w:right="260"/>
        <w:rPr>
          <w:rFonts w:ascii="Arial" w:hAnsi="Arial" w:cs="Arial"/>
          <w:iCs/>
          <w:sz w:val="20"/>
          <w:szCs w:val="20"/>
          <w:u w:val="single"/>
        </w:rPr>
      </w:pPr>
    </w:p>
    <w:p w14:paraId="5B51FFF5" w14:textId="77777777" w:rsidR="00652CB1" w:rsidRDefault="00652CB1" w:rsidP="00BE3A59">
      <w:pPr>
        <w:spacing w:before="60" w:after="6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73D53CFB" w14:textId="77777777" w:rsidR="00652CB1" w:rsidRDefault="00652CB1" w:rsidP="00BE3A59">
      <w:pPr>
        <w:spacing w:before="60" w:after="60" w:line="240" w:lineRule="auto"/>
        <w:ind w:left="426" w:right="260"/>
        <w:rPr>
          <w:rFonts w:ascii="Arial" w:hAnsi="Arial" w:cs="Arial"/>
          <w:iCs/>
          <w:sz w:val="20"/>
          <w:szCs w:val="20"/>
          <w:u w:val="single"/>
        </w:rPr>
      </w:pPr>
    </w:p>
    <w:p w14:paraId="5691675D" w14:textId="77777777" w:rsidR="00652CB1" w:rsidRPr="006F3F43" w:rsidRDefault="00710A91" w:rsidP="00BE3A59">
      <w:pPr>
        <w:spacing w:before="60" w:after="60" w:line="240" w:lineRule="auto"/>
        <w:ind w:left="426" w:right="260"/>
        <w:rPr>
          <w:rFonts w:ascii="Arial" w:hAnsi="Arial" w:cs="Arial"/>
          <w:iCs/>
          <w:sz w:val="20"/>
          <w:szCs w:val="20"/>
        </w:rPr>
      </w:pPr>
      <w:r>
        <w:rPr>
          <w:rFonts w:ascii="Arial" w:hAnsi="Arial" w:cs="Arial"/>
          <w:iCs/>
          <w:sz w:val="20"/>
          <w:szCs w:val="20"/>
        </w:rPr>
        <w:t>R</w:t>
      </w:r>
      <w:r w:rsidR="00235FD3">
        <w:rPr>
          <w:rFonts w:ascii="Arial" w:hAnsi="Arial" w:cs="Arial"/>
          <w:iCs/>
          <w:sz w:val="20"/>
          <w:szCs w:val="20"/>
        </w:rPr>
        <w:t>eassessment instrument</w:t>
      </w:r>
      <w:r>
        <w:rPr>
          <w:rFonts w:ascii="Arial" w:hAnsi="Arial" w:cs="Arial"/>
          <w:iCs/>
          <w:sz w:val="20"/>
          <w:szCs w:val="20"/>
        </w:rPr>
        <w:t xml:space="preserve">: (100% </w:t>
      </w:r>
      <w:r w:rsidR="00235FD3">
        <w:rPr>
          <w:rFonts w:ascii="Arial" w:hAnsi="Arial" w:cs="Arial"/>
          <w:iCs/>
          <w:sz w:val="20"/>
          <w:szCs w:val="20"/>
        </w:rPr>
        <w:t>exam</w:t>
      </w:r>
      <w:r>
        <w:rPr>
          <w:rFonts w:ascii="Arial" w:hAnsi="Arial" w:cs="Arial"/>
          <w:iCs/>
          <w:sz w:val="20"/>
          <w:szCs w:val="20"/>
        </w:rPr>
        <w:t>)</w:t>
      </w:r>
      <w:r w:rsidR="00235FD3">
        <w:rPr>
          <w:rFonts w:ascii="Arial" w:hAnsi="Arial" w:cs="Arial"/>
          <w:iCs/>
          <w:sz w:val="20"/>
          <w:szCs w:val="20"/>
        </w:rPr>
        <w:t xml:space="preserve"> </w:t>
      </w:r>
    </w:p>
    <w:p w14:paraId="23373021" w14:textId="77777777" w:rsidR="00ED3657" w:rsidRDefault="00ED3657" w:rsidP="00BE3A59">
      <w:pPr>
        <w:spacing w:before="60" w:after="60" w:line="240" w:lineRule="auto"/>
        <w:ind w:left="426" w:right="260"/>
        <w:rPr>
          <w:rFonts w:ascii="Arial" w:hAnsi="Arial" w:cs="Arial"/>
          <w:iCs/>
          <w:sz w:val="20"/>
          <w:szCs w:val="20"/>
        </w:rPr>
      </w:pPr>
    </w:p>
    <w:p w14:paraId="173E378F" w14:textId="77777777" w:rsidR="00ED3657" w:rsidRDefault="00ED3657" w:rsidP="00BE3A59">
      <w:pPr>
        <w:spacing w:before="60" w:after="60" w:line="240" w:lineRule="auto"/>
        <w:ind w:left="426" w:right="260"/>
        <w:rPr>
          <w:rFonts w:ascii="Arial" w:hAnsi="Arial" w:cs="Arial"/>
          <w:iCs/>
          <w:sz w:val="20"/>
          <w:szCs w:val="20"/>
        </w:rPr>
      </w:pPr>
      <w:r>
        <w:rPr>
          <w:rFonts w:ascii="Arial" w:hAnsi="Arial" w:cs="Arial"/>
          <w:iCs/>
          <w:sz w:val="20"/>
          <w:szCs w:val="20"/>
        </w:rPr>
        <w:t>Students must achieve a mark of 40% in the exam in order to pass this module on reassessment.</w:t>
      </w:r>
    </w:p>
    <w:p w14:paraId="48E62D0F" w14:textId="77777777" w:rsidR="0066061A" w:rsidRPr="009B79AE" w:rsidRDefault="0066061A" w:rsidP="00BE3A59">
      <w:pPr>
        <w:spacing w:before="60" w:after="60" w:line="240" w:lineRule="auto"/>
        <w:ind w:right="260"/>
        <w:rPr>
          <w:rFonts w:ascii="Arial" w:hAnsi="Arial" w:cs="Arial"/>
          <w:iCs/>
          <w:sz w:val="20"/>
          <w:szCs w:val="20"/>
        </w:rPr>
      </w:pPr>
    </w:p>
    <w:p w14:paraId="415B768F" w14:textId="77777777" w:rsidR="00274ED7" w:rsidRPr="00373ACB" w:rsidRDefault="00DF2132" w:rsidP="00BE3A59">
      <w:pPr>
        <w:numPr>
          <w:ilvl w:val="0"/>
          <w:numId w:val="1"/>
        </w:numPr>
        <w:spacing w:before="60" w:after="6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CE02B2E" w14:textId="77777777" w:rsidR="00727780" w:rsidRPr="00373ACB" w:rsidRDefault="00727780" w:rsidP="00BE3A59">
      <w:pPr>
        <w:spacing w:before="60" w:after="60" w:line="240" w:lineRule="auto"/>
        <w:ind w:right="260"/>
        <w:rPr>
          <w:rFonts w:ascii="Arial" w:hAnsi="Arial" w:cs="Arial"/>
          <w:b/>
          <w:i/>
          <w:iCs/>
          <w:sz w:val="20"/>
          <w:szCs w:val="20"/>
        </w:rPr>
      </w:pPr>
    </w:p>
    <w:tbl>
      <w:tblPr>
        <w:tblStyle w:val="TableGrid"/>
        <w:tblW w:w="3259" w:type="pct"/>
        <w:jc w:val="center"/>
        <w:tblLook w:val="04A0" w:firstRow="1" w:lastRow="0" w:firstColumn="1" w:lastColumn="0" w:noHBand="0" w:noVBand="1"/>
      </w:tblPr>
      <w:tblGrid>
        <w:gridCol w:w="1812"/>
        <w:gridCol w:w="628"/>
        <w:gridCol w:w="627"/>
        <w:gridCol w:w="628"/>
        <w:gridCol w:w="628"/>
        <w:gridCol w:w="628"/>
        <w:gridCol w:w="628"/>
        <w:gridCol w:w="628"/>
        <w:gridCol w:w="608"/>
      </w:tblGrid>
      <w:tr w:rsidR="00710A91" w:rsidRPr="00373ACB" w14:paraId="28F2788B" w14:textId="77777777" w:rsidTr="00710A91">
        <w:trPr>
          <w:trHeight w:val="397"/>
          <w:jc w:val="center"/>
        </w:trPr>
        <w:tc>
          <w:tcPr>
            <w:tcW w:w="1329" w:type="pct"/>
            <w:shd w:val="clear" w:color="auto" w:fill="D9D9D9" w:themeFill="background1" w:themeFillShade="D9"/>
            <w:vAlign w:val="center"/>
          </w:tcPr>
          <w:p w14:paraId="6EE57EBE" w14:textId="77777777" w:rsidR="00710A91" w:rsidRPr="00373ACB" w:rsidRDefault="00710A91" w:rsidP="00BE3A59">
            <w:pPr>
              <w:spacing w:before="60" w:after="60"/>
              <w:rPr>
                <w:rFonts w:ascii="Arial" w:hAnsi="Arial" w:cs="Arial"/>
                <w:i/>
                <w:sz w:val="20"/>
                <w:szCs w:val="20"/>
              </w:rPr>
            </w:pPr>
            <w:r w:rsidRPr="00373ACB">
              <w:rPr>
                <w:rFonts w:ascii="Arial" w:hAnsi="Arial" w:cs="Arial"/>
                <w:b/>
                <w:sz w:val="20"/>
                <w:szCs w:val="20"/>
              </w:rPr>
              <w:t>Module learning outcome</w:t>
            </w:r>
          </w:p>
        </w:tc>
        <w:tc>
          <w:tcPr>
            <w:tcW w:w="460" w:type="pct"/>
            <w:vAlign w:val="center"/>
          </w:tcPr>
          <w:p w14:paraId="753C22C0"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8.1</w:t>
            </w:r>
          </w:p>
        </w:tc>
        <w:tc>
          <w:tcPr>
            <w:tcW w:w="460" w:type="pct"/>
            <w:vAlign w:val="center"/>
          </w:tcPr>
          <w:p w14:paraId="1F0E16F7"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8.2</w:t>
            </w:r>
          </w:p>
        </w:tc>
        <w:tc>
          <w:tcPr>
            <w:tcW w:w="461" w:type="pct"/>
            <w:vAlign w:val="center"/>
          </w:tcPr>
          <w:p w14:paraId="7A93B4E7"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8.3</w:t>
            </w:r>
          </w:p>
        </w:tc>
        <w:tc>
          <w:tcPr>
            <w:tcW w:w="461" w:type="pct"/>
            <w:vAlign w:val="center"/>
          </w:tcPr>
          <w:p w14:paraId="0F900472"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8.4</w:t>
            </w:r>
          </w:p>
        </w:tc>
        <w:tc>
          <w:tcPr>
            <w:tcW w:w="461" w:type="pct"/>
            <w:vAlign w:val="center"/>
          </w:tcPr>
          <w:p w14:paraId="23074D14"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8.5</w:t>
            </w:r>
          </w:p>
        </w:tc>
        <w:tc>
          <w:tcPr>
            <w:tcW w:w="461" w:type="pct"/>
            <w:vAlign w:val="center"/>
          </w:tcPr>
          <w:p w14:paraId="6A24AC90"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9.1</w:t>
            </w:r>
          </w:p>
        </w:tc>
        <w:tc>
          <w:tcPr>
            <w:tcW w:w="461" w:type="pct"/>
            <w:vAlign w:val="center"/>
          </w:tcPr>
          <w:p w14:paraId="1BFD0846"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9.2</w:t>
            </w:r>
          </w:p>
        </w:tc>
        <w:tc>
          <w:tcPr>
            <w:tcW w:w="447" w:type="pct"/>
            <w:vAlign w:val="center"/>
          </w:tcPr>
          <w:p w14:paraId="553337DA"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9.3</w:t>
            </w:r>
          </w:p>
        </w:tc>
      </w:tr>
      <w:tr w:rsidR="00710A91" w:rsidRPr="00373ACB" w14:paraId="46FB41D6" w14:textId="77777777" w:rsidTr="00710A91">
        <w:trPr>
          <w:trHeight w:val="397"/>
          <w:jc w:val="center"/>
        </w:trPr>
        <w:tc>
          <w:tcPr>
            <w:tcW w:w="1329" w:type="pct"/>
            <w:shd w:val="clear" w:color="auto" w:fill="D9D9D9" w:themeFill="background1" w:themeFillShade="D9"/>
            <w:vAlign w:val="center"/>
          </w:tcPr>
          <w:p w14:paraId="790737DF" w14:textId="77777777" w:rsidR="00710A91" w:rsidRPr="00373ACB" w:rsidRDefault="00710A91" w:rsidP="00BE3A59">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60" w:type="pct"/>
            <w:vAlign w:val="center"/>
          </w:tcPr>
          <w:p w14:paraId="24F75BE0" w14:textId="77777777" w:rsidR="00710A91" w:rsidRPr="007103E4" w:rsidRDefault="00710A91" w:rsidP="00BE3A59">
            <w:pPr>
              <w:spacing w:before="60" w:after="60"/>
              <w:jc w:val="center"/>
              <w:rPr>
                <w:rFonts w:ascii="Arial" w:hAnsi="Arial" w:cs="Arial"/>
                <w:b/>
                <w:sz w:val="20"/>
                <w:szCs w:val="20"/>
              </w:rPr>
            </w:pPr>
          </w:p>
        </w:tc>
        <w:tc>
          <w:tcPr>
            <w:tcW w:w="460" w:type="pct"/>
            <w:vAlign w:val="center"/>
          </w:tcPr>
          <w:p w14:paraId="408C6F93"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66A13404"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51556095"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536719E1"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3558C034"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28D26136" w14:textId="77777777" w:rsidR="00710A91" w:rsidRPr="007103E4" w:rsidRDefault="00710A91" w:rsidP="00BE3A59">
            <w:pPr>
              <w:spacing w:before="60" w:after="60"/>
              <w:jc w:val="center"/>
              <w:rPr>
                <w:rFonts w:ascii="Arial" w:hAnsi="Arial" w:cs="Arial"/>
                <w:b/>
                <w:sz w:val="20"/>
                <w:szCs w:val="20"/>
              </w:rPr>
            </w:pPr>
          </w:p>
        </w:tc>
        <w:tc>
          <w:tcPr>
            <w:tcW w:w="447" w:type="pct"/>
            <w:vAlign w:val="center"/>
          </w:tcPr>
          <w:p w14:paraId="29E811AF" w14:textId="77777777" w:rsidR="00710A91" w:rsidRPr="007103E4" w:rsidRDefault="00710A91" w:rsidP="00BE3A59">
            <w:pPr>
              <w:spacing w:before="60" w:after="60"/>
              <w:jc w:val="center"/>
              <w:rPr>
                <w:rFonts w:ascii="Arial" w:hAnsi="Arial" w:cs="Arial"/>
                <w:b/>
                <w:sz w:val="20"/>
                <w:szCs w:val="20"/>
              </w:rPr>
            </w:pPr>
          </w:p>
        </w:tc>
      </w:tr>
      <w:tr w:rsidR="00710A91" w:rsidRPr="00373ACB" w14:paraId="659AAF2B" w14:textId="77777777" w:rsidTr="00710A91">
        <w:trPr>
          <w:trHeight w:val="397"/>
          <w:jc w:val="center"/>
        </w:trPr>
        <w:tc>
          <w:tcPr>
            <w:tcW w:w="1329" w:type="pct"/>
            <w:vAlign w:val="center"/>
          </w:tcPr>
          <w:p w14:paraId="301991B9" w14:textId="77777777" w:rsidR="00710A91" w:rsidRPr="007103E4" w:rsidRDefault="00710A91" w:rsidP="00BE3A59">
            <w:pPr>
              <w:spacing w:before="60" w:after="60"/>
              <w:rPr>
                <w:rFonts w:ascii="Arial" w:hAnsi="Arial" w:cs="Arial"/>
                <w:sz w:val="20"/>
                <w:szCs w:val="20"/>
              </w:rPr>
            </w:pPr>
            <w:r w:rsidRPr="007103E4">
              <w:rPr>
                <w:rFonts w:ascii="Arial" w:hAnsi="Arial" w:cs="Arial"/>
                <w:sz w:val="20"/>
                <w:szCs w:val="20"/>
              </w:rPr>
              <w:t>Lectures</w:t>
            </w:r>
          </w:p>
        </w:tc>
        <w:tc>
          <w:tcPr>
            <w:tcW w:w="460" w:type="pct"/>
            <w:vAlign w:val="center"/>
          </w:tcPr>
          <w:p w14:paraId="5FF83E05"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0" w:type="pct"/>
            <w:vAlign w:val="center"/>
          </w:tcPr>
          <w:p w14:paraId="51704186" w14:textId="77777777" w:rsidR="00710A91" w:rsidRPr="007103E4" w:rsidRDefault="00710A91" w:rsidP="00BE3A59">
            <w:pPr>
              <w:spacing w:before="60" w:after="60"/>
              <w:jc w:val="center"/>
              <w:rPr>
                <w:rFonts w:ascii="Arial" w:hAnsi="Arial" w:cs="Arial"/>
                <w:sz w:val="20"/>
                <w:szCs w:val="20"/>
              </w:rPr>
            </w:pPr>
          </w:p>
        </w:tc>
        <w:tc>
          <w:tcPr>
            <w:tcW w:w="461" w:type="pct"/>
            <w:vAlign w:val="center"/>
          </w:tcPr>
          <w:p w14:paraId="5A8E873F"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28E7665D"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504EB588"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769701A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1A26C540" w14:textId="77777777" w:rsidR="00710A91" w:rsidRPr="007103E4" w:rsidRDefault="00710A91" w:rsidP="00BE3A59">
            <w:pPr>
              <w:spacing w:before="60" w:after="60"/>
              <w:jc w:val="center"/>
              <w:rPr>
                <w:rFonts w:ascii="Arial" w:hAnsi="Arial" w:cs="Arial"/>
                <w:sz w:val="20"/>
                <w:szCs w:val="20"/>
              </w:rPr>
            </w:pPr>
          </w:p>
        </w:tc>
        <w:tc>
          <w:tcPr>
            <w:tcW w:w="447" w:type="pct"/>
            <w:vAlign w:val="center"/>
          </w:tcPr>
          <w:p w14:paraId="5C69E59D" w14:textId="77777777" w:rsidR="00710A91" w:rsidRPr="007103E4" w:rsidRDefault="00710A91" w:rsidP="00BE3A59">
            <w:pPr>
              <w:spacing w:before="60" w:after="60"/>
              <w:jc w:val="center"/>
              <w:rPr>
                <w:rFonts w:ascii="Arial" w:hAnsi="Arial" w:cs="Arial"/>
                <w:sz w:val="20"/>
                <w:szCs w:val="20"/>
              </w:rPr>
            </w:pPr>
          </w:p>
        </w:tc>
      </w:tr>
      <w:tr w:rsidR="00710A91" w:rsidRPr="00373ACB" w14:paraId="4C341B01" w14:textId="77777777" w:rsidTr="00710A91">
        <w:trPr>
          <w:trHeight w:val="397"/>
          <w:jc w:val="center"/>
        </w:trPr>
        <w:tc>
          <w:tcPr>
            <w:tcW w:w="1329" w:type="pct"/>
            <w:vAlign w:val="center"/>
          </w:tcPr>
          <w:p w14:paraId="7A3EFD7A" w14:textId="77777777" w:rsidR="00710A91" w:rsidRPr="007103E4" w:rsidRDefault="00710A91" w:rsidP="00BE3A59">
            <w:pPr>
              <w:spacing w:before="60" w:after="60"/>
              <w:rPr>
                <w:rFonts w:ascii="Arial" w:hAnsi="Arial" w:cs="Arial"/>
                <w:sz w:val="20"/>
                <w:szCs w:val="20"/>
              </w:rPr>
            </w:pPr>
            <w:r w:rsidRPr="007103E4">
              <w:rPr>
                <w:rFonts w:ascii="Arial" w:hAnsi="Arial" w:cs="Arial"/>
                <w:sz w:val="20"/>
                <w:szCs w:val="20"/>
              </w:rPr>
              <w:t>Seminars</w:t>
            </w:r>
          </w:p>
        </w:tc>
        <w:tc>
          <w:tcPr>
            <w:tcW w:w="460" w:type="pct"/>
            <w:vAlign w:val="center"/>
          </w:tcPr>
          <w:p w14:paraId="5D8F30FF"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0" w:type="pct"/>
            <w:vAlign w:val="center"/>
          </w:tcPr>
          <w:p w14:paraId="59579441"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0FDF77DA"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0B05B1CD"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7482C38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579361B7"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4C187D5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47" w:type="pct"/>
            <w:vAlign w:val="center"/>
          </w:tcPr>
          <w:p w14:paraId="628CBCCE"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r>
      <w:tr w:rsidR="00710A91" w:rsidRPr="00373ACB" w14:paraId="0379C2B9" w14:textId="77777777" w:rsidTr="00710A91">
        <w:trPr>
          <w:trHeight w:val="397"/>
          <w:jc w:val="center"/>
        </w:trPr>
        <w:tc>
          <w:tcPr>
            <w:tcW w:w="1329" w:type="pct"/>
            <w:vAlign w:val="center"/>
          </w:tcPr>
          <w:p w14:paraId="05FCCBFC" w14:textId="77777777" w:rsidR="00710A91" w:rsidRPr="007103E4" w:rsidRDefault="00710A91" w:rsidP="00BE3A59">
            <w:pPr>
              <w:spacing w:before="60" w:after="60"/>
              <w:rPr>
                <w:rFonts w:ascii="Arial" w:hAnsi="Arial" w:cs="Arial"/>
                <w:sz w:val="20"/>
                <w:szCs w:val="20"/>
              </w:rPr>
            </w:pPr>
            <w:r>
              <w:rPr>
                <w:rFonts w:ascii="Arial" w:hAnsi="Arial" w:cs="Arial"/>
                <w:sz w:val="20"/>
                <w:szCs w:val="20"/>
              </w:rPr>
              <w:t>Private Study</w:t>
            </w:r>
          </w:p>
        </w:tc>
        <w:tc>
          <w:tcPr>
            <w:tcW w:w="460" w:type="pct"/>
            <w:vAlign w:val="center"/>
          </w:tcPr>
          <w:p w14:paraId="4E2A351F"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0" w:type="pct"/>
            <w:vAlign w:val="center"/>
          </w:tcPr>
          <w:p w14:paraId="4444D767"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20086EE6"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7E933748"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70BCBB2A"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13653DC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2DFF0CED"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47" w:type="pct"/>
            <w:vAlign w:val="center"/>
          </w:tcPr>
          <w:p w14:paraId="2C9FA495"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r>
      <w:tr w:rsidR="00710A91" w:rsidRPr="00373ACB" w14:paraId="2303688B" w14:textId="77777777" w:rsidTr="00710A91">
        <w:trPr>
          <w:trHeight w:val="397"/>
          <w:jc w:val="center"/>
        </w:trPr>
        <w:tc>
          <w:tcPr>
            <w:tcW w:w="1329" w:type="pct"/>
            <w:shd w:val="clear" w:color="auto" w:fill="D9D9D9" w:themeFill="background1" w:themeFillShade="D9"/>
            <w:vAlign w:val="center"/>
          </w:tcPr>
          <w:p w14:paraId="712FD778" w14:textId="77777777" w:rsidR="00710A91" w:rsidRPr="00373ACB" w:rsidRDefault="00710A91" w:rsidP="00BE3A59">
            <w:pPr>
              <w:spacing w:before="60" w:after="60"/>
              <w:rPr>
                <w:rFonts w:ascii="Arial" w:hAnsi="Arial" w:cs="Arial"/>
                <w:b/>
                <w:sz w:val="20"/>
                <w:szCs w:val="20"/>
              </w:rPr>
            </w:pPr>
            <w:r w:rsidRPr="00373ACB">
              <w:rPr>
                <w:rFonts w:ascii="Arial" w:hAnsi="Arial" w:cs="Arial"/>
                <w:b/>
                <w:sz w:val="20"/>
                <w:szCs w:val="20"/>
              </w:rPr>
              <w:t>Assessment method</w:t>
            </w:r>
          </w:p>
        </w:tc>
        <w:tc>
          <w:tcPr>
            <w:tcW w:w="460" w:type="pct"/>
            <w:vAlign w:val="center"/>
          </w:tcPr>
          <w:p w14:paraId="536A1380" w14:textId="77777777" w:rsidR="00710A91" w:rsidRPr="007103E4" w:rsidRDefault="00710A91" w:rsidP="00BE3A59">
            <w:pPr>
              <w:spacing w:before="60" w:after="60"/>
              <w:jc w:val="center"/>
              <w:rPr>
                <w:rFonts w:ascii="Arial" w:hAnsi="Arial" w:cs="Arial"/>
                <w:b/>
                <w:sz w:val="20"/>
                <w:szCs w:val="20"/>
              </w:rPr>
            </w:pPr>
          </w:p>
        </w:tc>
        <w:tc>
          <w:tcPr>
            <w:tcW w:w="460" w:type="pct"/>
            <w:vAlign w:val="center"/>
          </w:tcPr>
          <w:p w14:paraId="277AE78C"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3111BBBA"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105BAE8F"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28444B37"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5F063759" w14:textId="77777777" w:rsidR="00710A91" w:rsidRPr="007103E4" w:rsidRDefault="00710A91" w:rsidP="00BE3A59">
            <w:pPr>
              <w:spacing w:before="60" w:after="60"/>
              <w:jc w:val="center"/>
              <w:rPr>
                <w:rFonts w:ascii="Arial" w:hAnsi="Arial" w:cs="Arial"/>
                <w:b/>
                <w:sz w:val="20"/>
                <w:szCs w:val="20"/>
              </w:rPr>
            </w:pPr>
          </w:p>
        </w:tc>
        <w:tc>
          <w:tcPr>
            <w:tcW w:w="461" w:type="pct"/>
            <w:vAlign w:val="center"/>
          </w:tcPr>
          <w:p w14:paraId="0C863E48" w14:textId="77777777" w:rsidR="00710A91" w:rsidRPr="007103E4" w:rsidRDefault="00710A91" w:rsidP="00BE3A59">
            <w:pPr>
              <w:spacing w:before="60" w:after="60"/>
              <w:jc w:val="center"/>
              <w:rPr>
                <w:rFonts w:ascii="Arial" w:hAnsi="Arial" w:cs="Arial"/>
                <w:b/>
                <w:sz w:val="20"/>
                <w:szCs w:val="20"/>
              </w:rPr>
            </w:pPr>
          </w:p>
        </w:tc>
        <w:tc>
          <w:tcPr>
            <w:tcW w:w="447" w:type="pct"/>
            <w:vAlign w:val="center"/>
          </w:tcPr>
          <w:p w14:paraId="151007AE" w14:textId="77777777" w:rsidR="00710A91" w:rsidRPr="007103E4" w:rsidRDefault="00710A91" w:rsidP="00BE3A59">
            <w:pPr>
              <w:spacing w:before="60" w:after="60"/>
              <w:jc w:val="center"/>
              <w:rPr>
                <w:rFonts w:ascii="Arial" w:hAnsi="Arial" w:cs="Arial"/>
                <w:b/>
                <w:sz w:val="20"/>
                <w:szCs w:val="20"/>
              </w:rPr>
            </w:pPr>
          </w:p>
        </w:tc>
      </w:tr>
      <w:tr w:rsidR="00710A91" w:rsidRPr="00373ACB" w14:paraId="6AD7BE44" w14:textId="77777777" w:rsidTr="00710A91">
        <w:trPr>
          <w:trHeight w:val="397"/>
          <w:jc w:val="center"/>
        </w:trPr>
        <w:tc>
          <w:tcPr>
            <w:tcW w:w="1329" w:type="pct"/>
            <w:vAlign w:val="center"/>
          </w:tcPr>
          <w:p w14:paraId="54CE572A" w14:textId="77777777" w:rsidR="00710A91" w:rsidRPr="00D71DF4" w:rsidRDefault="00710A91" w:rsidP="00BE3A59">
            <w:pPr>
              <w:spacing w:before="60" w:after="60"/>
              <w:rPr>
                <w:rFonts w:ascii="Arial" w:hAnsi="Arial" w:cs="Arial"/>
                <w:sz w:val="20"/>
                <w:szCs w:val="20"/>
              </w:rPr>
            </w:pPr>
            <w:r>
              <w:rPr>
                <w:rFonts w:ascii="Arial" w:hAnsi="Arial" w:cs="Arial"/>
                <w:sz w:val="20"/>
                <w:szCs w:val="20"/>
              </w:rPr>
              <w:t>MCT (20%)</w:t>
            </w:r>
          </w:p>
        </w:tc>
        <w:tc>
          <w:tcPr>
            <w:tcW w:w="460" w:type="pct"/>
            <w:vAlign w:val="center"/>
          </w:tcPr>
          <w:p w14:paraId="0AF2C8B8"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0" w:type="pct"/>
            <w:vAlign w:val="center"/>
          </w:tcPr>
          <w:p w14:paraId="1F0AE1E2" w14:textId="77777777" w:rsidR="00710A91" w:rsidRPr="007103E4" w:rsidRDefault="00710A91" w:rsidP="00BE3A59">
            <w:pPr>
              <w:spacing w:before="60" w:after="60"/>
              <w:jc w:val="center"/>
              <w:rPr>
                <w:rFonts w:ascii="Arial" w:hAnsi="Arial" w:cs="Arial"/>
                <w:sz w:val="20"/>
                <w:szCs w:val="20"/>
              </w:rPr>
            </w:pPr>
          </w:p>
        </w:tc>
        <w:tc>
          <w:tcPr>
            <w:tcW w:w="461" w:type="pct"/>
            <w:vAlign w:val="center"/>
          </w:tcPr>
          <w:p w14:paraId="7F8866ED"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2EE18B68"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1DADF19F" w14:textId="77777777" w:rsidR="00710A91" w:rsidRPr="007103E4" w:rsidRDefault="00710A91" w:rsidP="00BE3A59">
            <w:pPr>
              <w:spacing w:before="60" w:after="60"/>
              <w:jc w:val="center"/>
              <w:rPr>
                <w:rFonts w:ascii="Arial" w:hAnsi="Arial" w:cs="Arial"/>
                <w:sz w:val="20"/>
                <w:szCs w:val="20"/>
              </w:rPr>
            </w:pPr>
          </w:p>
        </w:tc>
        <w:tc>
          <w:tcPr>
            <w:tcW w:w="461" w:type="pct"/>
            <w:vAlign w:val="center"/>
          </w:tcPr>
          <w:p w14:paraId="351B164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6B31D656" w14:textId="77777777" w:rsidR="00710A91" w:rsidRPr="007103E4" w:rsidRDefault="00710A91" w:rsidP="00BE3A59">
            <w:pPr>
              <w:spacing w:before="60" w:after="60"/>
              <w:jc w:val="center"/>
              <w:rPr>
                <w:rFonts w:ascii="Arial" w:hAnsi="Arial" w:cs="Arial"/>
                <w:sz w:val="20"/>
                <w:szCs w:val="20"/>
              </w:rPr>
            </w:pPr>
          </w:p>
        </w:tc>
        <w:tc>
          <w:tcPr>
            <w:tcW w:w="447" w:type="pct"/>
            <w:vAlign w:val="center"/>
          </w:tcPr>
          <w:p w14:paraId="71F8A4D0" w14:textId="77777777" w:rsidR="00710A91" w:rsidRPr="007103E4" w:rsidRDefault="00710A91" w:rsidP="00BE3A59">
            <w:pPr>
              <w:spacing w:before="60" w:after="60"/>
              <w:jc w:val="center"/>
              <w:rPr>
                <w:rFonts w:ascii="Arial" w:hAnsi="Arial" w:cs="Arial"/>
                <w:sz w:val="20"/>
                <w:szCs w:val="20"/>
              </w:rPr>
            </w:pPr>
          </w:p>
        </w:tc>
      </w:tr>
      <w:tr w:rsidR="00710A91" w:rsidRPr="00373ACB" w14:paraId="5813D331" w14:textId="77777777" w:rsidTr="00710A91">
        <w:trPr>
          <w:trHeight w:val="397"/>
          <w:jc w:val="center"/>
        </w:trPr>
        <w:tc>
          <w:tcPr>
            <w:tcW w:w="1329" w:type="pct"/>
            <w:vAlign w:val="center"/>
          </w:tcPr>
          <w:p w14:paraId="71AB1689" w14:textId="77777777" w:rsidR="00710A91" w:rsidRPr="00D71DF4" w:rsidRDefault="00710A91" w:rsidP="00BE3A59">
            <w:pPr>
              <w:spacing w:before="60" w:after="60"/>
              <w:rPr>
                <w:rFonts w:ascii="Arial" w:hAnsi="Arial" w:cs="Arial"/>
                <w:sz w:val="20"/>
                <w:szCs w:val="20"/>
              </w:rPr>
            </w:pPr>
            <w:r>
              <w:rPr>
                <w:rFonts w:ascii="Arial" w:hAnsi="Arial" w:cs="Arial"/>
                <w:sz w:val="20"/>
                <w:szCs w:val="20"/>
              </w:rPr>
              <w:lastRenderedPageBreak/>
              <w:t>Exam (80%)</w:t>
            </w:r>
          </w:p>
        </w:tc>
        <w:tc>
          <w:tcPr>
            <w:tcW w:w="460" w:type="pct"/>
            <w:vAlign w:val="center"/>
          </w:tcPr>
          <w:p w14:paraId="4B8C6BE5"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0" w:type="pct"/>
            <w:vAlign w:val="center"/>
          </w:tcPr>
          <w:p w14:paraId="65142035"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5024804C"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235AC4CB"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6C3C69C6"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64B2BC73"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61" w:type="pct"/>
            <w:vAlign w:val="center"/>
          </w:tcPr>
          <w:p w14:paraId="37F47ACB"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c>
          <w:tcPr>
            <w:tcW w:w="447" w:type="pct"/>
            <w:vAlign w:val="center"/>
          </w:tcPr>
          <w:p w14:paraId="3917909E" w14:textId="77777777" w:rsidR="00710A91" w:rsidRPr="007103E4" w:rsidRDefault="00710A91" w:rsidP="00BE3A59">
            <w:pPr>
              <w:spacing w:before="60" w:after="60"/>
              <w:jc w:val="center"/>
              <w:rPr>
                <w:rFonts w:ascii="Arial" w:hAnsi="Arial" w:cs="Arial"/>
                <w:sz w:val="20"/>
                <w:szCs w:val="20"/>
              </w:rPr>
            </w:pPr>
            <w:r>
              <w:rPr>
                <w:rFonts w:ascii="Arial" w:hAnsi="Arial" w:cs="Arial"/>
                <w:sz w:val="20"/>
                <w:szCs w:val="20"/>
              </w:rPr>
              <w:t>x</w:t>
            </w:r>
          </w:p>
        </w:tc>
      </w:tr>
    </w:tbl>
    <w:p w14:paraId="0B99D7D2" w14:textId="77777777" w:rsidR="007A6245" w:rsidRDefault="007A6245" w:rsidP="00BE3A59">
      <w:pPr>
        <w:spacing w:before="60" w:after="60" w:line="240" w:lineRule="auto"/>
        <w:ind w:left="426" w:right="260"/>
        <w:rPr>
          <w:rFonts w:ascii="Arial" w:hAnsi="Arial" w:cs="Arial"/>
          <w:b/>
          <w:iCs/>
          <w:sz w:val="20"/>
          <w:szCs w:val="20"/>
        </w:rPr>
      </w:pPr>
    </w:p>
    <w:p w14:paraId="27F93EAD" w14:textId="77777777" w:rsidR="003D0302" w:rsidRPr="00373ACB" w:rsidRDefault="003D0302" w:rsidP="00BE3A59">
      <w:pPr>
        <w:spacing w:before="60" w:after="60" w:line="240" w:lineRule="auto"/>
        <w:ind w:left="426" w:right="260"/>
        <w:rPr>
          <w:rFonts w:ascii="Arial" w:hAnsi="Arial" w:cs="Arial"/>
          <w:b/>
          <w:iCs/>
          <w:sz w:val="20"/>
          <w:szCs w:val="20"/>
        </w:rPr>
      </w:pPr>
    </w:p>
    <w:p w14:paraId="1FE62CD8" w14:textId="77777777" w:rsidR="00710A91" w:rsidRDefault="00DF2132" w:rsidP="00BE3A59">
      <w:pPr>
        <w:numPr>
          <w:ilvl w:val="0"/>
          <w:numId w:val="1"/>
        </w:numPr>
        <w:spacing w:before="60" w:after="60" w:line="240" w:lineRule="auto"/>
        <w:ind w:left="426" w:right="260" w:hanging="426"/>
        <w:jc w:val="both"/>
        <w:rPr>
          <w:rFonts w:ascii="Arial" w:hAnsi="Arial" w:cs="Arial"/>
          <w:sz w:val="20"/>
          <w:szCs w:val="20"/>
        </w:rPr>
      </w:pPr>
      <w:r w:rsidRPr="003D030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10A91">
        <w:rPr>
          <w:rFonts w:ascii="Arial" w:hAnsi="Arial" w:cs="Arial"/>
          <w:sz w:val="20"/>
          <w:szCs w:val="20"/>
        </w:rPr>
        <w:t xml:space="preserve"> policies and support services.</w:t>
      </w:r>
    </w:p>
    <w:p w14:paraId="5C532492" w14:textId="77777777" w:rsidR="00710A91" w:rsidRDefault="00710A91" w:rsidP="00BE3A59">
      <w:pPr>
        <w:spacing w:before="60" w:after="60" w:line="240" w:lineRule="auto"/>
        <w:ind w:left="426" w:right="260"/>
        <w:jc w:val="both"/>
        <w:rPr>
          <w:rFonts w:ascii="Arial" w:hAnsi="Arial" w:cs="Arial"/>
          <w:sz w:val="20"/>
          <w:szCs w:val="20"/>
        </w:rPr>
      </w:pPr>
    </w:p>
    <w:p w14:paraId="7CAEE787" w14:textId="77777777" w:rsidR="00DF2132" w:rsidRPr="00710A91" w:rsidRDefault="00DF2132" w:rsidP="00BE3A59">
      <w:pPr>
        <w:spacing w:before="60" w:after="60" w:line="240" w:lineRule="auto"/>
        <w:ind w:left="426" w:right="260"/>
        <w:jc w:val="both"/>
        <w:rPr>
          <w:rFonts w:ascii="Arial" w:hAnsi="Arial" w:cs="Arial"/>
          <w:sz w:val="20"/>
          <w:szCs w:val="20"/>
        </w:rPr>
      </w:pPr>
      <w:r w:rsidRPr="00710A91">
        <w:rPr>
          <w:rFonts w:ascii="Arial" w:hAnsi="Arial" w:cs="Arial"/>
          <w:sz w:val="20"/>
          <w:szCs w:val="20"/>
        </w:rPr>
        <w:t>The inclusive practices in the guidance (see Annex B Appendix A) have been considered in order to support all students in the following areas:</w:t>
      </w:r>
    </w:p>
    <w:p w14:paraId="5CF514DC" w14:textId="77777777" w:rsidR="00DF2132" w:rsidRPr="003D0302" w:rsidRDefault="00DF2132" w:rsidP="00BE3A59">
      <w:pPr>
        <w:spacing w:before="60" w:after="60" w:line="240" w:lineRule="auto"/>
        <w:ind w:left="426" w:right="260"/>
        <w:rPr>
          <w:rFonts w:ascii="Arial" w:hAnsi="Arial" w:cs="Arial"/>
          <w:b/>
          <w:sz w:val="20"/>
          <w:szCs w:val="20"/>
        </w:rPr>
      </w:pPr>
      <w:r w:rsidRPr="003D0302">
        <w:rPr>
          <w:rFonts w:ascii="Arial" w:hAnsi="Arial" w:cs="Arial"/>
          <w:sz w:val="20"/>
          <w:szCs w:val="20"/>
        </w:rPr>
        <w:br/>
      </w:r>
      <w:r w:rsidRPr="003D0302">
        <w:rPr>
          <w:rFonts w:ascii="Arial" w:hAnsi="Arial" w:cs="Arial"/>
          <w:b/>
          <w:sz w:val="20"/>
          <w:szCs w:val="20"/>
        </w:rPr>
        <w:t>a) Accessible resources and curriculum</w:t>
      </w:r>
    </w:p>
    <w:p w14:paraId="412E2EA3" w14:textId="77777777" w:rsidR="00971465" w:rsidRPr="003D0302" w:rsidRDefault="00971465" w:rsidP="00BE3A59">
      <w:pPr>
        <w:pStyle w:val="ListParagraph"/>
        <w:numPr>
          <w:ilvl w:val="0"/>
          <w:numId w:val="13"/>
        </w:numPr>
        <w:spacing w:before="60" w:after="60" w:line="240" w:lineRule="auto"/>
        <w:ind w:right="260"/>
        <w:jc w:val="both"/>
        <w:rPr>
          <w:rFonts w:ascii="Arial" w:hAnsi="Arial" w:cs="Arial"/>
          <w:sz w:val="20"/>
          <w:szCs w:val="20"/>
        </w:rPr>
      </w:pPr>
      <w:r w:rsidRPr="003D0302">
        <w:rPr>
          <w:rFonts w:ascii="Arial" w:hAnsi="Arial" w:cs="Arial"/>
          <w:sz w:val="20"/>
          <w:szCs w:val="20"/>
        </w:rPr>
        <w:t>Preference will be given to electronic resources that meet minimum accessibility standards and support the use of assistive technologies.</w:t>
      </w:r>
    </w:p>
    <w:p w14:paraId="23C00094" w14:textId="77777777" w:rsidR="00971465" w:rsidRPr="003D0302" w:rsidRDefault="00971465" w:rsidP="00BE3A59">
      <w:pPr>
        <w:pStyle w:val="ListParagraph"/>
        <w:numPr>
          <w:ilvl w:val="0"/>
          <w:numId w:val="13"/>
        </w:numPr>
        <w:spacing w:before="60" w:after="60" w:line="240" w:lineRule="auto"/>
        <w:ind w:right="260"/>
        <w:jc w:val="both"/>
        <w:rPr>
          <w:rFonts w:ascii="Arial" w:hAnsi="Arial" w:cs="Arial"/>
          <w:sz w:val="20"/>
          <w:szCs w:val="20"/>
        </w:rPr>
      </w:pPr>
      <w:r w:rsidRPr="003D0302">
        <w:rPr>
          <w:rFonts w:ascii="Arial" w:hAnsi="Arial" w:cs="Arial"/>
          <w:sz w:val="20"/>
          <w:szCs w:val="20"/>
        </w:rPr>
        <w:t xml:space="preserve">Module outlines will be made accessible at least four weeks before the module starts. </w:t>
      </w:r>
    </w:p>
    <w:p w14:paraId="17E2EDAF" w14:textId="77777777" w:rsidR="00971465" w:rsidRPr="00D023E6" w:rsidRDefault="00971465" w:rsidP="00BE3A59">
      <w:pPr>
        <w:pStyle w:val="ListParagraph"/>
        <w:numPr>
          <w:ilvl w:val="0"/>
          <w:numId w:val="13"/>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7C503B9" w14:textId="77777777" w:rsidR="00971465" w:rsidRDefault="00971465" w:rsidP="00BE3A59">
      <w:pPr>
        <w:pStyle w:val="ListParagraph"/>
        <w:numPr>
          <w:ilvl w:val="0"/>
          <w:numId w:val="13"/>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2CD667" w14:textId="77777777" w:rsidR="00DF2132" w:rsidRDefault="00971465" w:rsidP="00BE3A59">
      <w:pPr>
        <w:pStyle w:val="ListParagraph"/>
        <w:numPr>
          <w:ilvl w:val="0"/>
          <w:numId w:val="13"/>
        </w:numPr>
        <w:spacing w:before="60" w:after="6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F2A138C" w14:textId="77777777" w:rsidR="00710A91" w:rsidRPr="00971465" w:rsidRDefault="00710A91" w:rsidP="00BE3A59">
      <w:pPr>
        <w:pStyle w:val="ListParagraph"/>
        <w:spacing w:before="60" w:after="60" w:line="240" w:lineRule="auto"/>
        <w:ind w:left="1080" w:right="260"/>
        <w:jc w:val="both"/>
        <w:rPr>
          <w:rFonts w:ascii="Arial" w:hAnsi="Arial" w:cs="Arial"/>
          <w:sz w:val="20"/>
          <w:szCs w:val="20"/>
        </w:rPr>
      </w:pPr>
    </w:p>
    <w:p w14:paraId="4C3CAB70" w14:textId="77777777" w:rsidR="009A2D37" w:rsidRPr="00A7491F" w:rsidRDefault="00DF2132" w:rsidP="00BE3A59">
      <w:pPr>
        <w:spacing w:before="60" w:after="6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E89CFC3" w14:textId="77777777" w:rsidR="009A2D37" w:rsidRDefault="00971465" w:rsidP="00BE3A59">
      <w:pPr>
        <w:spacing w:before="60" w:after="6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D5E46">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7F45125" w14:textId="77777777" w:rsidR="00710A91" w:rsidRPr="00373ACB" w:rsidRDefault="00710A91" w:rsidP="00BE3A59">
      <w:pPr>
        <w:spacing w:before="60" w:after="60" w:line="240" w:lineRule="auto"/>
        <w:ind w:left="426" w:right="260"/>
        <w:jc w:val="both"/>
        <w:rPr>
          <w:rFonts w:ascii="Arial" w:hAnsi="Arial" w:cs="Arial"/>
          <w:iCs/>
          <w:sz w:val="20"/>
          <w:szCs w:val="20"/>
        </w:rPr>
      </w:pPr>
    </w:p>
    <w:p w14:paraId="12D9C219" w14:textId="77777777" w:rsidR="009A2D37" w:rsidRPr="00373ACB" w:rsidRDefault="009A2D37" w:rsidP="00BE3A59">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6F801C3" w14:textId="77777777" w:rsidR="00DF2132" w:rsidRDefault="0066061A" w:rsidP="00BE3A59">
      <w:pPr>
        <w:spacing w:before="60" w:after="60" w:line="240" w:lineRule="auto"/>
        <w:ind w:left="426" w:right="260"/>
        <w:rPr>
          <w:rFonts w:ascii="Arial" w:hAnsi="Arial" w:cs="Arial"/>
          <w:iCs/>
          <w:sz w:val="20"/>
          <w:szCs w:val="20"/>
        </w:rPr>
      </w:pPr>
      <w:r>
        <w:rPr>
          <w:rFonts w:ascii="Arial" w:hAnsi="Arial" w:cs="Arial"/>
          <w:iCs/>
          <w:sz w:val="20"/>
          <w:szCs w:val="20"/>
        </w:rPr>
        <w:t>Canterbury</w:t>
      </w:r>
    </w:p>
    <w:p w14:paraId="33687706" w14:textId="77777777" w:rsidR="00710A91" w:rsidRDefault="00710A91" w:rsidP="00BE3A59">
      <w:pPr>
        <w:spacing w:before="60" w:after="60" w:line="240" w:lineRule="auto"/>
        <w:ind w:left="426" w:right="260"/>
        <w:rPr>
          <w:rFonts w:ascii="Arial" w:hAnsi="Arial" w:cs="Arial"/>
          <w:iCs/>
          <w:sz w:val="20"/>
          <w:szCs w:val="20"/>
        </w:rPr>
      </w:pPr>
    </w:p>
    <w:p w14:paraId="49AAEB35" w14:textId="77777777" w:rsidR="00DF2132" w:rsidRPr="00DF2132" w:rsidRDefault="00DF2132" w:rsidP="00BE3A59">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D0E3BC7" w14:textId="77777777" w:rsidR="00DF2132" w:rsidRPr="0009374F" w:rsidRDefault="00720F2C" w:rsidP="00BE3A59">
      <w:pPr>
        <w:spacing w:before="60" w:after="60" w:line="240" w:lineRule="auto"/>
        <w:ind w:left="426" w:right="260"/>
        <w:jc w:val="both"/>
        <w:rPr>
          <w:rFonts w:ascii="Arial" w:hAnsi="Arial" w:cs="Arial"/>
          <w:sz w:val="20"/>
          <w:szCs w:val="20"/>
        </w:rPr>
      </w:pPr>
      <w:r>
        <w:rPr>
          <w:rFonts w:ascii="Arial" w:hAnsi="Arial" w:cs="Arial"/>
          <w:sz w:val="20"/>
          <w:szCs w:val="20"/>
        </w:rPr>
        <w:t>This module requires students to contrast the fundamental features of the English adversarial criminal trial with the European inquisitorial</w:t>
      </w:r>
      <w:r w:rsidR="00A04135">
        <w:rPr>
          <w:rFonts w:ascii="Arial" w:hAnsi="Arial" w:cs="Arial"/>
          <w:sz w:val="20"/>
          <w:szCs w:val="20"/>
        </w:rPr>
        <w:t xml:space="preserve"> style of criminal trial.  </w:t>
      </w:r>
      <w:r w:rsidR="00063220">
        <w:rPr>
          <w:rFonts w:ascii="Arial" w:hAnsi="Arial" w:cs="Arial"/>
          <w:sz w:val="20"/>
          <w:szCs w:val="20"/>
        </w:rPr>
        <w:t>In addition, the European Convention on Human Rights impacts greatly on the English rules of evidence, especially in relation to the burden of proof and the rules concerning hearsay evidence.  Consequently, students will study aspects of the Convention and its interaction with the English law of evidence, including case law emanating from the European Court of Human Rights.</w:t>
      </w:r>
    </w:p>
    <w:p w14:paraId="66180DDE" w14:textId="77777777" w:rsidR="00BE3A59" w:rsidRDefault="00BE3A59">
      <w:pPr>
        <w:rPr>
          <w:rFonts w:ascii="Arial" w:hAnsi="Arial" w:cs="Arial"/>
          <w:b/>
          <w:sz w:val="20"/>
          <w:szCs w:val="20"/>
        </w:rPr>
      </w:pPr>
      <w:r>
        <w:rPr>
          <w:rFonts w:ascii="Arial" w:hAnsi="Arial" w:cs="Arial"/>
          <w:b/>
          <w:sz w:val="20"/>
          <w:szCs w:val="20"/>
        </w:rPr>
        <w:br w:type="page"/>
      </w:r>
    </w:p>
    <w:p w14:paraId="43D8EFEA" w14:textId="77777777" w:rsidR="00441E76" w:rsidRPr="00652CB1" w:rsidRDefault="00422B69" w:rsidP="00BE3A59">
      <w:pPr>
        <w:spacing w:before="60" w:after="60"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478BDEB" w14:textId="77777777" w:rsidR="00D83563" w:rsidRPr="00373ACB" w:rsidRDefault="00D83563" w:rsidP="00BE3A59">
      <w:pPr>
        <w:spacing w:before="60" w:after="6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71ADF60" w14:textId="77777777" w:rsidR="00422B69" w:rsidRPr="00373ACB" w:rsidRDefault="00422B69" w:rsidP="00BE3A59">
      <w:pPr>
        <w:spacing w:before="60" w:after="6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B63A709" w14:textId="77777777" w:rsidTr="0009374F">
        <w:trPr>
          <w:trHeight w:val="317"/>
        </w:trPr>
        <w:tc>
          <w:tcPr>
            <w:tcW w:w="1673" w:type="dxa"/>
          </w:tcPr>
          <w:p w14:paraId="3CF83B38" w14:textId="77777777" w:rsidR="00422B69" w:rsidRPr="00373ACB" w:rsidRDefault="00422B69" w:rsidP="00BE3A59">
            <w:pPr>
              <w:spacing w:before="60" w:after="60"/>
              <w:ind w:right="-330"/>
              <w:rPr>
                <w:rFonts w:ascii="Arial" w:hAnsi="Arial" w:cs="Arial"/>
                <w:sz w:val="20"/>
                <w:szCs w:val="20"/>
              </w:rPr>
            </w:pPr>
            <w:r w:rsidRPr="00373ACB">
              <w:rPr>
                <w:rFonts w:ascii="Arial" w:hAnsi="Arial" w:cs="Arial"/>
                <w:sz w:val="20"/>
                <w:szCs w:val="20"/>
              </w:rPr>
              <w:t>Date approved</w:t>
            </w:r>
          </w:p>
        </w:tc>
        <w:tc>
          <w:tcPr>
            <w:tcW w:w="1417" w:type="dxa"/>
          </w:tcPr>
          <w:p w14:paraId="1A04A8EA" w14:textId="77777777" w:rsidR="00422B69" w:rsidRPr="00373ACB" w:rsidRDefault="00422B69" w:rsidP="00BE3A59">
            <w:pPr>
              <w:spacing w:before="60" w:after="60"/>
              <w:rPr>
                <w:rFonts w:ascii="Arial" w:hAnsi="Arial" w:cs="Arial"/>
                <w:sz w:val="20"/>
                <w:szCs w:val="20"/>
              </w:rPr>
            </w:pPr>
            <w:r w:rsidRPr="00373ACB">
              <w:rPr>
                <w:rFonts w:ascii="Arial" w:hAnsi="Arial" w:cs="Arial"/>
                <w:sz w:val="20"/>
                <w:szCs w:val="20"/>
              </w:rPr>
              <w:t>Major/minor revision</w:t>
            </w:r>
          </w:p>
        </w:tc>
        <w:tc>
          <w:tcPr>
            <w:tcW w:w="2342" w:type="dxa"/>
          </w:tcPr>
          <w:p w14:paraId="3FD0DD1E" w14:textId="77777777" w:rsidR="00422B69" w:rsidRPr="00373ACB" w:rsidRDefault="00422B69" w:rsidP="00BE3A59">
            <w:pPr>
              <w:spacing w:before="60" w:after="6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ABFA602" w14:textId="77777777" w:rsidR="00422B69" w:rsidRPr="00373ACB" w:rsidRDefault="00422B69" w:rsidP="00BE3A59">
            <w:pPr>
              <w:spacing w:before="60" w:after="60"/>
              <w:ind w:right="-330"/>
              <w:rPr>
                <w:rFonts w:ascii="Arial" w:hAnsi="Arial" w:cs="Arial"/>
                <w:sz w:val="20"/>
                <w:szCs w:val="20"/>
              </w:rPr>
            </w:pPr>
            <w:r w:rsidRPr="00373ACB">
              <w:rPr>
                <w:rFonts w:ascii="Arial" w:hAnsi="Arial" w:cs="Arial"/>
                <w:sz w:val="20"/>
                <w:szCs w:val="20"/>
              </w:rPr>
              <w:t>Section revised</w:t>
            </w:r>
          </w:p>
        </w:tc>
        <w:tc>
          <w:tcPr>
            <w:tcW w:w="2400" w:type="dxa"/>
          </w:tcPr>
          <w:p w14:paraId="355079F6" w14:textId="77777777" w:rsidR="00422B69" w:rsidRPr="00373ACB" w:rsidRDefault="00422B69" w:rsidP="00BE3A59">
            <w:pPr>
              <w:spacing w:before="60" w:after="6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20BF622" w14:textId="77777777" w:rsidTr="0009374F">
        <w:trPr>
          <w:trHeight w:val="305"/>
        </w:trPr>
        <w:tc>
          <w:tcPr>
            <w:tcW w:w="1673" w:type="dxa"/>
          </w:tcPr>
          <w:p w14:paraId="690BE7D9" w14:textId="77777777" w:rsidR="00422B69" w:rsidRPr="00373ACB" w:rsidRDefault="00764C76" w:rsidP="00BE3A59">
            <w:pPr>
              <w:spacing w:before="60" w:after="60"/>
              <w:ind w:right="-330"/>
              <w:rPr>
                <w:rFonts w:ascii="Arial" w:hAnsi="Arial" w:cs="Arial"/>
                <w:sz w:val="20"/>
                <w:szCs w:val="20"/>
              </w:rPr>
            </w:pPr>
            <w:r>
              <w:rPr>
                <w:rFonts w:ascii="Arial" w:hAnsi="Arial" w:cs="Arial"/>
                <w:sz w:val="20"/>
                <w:szCs w:val="20"/>
              </w:rPr>
              <w:t>25/01/2018</w:t>
            </w:r>
          </w:p>
        </w:tc>
        <w:tc>
          <w:tcPr>
            <w:tcW w:w="1417" w:type="dxa"/>
          </w:tcPr>
          <w:p w14:paraId="08CA591C" w14:textId="77777777" w:rsidR="00422B69" w:rsidRPr="00373ACB" w:rsidRDefault="00764C76" w:rsidP="00BE3A59">
            <w:pPr>
              <w:spacing w:before="60" w:after="60"/>
              <w:ind w:right="-330"/>
              <w:rPr>
                <w:rFonts w:ascii="Arial" w:hAnsi="Arial" w:cs="Arial"/>
                <w:sz w:val="20"/>
                <w:szCs w:val="20"/>
              </w:rPr>
            </w:pPr>
            <w:r>
              <w:rPr>
                <w:rFonts w:ascii="Arial" w:hAnsi="Arial" w:cs="Arial"/>
                <w:sz w:val="20"/>
                <w:szCs w:val="20"/>
              </w:rPr>
              <w:t>Major</w:t>
            </w:r>
          </w:p>
        </w:tc>
        <w:tc>
          <w:tcPr>
            <w:tcW w:w="2342" w:type="dxa"/>
          </w:tcPr>
          <w:p w14:paraId="55C94284" w14:textId="77777777" w:rsidR="00422B69" w:rsidRPr="00373ACB" w:rsidRDefault="00764C76" w:rsidP="00BE3A59">
            <w:pPr>
              <w:spacing w:before="60" w:after="60"/>
              <w:ind w:right="-330"/>
              <w:rPr>
                <w:rFonts w:ascii="Arial" w:hAnsi="Arial" w:cs="Arial"/>
                <w:sz w:val="20"/>
                <w:szCs w:val="20"/>
              </w:rPr>
            </w:pPr>
            <w:r>
              <w:rPr>
                <w:rFonts w:ascii="Arial" w:hAnsi="Arial" w:cs="Arial"/>
                <w:sz w:val="20"/>
                <w:szCs w:val="20"/>
              </w:rPr>
              <w:t>September 2018</w:t>
            </w:r>
          </w:p>
        </w:tc>
        <w:tc>
          <w:tcPr>
            <w:tcW w:w="2658" w:type="dxa"/>
          </w:tcPr>
          <w:p w14:paraId="25099666" w14:textId="77777777" w:rsidR="00422B69" w:rsidRPr="00373ACB" w:rsidRDefault="00764C76" w:rsidP="00BE3A59">
            <w:pPr>
              <w:spacing w:before="60" w:after="60"/>
              <w:ind w:right="-330"/>
              <w:rPr>
                <w:rFonts w:ascii="Arial" w:hAnsi="Arial" w:cs="Arial"/>
                <w:sz w:val="20"/>
                <w:szCs w:val="20"/>
              </w:rPr>
            </w:pPr>
            <w:r>
              <w:rPr>
                <w:rFonts w:ascii="Arial" w:hAnsi="Arial" w:cs="Arial"/>
                <w:sz w:val="20"/>
                <w:szCs w:val="20"/>
              </w:rPr>
              <w:t>8-15, 17</w:t>
            </w:r>
          </w:p>
        </w:tc>
        <w:tc>
          <w:tcPr>
            <w:tcW w:w="2400" w:type="dxa"/>
          </w:tcPr>
          <w:p w14:paraId="7BDB95BA" w14:textId="77777777" w:rsidR="00422B69" w:rsidRPr="00373ACB" w:rsidRDefault="00764C76" w:rsidP="00BE3A59">
            <w:pPr>
              <w:spacing w:before="60" w:after="60"/>
              <w:ind w:right="-330"/>
              <w:rPr>
                <w:rFonts w:ascii="Arial" w:hAnsi="Arial" w:cs="Arial"/>
                <w:sz w:val="20"/>
                <w:szCs w:val="20"/>
              </w:rPr>
            </w:pPr>
            <w:r>
              <w:rPr>
                <w:rFonts w:ascii="Arial" w:hAnsi="Arial" w:cs="Arial"/>
                <w:sz w:val="20"/>
                <w:szCs w:val="20"/>
              </w:rPr>
              <w:t>No</w:t>
            </w:r>
          </w:p>
        </w:tc>
      </w:tr>
      <w:tr w:rsidR="00302082" w:rsidRPr="00373ACB" w14:paraId="0161A88F" w14:textId="77777777" w:rsidTr="0009374F">
        <w:trPr>
          <w:trHeight w:val="305"/>
        </w:trPr>
        <w:tc>
          <w:tcPr>
            <w:tcW w:w="1673" w:type="dxa"/>
          </w:tcPr>
          <w:p w14:paraId="0FEE500B" w14:textId="77777777" w:rsidR="00422B69" w:rsidRPr="00373ACB" w:rsidRDefault="004E558C" w:rsidP="00BE3A59">
            <w:pPr>
              <w:spacing w:before="60" w:after="60"/>
              <w:ind w:right="-330"/>
              <w:rPr>
                <w:rFonts w:ascii="Arial" w:hAnsi="Arial" w:cs="Arial"/>
                <w:sz w:val="20"/>
                <w:szCs w:val="20"/>
              </w:rPr>
            </w:pPr>
            <w:r>
              <w:rPr>
                <w:rFonts w:ascii="Arial" w:hAnsi="Arial" w:cs="Arial"/>
                <w:sz w:val="20"/>
                <w:szCs w:val="20"/>
              </w:rPr>
              <w:t>02/12/19</w:t>
            </w:r>
          </w:p>
        </w:tc>
        <w:tc>
          <w:tcPr>
            <w:tcW w:w="1417" w:type="dxa"/>
          </w:tcPr>
          <w:p w14:paraId="448179BB" w14:textId="77777777" w:rsidR="00422B69" w:rsidRPr="00373ACB" w:rsidRDefault="004E558C" w:rsidP="00BE3A59">
            <w:pPr>
              <w:spacing w:before="60" w:after="60"/>
              <w:ind w:right="-330"/>
              <w:rPr>
                <w:rFonts w:ascii="Arial" w:hAnsi="Arial" w:cs="Arial"/>
                <w:sz w:val="20"/>
                <w:szCs w:val="20"/>
              </w:rPr>
            </w:pPr>
            <w:r>
              <w:rPr>
                <w:rFonts w:ascii="Arial" w:hAnsi="Arial" w:cs="Arial"/>
                <w:sz w:val="20"/>
                <w:szCs w:val="20"/>
              </w:rPr>
              <w:t>Minor</w:t>
            </w:r>
          </w:p>
        </w:tc>
        <w:tc>
          <w:tcPr>
            <w:tcW w:w="2342" w:type="dxa"/>
          </w:tcPr>
          <w:p w14:paraId="3627DC91" w14:textId="77777777" w:rsidR="00422B69" w:rsidRPr="00373ACB" w:rsidRDefault="004E558C" w:rsidP="00BE3A59">
            <w:pPr>
              <w:spacing w:before="60" w:after="60"/>
              <w:ind w:right="-330"/>
              <w:rPr>
                <w:rFonts w:ascii="Arial" w:hAnsi="Arial" w:cs="Arial"/>
                <w:sz w:val="20"/>
                <w:szCs w:val="20"/>
              </w:rPr>
            </w:pPr>
            <w:r>
              <w:rPr>
                <w:rFonts w:ascii="Arial" w:hAnsi="Arial" w:cs="Arial"/>
                <w:sz w:val="20"/>
                <w:szCs w:val="20"/>
              </w:rPr>
              <w:t>September 2020</w:t>
            </w:r>
          </w:p>
        </w:tc>
        <w:tc>
          <w:tcPr>
            <w:tcW w:w="2658" w:type="dxa"/>
          </w:tcPr>
          <w:p w14:paraId="32457427" w14:textId="77777777" w:rsidR="00422B69" w:rsidRPr="00373ACB" w:rsidRDefault="004E558C" w:rsidP="00BE3A59">
            <w:pPr>
              <w:spacing w:before="60" w:after="60"/>
              <w:ind w:right="-330"/>
              <w:rPr>
                <w:rFonts w:ascii="Arial" w:hAnsi="Arial" w:cs="Arial"/>
                <w:sz w:val="20"/>
                <w:szCs w:val="20"/>
              </w:rPr>
            </w:pPr>
            <w:r>
              <w:rPr>
                <w:rFonts w:ascii="Arial" w:hAnsi="Arial" w:cs="Arial"/>
                <w:sz w:val="20"/>
                <w:szCs w:val="20"/>
              </w:rPr>
              <w:t>13</w:t>
            </w:r>
          </w:p>
        </w:tc>
        <w:tc>
          <w:tcPr>
            <w:tcW w:w="2400" w:type="dxa"/>
          </w:tcPr>
          <w:p w14:paraId="2D85CEF7" w14:textId="77777777" w:rsidR="00422B69" w:rsidRPr="00373ACB" w:rsidRDefault="004E558C" w:rsidP="00BE3A59">
            <w:pPr>
              <w:spacing w:before="60" w:after="60"/>
              <w:ind w:right="-330"/>
              <w:rPr>
                <w:rFonts w:ascii="Arial" w:hAnsi="Arial" w:cs="Arial"/>
                <w:sz w:val="20"/>
                <w:szCs w:val="20"/>
              </w:rPr>
            </w:pPr>
            <w:r>
              <w:rPr>
                <w:rFonts w:ascii="Arial" w:hAnsi="Arial" w:cs="Arial"/>
                <w:sz w:val="20"/>
                <w:szCs w:val="20"/>
              </w:rPr>
              <w:t>No</w:t>
            </w:r>
          </w:p>
        </w:tc>
      </w:tr>
    </w:tbl>
    <w:p w14:paraId="1A8C2CB9" w14:textId="77777777" w:rsidR="00D83563" w:rsidRPr="00373ACB" w:rsidRDefault="00D83563" w:rsidP="00BE3A59">
      <w:pPr>
        <w:spacing w:before="60" w:after="60" w:line="240" w:lineRule="auto"/>
        <w:ind w:right="-330"/>
        <w:rPr>
          <w:rFonts w:ascii="Arial" w:hAnsi="Arial" w:cs="Arial"/>
          <w:sz w:val="20"/>
          <w:szCs w:val="20"/>
        </w:rPr>
      </w:pPr>
    </w:p>
    <w:sectPr w:rsidR="00D83563" w:rsidRPr="00373ACB" w:rsidSect="00710A9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A0BC" w14:textId="77777777" w:rsidR="00F75134" w:rsidRDefault="00F75134" w:rsidP="009A2D37">
      <w:pPr>
        <w:spacing w:after="0" w:line="240" w:lineRule="auto"/>
      </w:pPr>
      <w:r>
        <w:separator/>
      </w:r>
    </w:p>
  </w:endnote>
  <w:endnote w:type="continuationSeparator" w:id="0">
    <w:p w14:paraId="03D538A1" w14:textId="77777777" w:rsidR="00F75134" w:rsidRDefault="00F75134" w:rsidP="009A2D37">
      <w:pPr>
        <w:spacing w:after="0" w:line="240" w:lineRule="auto"/>
      </w:pPr>
      <w:r>
        <w:continuationSeparator/>
      </w:r>
    </w:p>
  </w:endnote>
  <w:endnote w:type="continuationNotice" w:id="1">
    <w:p w14:paraId="2177CD7E" w14:textId="77777777" w:rsidR="00F75134" w:rsidRDefault="00F75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rPr>
        <w:rFonts w:ascii="Arial" w:hAnsi="Arial" w:cs="Arial"/>
        <w:sz w:val="18"/>
        <w:szCs w:val="18"/>
      </w:rPr>
    </w:sdtEndPr>
    <w:sdtContent>
      <w:p w14:paraId="2A1E6E00" w14:textId="77777777" w:rsidR="00710A91" w:rsidRDefault="00710A91" w:rsidP="009A2D37">
        <w:pPr>
          <w:pStyle w:val="Footer"/>
          <w:jc w:val="center"/>
        </w:pPr>
      </w:p>
      <w:p w14:paraId="6C6EB935" w14:textId="77777777" w:rsidR="008B2543" w:rsidRPr="0009374F" w:rsidRDefault="0019787E" w:rsidP="009A2D37">
        <w:pPr>
          <w:pStyle w:val="Footer"/>
          <w:jc w:val="center"/>
          <w:rPr>
            <w:rFonts w:ascii="Arial" w:hAnsi="Arial" w:cs="Arial"/>
            <w:sz w:val="18"/>
            <w:szCs w:val="18"/>
          </w:rPr>
        </w:pPr>
        <w:r w:rsidRPr="0009374F">
          <w:rPr>
            <w:rFonts w:ascii="Arial" w:hAnsi="Arial" w:cs="Arial"/>
            <w:sz w:val="18"/>
            <w:szCs w:val="18"/>
          </w:rPr>
          <w:fldChar w:fldCharType="begin"/>
        </w:r>
        <w:r w:rsidRPr="0009374F">
          <w:rPr>
            <w:rFonts w:ascii="Arial" w:hAnsi="Arial" w:cs="Arial"/>
            <w:sz w:val="18"/>
            <w:szCs w:val="18"/>
          </w:rPr>
          <w:instrText xml:space="preserve"> PAGE   \* MERGEFORMAT </w:instrText>
        </w:r>
        <w:r w:rsidRPr="0009374F">
          <w:rPr>
            <w:rFonts w:ascii="Arial" w:hAnsi="Arial" w:cs="Arial"/>
            <w:sz w:val="18"/>
            <w:szCs w:val="18"/>
          </w:rPr>
          <w:fldChar w:fldCharType="separate"/>
        </w:r>
        <w:r w:rsidR="00C50E61">
          <w:rPr>
            <w:rFonts w:ascii="Arial" w:hAnsi="Arial" w:cs="Arial"/>
            <w:noProof/>
            <w:sz w:val="18"/>
            <w:szCs w:val="18"/>
          </w:rPr>
          <w:t>4</w:t>
        </w:r>
        <w:r w:rsidRPr="0009374F">
          <w:rPr>
            <w:rFonts w:ascii="Arial" w:hAnsi="Arial" w:cs="Arial"/>
            <w:noProof/>
            <w:sz w:val="18"/>
            <w:szCs w:val="18"/>
          </w:rPr>
          <w:fldChar w:fldCharType="end"/>
        </w:r>
      </w:p>
    </w:sdtContent>
  </w:sdt>
  <w:p w14:paraId="6EC423D5" w14:textId="77777777" w:rsidR="008B2543" w:rsidRPr="0009374F" w:rsidRDefault="002C197B" w:rsidP="00971465">
    <w:pPr>
      <w:pStyle w:val="Footer"/>
      <w:spacing w:after="120"/>
      <w:ind w:right="-330"/>
      <w:jc w:val="center"/>
      <w:rPr>
        <w:rFonts w:ascii="Arial" w:hAnsi="Arial" w:cs="Arial"/>
        <w:sz w:val="18"/>
        <w:szCs w:val="18"/>
      </w:rPr>
    </w:pPr>
    <w:r w:rsidRPr="0009374F">
      <w:rPr>
        <w:rFonts w:ascii="Arial" w:hAnsi="Arial" w:cs="Arial"/>
        <w:sz w:val="18"/>
        <w:szCs w:val="18"/>
      </w:rPr>
      <w:t>Law of Evidence for Forensic Scientists</w:t>
    </w:r>
    <w:r w:rsidR="00971465" w:rsidRPr="0009374F">
      <w:rPr>
        <w:rFonts w:ascii="Arial" w:hAnsi="Arial" w:cs="Arial"/>
        <w:sz w:val="18"/>
        <w:szCs w:val="18"/>
      </w:rPr>
      <w:t xml:space="preserve"> (LW</w:t>
    </w:r>
    <w:r w:rsidRPr="0009374F">
      <w:rPr>
        <w:rFonts w:ascii="Arial" w:hAnsi="Arial" w:cs="Arial"/>
        <w:sz w:val="18"/>
        <w:szCs w:val="18"/>
      </w:rPr>
      <w:t>573</w:t>
    </w:r>
    <w:r w:rsidR="00971465" w:rsidRPr="0009374F">
      <w:rPr>
        <w:rFonts w:ascii="Arial" w:hAnsi="Arial" w:cs="Arial"/>
        <w:sz w:val="18"/>
        <w:szCs w:val="18"/>
      </w:rPr>
      <w:t xml:space="preserve">) - </w:t>
    </w:r>
    <w:r w:rsidR="008B2543" w:rsidRPr="0009374F">
      <w:rPr>
        <w:rFonts w:ascii="Arial" w:hAnsi="Arial" w:cs="Arial"/>
        <w:sz w:val="18"/>
        <w:szCs w:val="18"/>
      </w:rPr>
      <w:t>(</w:t>
    </w:r>
    <w:r w:rsidR="00971465" w:rsidRPr="0009374F">
      <w:rPr>
        <w:rFonts w:ascii="Arial" w:hAnsi="Arial" w:cs="Arial"/>
        <w:sz w:val="18"/>
        <w:szCs w:val="18"/>
      </w:rPr>
      <w:t xml:space="preserve">Sept. </w:t>
    </w:r>
    <w:r w:rsidR="00710A91" w:rsidRPr="0009374F">
      <w:rPr>
        <w:rFonts w:ascii="Arial" w:hAnsi="Arial" w:cs="Arial"/>
        <w:sz w:val="18"/>
        <w:szCs w:val="18"/>
      </w:rPr>
      <w:t xml:space="preserve">2020 </w:t>
    </w:r>
    <w:r w:rsidR="00971465" w:rsidRPr="0009374F">
      <w:rPr>
        <w:rFonts w:ascii="Arial" w:hAnsi="Arial" w:cs="Arial"/>
        <w:sz w:val="18"/>
        <w:szCs w:val="18"/>
      </w:rPr>
      <w:t>onwards</w:t>
    </w:r>
    <w:r w:rsidR="008B2543" w:rsidRPr="0009374F">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DF1D" w14:textId="77777777" w:rsidR="00F75134" w:rsidRDefault="00F75134" w:rsidP="009A2D37">
      <w:pPr>
        <w:spacing w:after="0" w:line="240" w:lineRule="auto"/>
      </w:pPr>
      <w:r>
        <w:separator/>
      </w:r>
    </w:p>
  </w:footnote>
  <w:footnote w:type="continuationSeparator" w:id="0">
    <w:p w14:paraId="2507A235" w14:textId="77777777" w:rsidR="00F75134" w:rsidRDefault="00F75134" w:rsidP="009A2D37">
      <w:pPr>
        <w:spacing w:after="0" w:line="240" w:lineRule="auto"/>
      </w:pPr>
      <w:r>
        <w:continuationSeparator/>
      </w:r>
    </w:p>
  </w:footnote>
  <w:footnote w:type="continuationNotice" w:id="1">
    <w:p w14:paraId="178FA6FA" w14:textId="77777777" w:rsidR="00F75134" w:rsidRDefault="00F75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70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1F7B94" wp14:editId="57D4C53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A8ADFA" w14:textId="77777777" w:rsidR="008B2543" w:rsidRPr="008C00F8" w:rsidRDefault="008B2543" w:rsidP="005E6D38">
    <w:pPr>
      <w:pStyle w:val="Heading1"/>
      <w:spacing w:before="60" w:after="60"/>
      <w:rPr>
        <w:rFonts w:ascii="Arial" w:hAnsi="Arial" w:cs="Arial"/>
      </w:rPr>
    </w:pPr>
  </w:p>
  <w:p w14:paraId="16271F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A5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EB0C4" wp14:editId="1AF0044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104C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21EA1"/>
    <w:multiLevelType w:val="hybridMultilevel"/>
    <w:tmpl w:val="3B8A6E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C3561D"/>
    <w:multiLevelType w:val="hybridMultilevel"/>
    <w:tmpl w:val="DE0C27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9B3834"/>
    <w:multiLevelType w:val="hybridMultilevel"/>
    <w:tmpl w:val="A2CE4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D518DB"/>
    <w:multiLevelType w:val="hybridMultilevel"/>
    <w:tmpl w:val="797609A2"/>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EDE543F"/>
    <w:multiLevelType w:val="hybridMultilevel"/>
    <w:tmpl w:val="91CEF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DE3DB1"/>
    <w:multiLevelType w:val="hybridMultilevel"/>
    <w:tmpl w:val="048E14CC"/>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64C41C6"/>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71EB1559"/>
    <w:multiLevelType w:val="hybridMultilevel"/>
    <w:tmpl w:val="AF9206EC"/>
    <w:lvl w:ilvl="0" w:tplc="F4C82308">
      <w:start w:val="1"/>
      <w:numFmt w:val="bullet"/>
      <w:lvlText w:val=""/>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5"/>
  </w:num>
  <w:num w:numId="6">
    <w:abstractNumId w:val="13"/>
  </w:num>
  <w:num w:numId="7">
    <w:abstractNumId w:val="20"/>
  </w:num>
  <w:num w:numId="8">
    <w:abstractNumId w:val="14"/>
  </w:num>
  <w:num w:numId="9">
    <w:abstractNumId w:val="19"/>
  </w:num>
  <w:num w:numId="10">
    <w:abstractNumId w:val="12"/>
  </w:num>
  <w:num w:numId="11">
    <w:abstractNumId w:val="4"/>
  </w:num>
  <w:num w:numId="12">
    <w:abstractNumId w:val="5"/>
  </w:num>
  <w:num w:numId="13">
    <w:abstractNumId w:val="3"/>
  </w:num>
  <w:num w:numId="14">
    <w:abstractNumId w:val="9"/>
  </w:num>
  <w:num w:numId="15">
    <w:abstractNumId w:val="18"/>
  </w:num>
  <w:num w:numId="16">
    <w:abstractNumId w:val="11"/>
  </w:num>
  <w:num w:numId="17">
    <w:abstractNumId w:val="2"/>
  </w:num>
  <w:num w:numId="18">
    <w:abstractNumId w:val="6"/>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B1"/>
    <w:rsid w:val="00000C8C"/>
    <w:rsid w:val="000017F2"/>
    <w:rsid w:val="00002762"/>
    <w:rsid w:val="00005661"/>
    <w:rsid w:val="00010A16"/>
    <w:rsid w:val="0001243F"/>
    <w:rsid w:val="00021EA0"/>
    <w:rsid w:val="00025992"/>
    <w:rsid w:val="00027937"/>
    <w:rsid w:val="00030C9E"/>
    <w:rsid w:val="00031E67"/>
    <w:rsid w:val="000408CC"/>
    <w:rsid w:val="00045373"/>
    <w:rsid w:val="00063220"/>
    <w:rsid w:val="00063A2F"/>
    <w:rsid w:val="000678D3"/>
    <w:rsid w:val="0007557C"/>
    <w:rsid w:val="00081B27"/>
    <w:rsid w:val="0009374F"/>
    <w:rsid w:val="00094810"/>
    <w:rsid w:val="00096F5D"/>
    <w:rsid w:val="000A3DE3"/>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C3A"/>
    <w:rsid w:val="00180558"/>
    <w:rsid w:val="001811E5"/>
    <w:rsid w:val="00183B34"/>
    <w:rsid w:val="00185F46"/>
    <w:rsid w:val="00196C6A"/>
    <w:rsid w:val="0019787E"/>
    <w:rsid w:val="001A102A"/>
    <w:rsid w:val="001A425B"/>
    <w:rsid w:val="001B1B28"/>
    <w:rsid w:val="001B27FB"/>
    <w:rsid w:val="001C2D30"/>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0D82"/>
    <w:rsid w:val="00235FD3"/>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5B78"/>
    <w:rsid w:val="002B20F5"/>
    <w:rsid w:val="002B2A1A"/>
    <w:rsid w:val="002B71F2"/>
    <w:rsid w:val="002C06EB"/>
    <w:rsid w:val="002C197B"/>
    <w:rsid w:val="002C3678"/>
    <w:rsid w:val="002E5DEA"/>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2A76"/>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0302"/>
    <w:rsid w:val="003D4A1C"/>
    <w:rsid w:val="003D5E46"/>
    <w:rsid w:val="003D7AA0"/>
    <w:rsid w:val="003E1FF7"/>
    <w:rsid w:val="003E311D"/>
    <w:rsid w:val="003E53EE"/>
    <w:rsid w:val="003F4470"/>
    <w:rsid w:val="003F5A04"/>
    <w:rsid w:val="003F67CD"/>
    <w:rsid w:val="00402ED7"/>
    <w:rsid w:val="004114F8"/>
    <w:rsid w:val="00422B69"/>
    <w:rsid w:val="00423D86"/>
    <w:rsid w:val="00424C90"/>
    <w:rsid w:val="00436BE9"/>
    <w:rsid w:val="00441E76"/>
    <w:rsid w:val="004443DA"/>
    <w:rsid w:val="004474A2"/>
    <w:rsid w:val="00453808"/>
    <w:rsid w:val="00460925"/>
    <w:rsid w:val="00471C6C"/>
    <w:rsid w:val="00472023"/>
    <w:rsid w:val="00486993"/>
    <w:rsid w:val="00492DA4"/>
    <w:rsid w:val="00496AA3"/>
    <w:rsid w:val="00497C98"/>
    <w:rsid w:val="004A39D7"/>
    <w:rsid w:val="004A55FA"/>
    <w:rsid w:val="004C1EC4"/>
    <w:rsid w:val="004D035C"/>
    <w:rsid w:val="004D12EF"/>
    <w:rsid w:val="004E558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0AFB"/>
    <w:rsid w:val="006050CF"/>
    <w:rsid w:val="0061362E"/>
    <w:rsid w:val="006253AA"/>
    <w:rsid w:val="00626023"/>
    <w:rsid w:val="00633150"/>
    <w:rsid w:val="00635D8A"/>
    <w:rsid w:val="00637A50"/>
    <w:rsid w:val="00641D6D"/>
    <w:rsid w:val="006438F3"/>
    <w:rsid w:val="00647907"/>
    <w:rsid w:val="00651A82"/>
    <w:rsid w:val="006525E9"/>
    <w:rsid w:val="00652CB1"/>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1766"/>
    <w:rsid w:val="00703404"/>
    <w:rsid w:val="00703F79"/>
    <w:rsid w:val="00703F92"/>
    <w:rsid w:val="00704637"/>
    <w:rsid w:val="007103E4"/>
    <w:rsid w:val="007105E4"/>
    <w:rsid w:val="00710A91"/>
    <w:rsid w:val="00714EE5"/>
    <w:rsid w:val="00720270"/>
    <w:rsid w:val="00720F2C"/>
    <w:rsid w:val="00724362"/>
    <w:rsid w:val="00725CCE"/>
    <w:rsid w:val="00727780"/>
    <w:rsid w:val="0073792C"/>
    <w:rsid w:val="00737A25"/>
    <w:rsid w:val="00754069"/>
    <w:rsid w:val="00763508"/>
    <w:rsid w:val="00764C76"/>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4E84"/>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28D7"/>
    <w:rsid w:val="00947180"/>
    <w:rsid w:val="009567BE"/>
    <w:rsid w:val="009676FA"/>
    <w:rsid w:val="009679E0"/>
    <w:rsid w:val="00971465"/>
    <w:rsid w:val="00973FC3"/>
    <w:rsid w:val="00977632"/>
    <w:rsid w:val="009816D9"/>
    <w:rsid w:val="009829EE"/>
    <w:rsid w:val="00982A8E"/>
    <w:rsid w:val="009866BD"/>
    <w:rsid w:val="00987DB4"/>
    <w:rsid w:val="00996204"/>
    <w:rsid w:val="009A26CB"/>
    <w:rsid w:val="009A2D37"/>
    <w:rsid w:val="009A7587"/>
    <w:rsid w:val="009B0A69"/>
    <w:rsid w:val="009B5B0B"/>
    <w:rsid w:val="009B79AE"/>
    <w:rsid w:val="009C2474"/>
    <w:rsid w:val="009C7082"/>
    <w:rsid w:val="009D0006"/>
    <w:rsid w:val="009D068C"/>
    <w:rsid w:val="009F3A2A"/>
    <w:rsid w:val="009F731F"/>
    <w:rsid w:val="00A021FE"/>
    <w:rsid w:val="00A04135"/>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AF733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138"/>
    <w:rsid w:val="00BD0EF8"/>
    <w:rsid w:val="00BD7A8C"/>
    <w:rsid w:val="00BE2126"/>
    <w:rsid w:val="00BE3A59"/>
    <w:rsid w:val="00BE3B17"/>
    <w:rsid w:val="00BF51AB"/>
    <w:rsid w:val="00BF716B"/>
    <w:rsid w:val="00BF7233"/>
    <w:rsid w:val="00C02AA2"/>
    <w:rsid w:val="00C04C95"/>
    <w:rsid w:val="00C07A56"/>
    <w:rsid w:val="00C12613"/>
    <w:rsid w:val="00C1298D"/>
    <w:rsid w:val="00C16DEF"/>
    <w:rsid w:val="00C2492F"/>
    <w:rsid w:val="00C31031"/>
    <w:rsid w:val="00C32376"/>
    <w:rsid w:val="00C3744A"/>
    <w:rsid w:val="00C4002A"/>
    <w:rsid w:val="00C46912"/>
    <w:rsid w:val="00C50E61"/>
    <w:rsid w:val="00C612A8"/>
    <w:rsid w:val="00C67631"/>
    <w:rsid w:val="00C729D7"/>
    <w:rsid w:val="00C83354"/>
    <w:rsid w:val="00C84004"/>
    <w:rsid w:val="00C843F6"/>
    <w:rsid w:val="00C84507"/>
    <w:rsid w:val="00C862C7"/>
    <w:rsid w:val="00CA3254"/>
    <w:rsid w:val="00CB11CE"/>
    <w:rsid w:val="00CC25A2"/>
    <w:rsid w:val="00CC4C72"/>
    <w:rsid w:val="00CD7F07"/>
    <w:rsid w:val="00CE04F3"/>
    <w:rsid w:val="00CE12D8"/>
    <w:rsid w:val="00CE4574"/>
    <w:rsid w:val="00CE70E6"/>
    <w:rsid w:val="00CE725A"/>
    <w:rsid w:val="00CF2E1E"/>
    <w:rsid w:val="00D02E99"/>
    <w:rsid w:val="00D07DE7"/>
    <w:rsid w:val="00D13357"/>
    <w:rsid w:val="00D13A13"/>
    <w:rsid w:val="00D209E5"/>
    <w:rsid w:val="00D2689A"/>
    <w:rsid w:val="00D35E3E"/>
    <w:rsid w:val="00D65506"/>
    <w:rsid w:val="00D71DF4"/>
    <w:rsid w:val="00D773CF"/>
    <w:rsid w:val="00D821AE"/>
    <w:rsid w:val="00D83563"/>
    <w:rsid w:val="00D8448F"/>
    <w:rsid w:val="00D93B53"/>
    <w:rsid w:val="00DA64B6"/>
    <w:rsid w:val="00DB57AC"/>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5611"/>
    <w:rsid w:val="00EA6558"/>
    <w:rsid w:val="00EA6A93"/>
    <w:rsid w:val="00EB1C2D"/>
    <w:rsid w:val="00EC1810"/>
    <w:rsid w:val="00EC3FCC"/>
    <w:rsid w:val="00EC432B"/>
    <w:rsid w:val="00ED32FF"/>
    <w:rsid w:val="00ED3657"/>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36B1"/>
    <w:rsid w:val="00F66348"/>
    <w:rsid w:val="00F7105A"/>
    <w:rsid w:val="00F72AD5"/>
    <w:rsid w:val="00F7513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9CD32"/>
  <w15:docId w15:val="{44D6583C-9E18-4C76-AA24-98A19B3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25C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E4986-A4C9-4FB5-9D0B-C1057EA4F480}">
  <ds:schemaRefs>
    <ds:schemaRef ds:uri="http://schemas.openxmlformats.org/officeDocument/2006/bibliography"/>
  </ds:schemaRefs>
</ds:datastoreItem>
</file>

<file path=customXml/itemProps2.xml><?xml version="1.0" encoding="utf-8"?>
<ds:datastoreItem xmlns:ds="http://schemas.openxmlformats.org/officeDocument/2006/customXml" ds:itemID="{362963BD-0B96-460A-8B31-20051D160378}"/>
</file>

<file path=customXml/itemProps3.xml><?xml version="1.0" encoding="utf-8"?>
<ds:datastoreItem xmlns:ds="http://schemas.openxmlformats.org/officeDocument/2006/customXml" ds:itemID="{5919F0BB-DBB1-4DA2-9EDE-046EA6E7D4C9}"/>
</file>

<file path=customXml/itemProps4.xml><?xml version="1.0" encoding="utf-8"?>
<ds:datastoreItem xmlns:ds="http://schemas.openxmlformats.org/officeDocument/2006/customXml" ds:itemID="{4309B30F-C875-49F7-85A8-2FE9F201CA86}"/>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Laura Mould</cp:lastModifiedBy>
  <cp:revision>5</cp:revision>
  <cp:lastPrinted>2015-09-24T14:18:00Z</cp:lastPrinted>
  <dcterms:created xsi:type="dcterms:W3CDTF">2020-01-20T09:59:00Z</dcterms:created>
  <dcterms:modified xsi:type="dcterms:W3CDTF">2022-03-04T12:37:00Z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