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737F85" w:rsidRDefault="00BB3262" w:rsidP="00696FF5">
      <w:pPr>
        <w:spacing w:after="120" w:line="240" w:lineRule="auto"/>
        <w:ind w:left="567" w:right="260"/>
        <w:jc w:val="both"/>
        <w:rPr>
          <w:rFonts w:ascii="Arial" w:hAnsi="Arial" w:cs="Arial"/>
          <w:iCs/>
        </w:rPr>
      </w:pPr>
      <w:r>
        <w:rPr>
          <w:rFonts w:ascii="Arial" w:hAnsi="Arial" w:cs="Arial"/>
        </w:rPr>
        <w:t>HIST8860 (</w:t>
      </w:r>
      <w:r w:rsidR="00786FCB" w:rsidRPr="00786FCB">
        <w:rPr>
          <w:rFonts w:ascii="Arial" w:hAnsi="Arial" w:cs="Arial"/>
        </w:rPr>
        <w:t>HI8</w:t>
      </w:r>
      <w:r w:rsidR="00DB4999">
        <w:rPr>
          <w:rFonts w:ascii="Arial" w:hAnsi="Arial" w:cs="Arial"/>
        </w:rPr>
        <w:t>86</w:t>
      </w:r>
      <w:r>
        <w:rPr>
          <w:rFonts w:ascii="Arial" w:hAnsi="Arial" w:cs="Arial"/>
        </w:rPr>
        <w:t>)</w:t>
      </w:r>
      <w:r w:rsidR="00786FCB" w:rsidRPr="00786FCB">
        <w:rPr>
          <w:rFonts w:ascii="Arial" w:hAnsi="Arial" w:cs="Arial"/>
        </w:rPr>
        <w:t xml:space="preserve"> </w:t>
      </w:r>
      <w:r w:rsidR="00DB4999" w:rsidRPr="00DB4999">
        <w:rPr>
          <w:rFonts w:ascii="Arial" w:hAnsi="Arial" w:cs="Arial"/>
        </w:rPr>
        <w:t>Desperate Romantics and Vicious Reactionaries. Europe after Napoleon 1815-1849</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proofErr w:type="gramStart"/>
      <w:r w:rsidR="00750158">
        <w:rPr>
          <w:rFonts w:ascii="Arial" w:hAnsi="Arial" w:cs="Arial"/>
        </w:rPr>
        <w:t>7</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C7515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737F85">
        <w:rPr>
          <w:rFonts w:ascii="Arial" w:hAnsi="Arial" w:cs="Arial"/>
          <w:sz w:val="22"/>
          <w:szCs w:val="22"/>
        </w:rPr>
        <w:t>0 Credits (</w:t>
      </w:r>
      <w:r>
        <w:rPr>
          <w:rFonts w:ascii="Arial" w:hAnsi="Arial" w:cs="Arial"/>
          <w:sz w:val="22"/>
          <w:szCs w:val="22"/>
        </w:rPr>
        <w:t>15</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5015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DB4999" w:rsidP="00786FCB">
      <w:pPr>
        <w:spacing w:after="120" w:line="240" w:lineRule="auto"/>
        <w:ind w:left="567" w:right="260"/>
        <w:jc w:val="both"/>
        <w:rPr>
          <w:rFonts w:ascii="Arial" w:hAnsi="Arial" w:cs="Arial"/>
        </w:rPr>
      </w:pPr>
      <w:r w:rsidRPr="00DB4999">
        <w:rPr>
          <w:rFonts w:ascii="Arial" w:hAnsi="Arial" w:cs="Arial"/>
          <w:iCs/>
        </w:rPr>
        <w:t>Modern History MA, Imperial History MA, &amp; War, Media and Society MA</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8.1 </w:t>
      </w:r>
      <w:r w:rsidRPr="00DB4999">
        <w:rPr>
          <w:rFonts w:ascii="Arial" w:hAnsi="Arial" w:cs="Arial"/>
        </w:rPr>
        <w:t>Demonstrate an enhanced and sophisticated understanding of the political, diplomatic, intellectual, cultural and social history of the History of the European Restorations 1815-1849.</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8.2 </w:t>
      </w:r>
      <w:r w:rsidRPr="00DB4999">
        <w:rPr>
          <w:rFonts w:ascii="Arial" w:hAnsi="Arial" w:cs="Arial"/>
        </w:rPr>
        <w:t>Demonstrate a</w:t>
      </w:r>
      <w:r w:rsidR="00CD105D">
        <w:rPr>
          <w:rFonts w:ascii="Arial" w:hAnsi="Arial" w:cs="Arial"/>
        </w:rPr>
        <w:t xml:space="preserve"> systematic</w:t>
      </w:r>
      <w:r w:rsidRPr="00DB4999">
        <w:rPr>
          <w:rFonts w:ascii="Arial" w:hAnsi="Arial" w:cs="Arial"/>
        </w:rPr>
        <w:t xml:space="preserve"> understanding of advanced concepts in historiography, intellectual thought, political theory and post-imperial Europe.</w:t>
      </w:r>
    </w:p>
    <w:p w:rsidR="001F04DB" w:rsidRPr="00D73023" w:rsidRDefault="00DB4999" w:rsidP="00DB4999">
      <w:pPr>
        <w:spacing w:after="120" w:line="240" w:lineRule="auto"/>
        <w:ind w:left="567" w:right="260"/>
        <w:rPr>
          <w:rFonts w:ascii="Arial" w:hAnsi="Arial" w:cs="Arial"/>
        </w:rPr>
      </w:pPr>
      <w:r>
        <w:rPr>
          <w:rFonts w:ascii="Arial" w:hAnsi="Arial" w:cs="Arial"/>
        </w:rPr>
        <w:t xml:space="preserve">8.3 </w:t>
      </w:r>
      <w:r w:rsidRPr="00DB4999">
        <w:rPr>
          <w:rFonts w:ascii="Arial" w:hAnsi="Arial" w:cs="Arial"/>
        </w:rPr>
        <w:t>Demonstrate an enhanced capability to understand complex and multi-</w:t>
      </w:r>
      <w:proofErr w:type="spellStart"/>
      <w:r w:rsidRPr="00DB4999">
        <w:rPr>
          <w:rFonts w:ascii="Arial" w:hAnsi="Arial" w:cs="Arial"/>
        </w:rPr>
        <w:t>valent</w:t>
      </w:r>
      <w:proofErr w:type="spellEnd"/>
      <w:r w:rsidRPr="00DB4999">
        <w:rPr>
          <w:rFonts w:ascii="Arial" w:hAnsi="Arial" w:cs="Arial"/>
        </w:rPr>
        <w:t xml:space="preserve"> movements like </w:t>
      </w:r>
      <w:proofErr w:type="spellStart"/>
      <w:r w:rsidRPr="00DB4999">
        <w:rPr>
          <w:rFonts w:ascii="Arial" w:hAnsi="Arial" w:cs="Arial"/>
        </w:rPr>
        <w:t>dynasticism</w:t>
      </w:r>
      <w:proofErr w:type="spellEnd"/>
      <w:r w:rsidRPr="00DB4999">
        <w:rPr>
          <w:rFonts w:ascii="Arial" w:hAnsi="Arial" w:cs="Arial"/>
        </w:rPr>
        <w:t>, counter-revolution, conservatism, liberalism, socialism, romanticism and nationalism.</w:t>
      </w:r>
    </w:p>
    <w:p w:rsidR="0014564C" w:rsidRPr="0014564C" w:rsidRDefault="0014564C" w:rsidP="0014564C">
      <w:pPr>
        <w:spacing w:after="12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9.1 </w:t>
      </w:r>
      <w:r w:rsidRPr="00DB4999">
        <w:rPr>
          <w:rFonts w:ascii="Arial" w:hAnsi="Arial" w:cs="Arial"/>
        </w:rPr>
        <w:t>Demonstrate their mental flexibility</w:t>
      </w:r>
      <w:r w:rsidR="00CD105D">
        <w:rPr>
          <w:rFonts w:ascii="Arial" w:hAnsi="Arial" w:cs="Arial"/>
        </w:rPr>
        <w:t xml:space="preserve"> in dealing with complex issues</w:t>
      </w:r>
      <w:r w:rsidRPr="00DB4999">
        <w:rPr>
          <w:rFonts w:ascii="Arial" w:hAnsi="Arial" w:cs="Arial"/>
        </w:rPr>
        <w:t>.</w:t>
      </w:r>
    </w:p>
    <w:p w:rsidR="00DB4999" w:rsidRPr="00DB4999" w:rsidRDefault="00DB4999" w:rsidP="00DB4999">
      <w:pPr>
        <w:spacing w:after="120" w:line="240" w:lineRule="auto"/>
        <w:ind w:left="567" w:right="260"/>
        <w:rPr>
          <w:rFonts w:ascii="Arial" w:hAnsi="Arial" w:cs="Arial"/>
        </w:rPr>
      </w:pPr>
      <w:r w:rsidRPr="00DB4999">
        <w:rPr>
          <w:rFonts w:ascii="Arial" w:hAnsi="Arial" w:cs="Arial"/>
        </w:rPr>
        <w:t>9.</w:t>
      </w:r>
      <w:r>
        <w:rPr>
          <w:rFonts w:ascii="Arial" w:hAnsi="Arial" w:cs="Arial"/>
        </w:rPr>
        <w:t xml:space="preserve">2 </w:t>
      </w:r>
      <w:r w:rsidRPr="00DB4999">
        <w:rPr>
          <w:rFonts w:ascii="Arial" w:hAnsi="Arial" w:cs="Arial"/>
        </w:rPr>
        <w:t>Sustain concentration and aim</w:t>
      </w:r>
      <w:r w:rsidR="00CD105D">
        <w:rPr>
          <w:rFonts w:ascii="Arial" w:hAnsi="Arial" w:cs="Arial"/>
        </w:rPr>
        <w:t xml:space="preserve"> in the application of advanced knowledge and techniques</w:t>
      </w:r>
      <w:r w:rsidRPr="00DB4999">
        <w:rPr>
          <w:rFonts w:ascii="Arial" w:hAnsi="Arial" w:cs="Arial"/>
        </w:rPr>
        <w:t>.</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9.3 </w:t>
      </w:r>
      <w:r w:rsidRPr="00DB4999">
        <w:rPr>
          <w:rFonts w:ascii="Arial" w:hAnsi="Arial" w:cs="Arial"/>
        </w:rPr>
        <w:t>Construct</w:t>
      </w:r>
      <w:r w:rsidR="00CD105D">
        <w:rPr>
          <w:rFonts w:ascii="Arial" w:hAnsi="Arial" w:cs="Arial"/>
        </w:rPr>
        <w:t xml:space="preserve"> detailed and</w:t>
      </w:r>
      <w:r w:rsidRPr="00DB4999">
        <w:rPr>
          <w:rFonts w:ascii="Arial" w:hAnsi="Arial" w:cs="Arial"/>
        </w:rPr>
        <w:t xml:space="preserve"> coherent</w:t>
      </w:r>
      <w:r w:rsidR="00CD105D">
        <w:rPr>
          <w:rFonts w:ascii="Arial" w:hAnsi="Arial" w:cs="Arial"/>
        </w:rPr>
        <w:t xml:space="preserve"> </w:t>
      </w:r>
      <w:r w:rsidRPr="00DB4999">
        <w:rPr>
          <w:rFonts w:ascii="Arial" w:hAnsi="Arial" w:cs="Arial"/>
        </w:rPr>
        <w:t xml:space="preserve">written and oral </w:t>
      </w:r>
      <w:proofErr w:type="gramStart"/>
      <w:r w:rsidRPr="00DB4999">
        <w:rPr>
          <w:rFonts w:ascii="Arial" w:hAnsi="Arial" w:cs="Arial"/>
        </w:rPr>
        <w:t>arguments</w:t>
      </w:r>
      <w:r w:rsidR="00CD105D">
        <w:rPr>
          <w:rFonts w:ascii="Arial" w:hAnsi="Arial" w:cs="Arial"/>
        </w:rPr>
        <w:t xml:space="preserve"> which</w:t>
      </w:r>
      <w:proofErr w:type="gramEnd"/>
      <w:r w:rsidR="00CD105D">
        <w:rPr>
          <w:rFonts w:ascii="Arial" w:hAnsi="Arial" w:cs="Arial"/>
        </w:rPr>
        <w:t xml:space="preserve"> address complex issues</w:t>
      </w:r>
      <w:r w:rsidRPr="00DB4999">
        <w:rPr>
          <w:rFonts w:ascii="Arial" w:hAnsi="Arial" w:cs="Arial"/>
        </w:rPr>
        <w:t>.</w:t>
      </w:r>
    </w:p>
    <w:p w:rsidR="00DB4999" w:rsidRPr="00DB4999" w:rsidRDefault="00DB4999" w:rsidP="00DB4999">
      <w:pPr>
        <w:spacing w:after="120" w:line="240" w:lineRule="auto"/>
        <w:ind w:left="567" w:right="260"/>
        <w:rPr>
          <w:rFonts w:ascii="Arial" w:hAnsi="Arial" w:cs="Arial"/>
        </w:rPr>
      </w:pPr>
      <w:r>
        <w:rPr>
          <w:rFonts w:ascii="Arial" w:hAnsi="Arial" w:cs="Arial"/>
        </w:rPr>
        <w:t xml:space="preserve">9.4 </w:t>
      </w:r>
      <w:r w:rsidRPr="00DB4999">
        <w:rPr>
          <w:rFonts w:ascii="Arial" w:hAnsi="Arial" w:cs="Arial"/>
        </w:rPr>
        <w:t>Research</w:t>
      </w:r>
      <w:r w:rsidR="00CD105D">
        <w:rPr>
          <w:rFonts w:ascii="Arial" w:hAnsi="Arial" w:cs="Arial"/>
        </w:rPr>
        <w:t xml:space="preserve"> and critically evaluate</w:t>
      </w:r>
      <w:r w:rsidRPr="00DB4999">
        <w:rPr>
          <w:rFonts w:ascii="Arial" w:hAnsi="Arial" w:cs="Arial"/>
        </w:rPr>
        <w:t xml:space="preserve"> different </w:t>
      </w:r>
      <w:r w:rsidR="00CD105D">
        <w:rPr>
          <w:rFonts w:ascii="Arial" w:hAnsi="Arial" w:cs="Arial"/>
        </w:rPr>
        <w:t>types of complex sources</w:t>
      </w:r>
      <w:r w:rsidRPr="00DB4999">
        <w:rPr>
          <w:rFonts w:ascii="Arial" w:hAnsi="Arial" w:cs="Arial"/>
        </w:rPr>
        <w:t>.</w:t>
      </w:r>
    </w:p>
    <w:p w:rsidR="00D73023" w:rsidRPr="00D73023" w:rsidRDefault="00DB4999" w:rsidP="00DB4999">
      <w:pPr>
        <w:spacing w:after="120" w:line="240" w:lineRule="auto"/>
        <w:ind w:left="567" w:right="260"/>
        <w:rPr>
          <w:rFonts w:ascii="Arial" w:hAnsi="Arial" w:cs="Arial"/>
        </w:rPr>
      </w:pPr>
      <w:r>
        <w:rPr>
          <w:rFonts w:ascii="Arial" w:hAnsi="Arial" w:cs="Arial"/>
        </w:rPr>
        <w:t xml:space="preserve">9.5 </w:t>
      </w:r>
      <w:r w:rsidRPr="00DB4999">
        <w:rPr>
          <w:rFonts w:ascii="Arial" w:hAnsi="Arial" w:cs="Arial"/>
        </w:rPr>
        <w:t>Produce a</w:t>
      </w:r>
      <w:r w:rsidR="00CD105D">
        <w:rPr>
          <w:rFonts w:ascii="Arial" w:hAnsi="Arial" w:cs="Arial"/>
        </w:rPr>
        <w:t xml:space="preserve"> wide</w:t>
      </w:r>
      <w:r w:rsidRPr="00DB4999">
        <w:rPr>
          <w:rFonts w:ascii="Arial" w:hAnsi="Arial" w:cs="Arial"/>
        </w:rPr>
        <w:t xml:space="preserve"> variety of robust</w:t>
      </w:r>
      <w:r w:rsidR="00CD105D">
        <w:rPr>
          <w:rFonts w:ascii="Arial" w:hAnsi="Arial" w:cs="Arial"/>
        </w:rPr>
        <w:t xml:space="preserve"> and detailed</w:t>
      </w:r>
      <w:r w:rsidRPr="00DB4999">
        <w:rPr>
          <w:rFonts w:ascii="Arial" w:hAnsi="Arial" w:cs="Arial"/>
        </w:rPr>
        <w:t xml:space="preserve"> outputs</w:t>
      </w:r>
      <w:r w:rsidR="00CD105D">
        <w:rPr>
          <w:rFonts w:ascii="Arial" w:hAnsi="Arial" w:cs="Arial"/>
        </w:rPr>
        <w:t>, making use of in-depth historical knowledge and techniques</w:t>
      </w:r>
      <w:r w:rsidRPr="00DB4999">
        <w:rPr>
          <w:rFonts w:ascii="Arial" w:hAnsi="Arial" w:cs="Arial"/>
        </w:rPr>
        <w:t>.</w:t>
      </w:r>
      <w:r>
        <w:rPr>
          <w:rFonts w:ascii="Arial" w:hAnsi="Arial" w:cs="Arial"/>
        </w:rPr>
        <w:tab/>
      </w:r>
    </w:p>
    <w:p w:rsidR="00D73023" w:rsidRPr="00D73023" w:rsidRDefault="00D73023" w:rsidP="00D73023">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DB4999" w:rsidRPr="00DB4999" w:rsidRDefault="00DB4999" w:rsidP="00DB4999">
      <w:pPr>
        <w:spacing w:after="120" w:line="240" w:lineRule="auto"/>
        <w:ind w:left="567" w:right="260"/>
        <w:rPr>
          <w:rFonts w:ascii="Arial" w:hAnsi="Arial" w:cs="Arial"/>
          <w:iCs/>
        </w:rPr>
      </w:pPr>
      <w:r w:rsidRPr="00DB4999">
        <w:rPr>
          <w:rFonts w:ascii="Arial" w:hAnsi="Arial" w:cs="Arial"/>
          <w:iCs/>
        </w:rPr>
        <w:t xml:space="preserve">The period 1815-1848 </w:t>
      </w:r>
      <w:proofErr w:type="gramStart"/>
      <w:r w:rsidRPr="00DB4999">
        <w:rPr>
          <w:rFonts w:ascii="Arial" w:hAnsi="Arial" w:cs="Arial"/>
          <w:iCs/>
        </w:rPr>
        <w:t>is often seen</w:t>
      </w:r>
      <w:proofErr w:type="gramEnd"/>
      <w:r w:rsidRPr="00DB4999">
        <w:rPr>
          <w:rFonts w:ascii="Arial" w:hAnsi="Arial" w:cs="Arial"/>
          <w:iCs/>
        </w:rPr>
        <w:t xml:space="preserve"> as an age of stagnation, reaction and obscurantism when compared to the heroic revolutionary and Napoleonic maelstroms that had preceded it. There is a sense that, once the monarchs who attended the Congress of Vienna returned home, they turned the clocks back to 1789 and pretended that the previous decades had never happened. This is why the period </w:t>
      </w:r>
      <w:proofErr w:type="gramStart"/>
      <w:r w:rsidRPr="00DB4999">
        <w:rPr>
          <w:rFonts w:ascii="Arial" w:hAnsi="Arial" w:cs="Arial"/>
          <w:iCs/>
        </w:rPr>
        <w:t>is often given</w:t>
      </w:r>
      <w:proofErr w:type="gramEnd"/>
      <w:r w:rsidRPr="00DB4999">
        <w:rPr>
          <w:rFonts w:ascii="Arial" w:hAnsi="Arial" w:cs="Arial"/>
          <w:iCs/>
        </w:rPr>
        <w:t xml:space="preserve"> the label of the ‘Restoration.’ Nothing could be further from the truth. This was the age of Tocqueville, Turner, Balzac, Hugo, Schubert, Gogol, Hegel, Rossini, Bellini, Mazzini and </w:t>
      </w:r>
      <w:proofErr w:type="spellStart"/>
      <w:r w:rsidRPr="00DB4999">
        <w:rPr>
          <w:rFonts w:ascii="Arial" w:hAnsi="Arial" w:cs="Arial"/>
          <w:iCs/>
        </w:rPr>
        <w:t>Schinkel</w:t>
      </w:r>
      <w:proofErr w:type="spellEnd"/>
      <w:r w:rsidRPr="00DB4999">
        <w:rPr>
          <w:rFonts w:ascii="Arial" w:hAnsi="Arial" w:cs="Arial"/>
          <w:iCs/>
        </w:rPr>
        <w:t xml:space="preserve">. Europe was awash in political, international and cultural ferment. States could not just sweep reality under a carpet of </w:t>
      </w:r>
      <w:proofErr w:type="gramStart"/>
      <w:r w:rsidRPr="00DB4999">
        <w:rPr>
          <w:rFonts w:ascii="Arial" w:hAnsi="Arial" w:cs="Arial"/>
          <w:iCs/>
        </w:rPr>
        <w:t>reaction,</w:t>
      </w:r>
      <w:proofErr w:type="gramEnd"/>
      <w:r w:rsidRPr="00DB4999">
        <w:rPr>
          <w:rFonts w:ascii="Arial" w:hAnsi="Arial" w:cs="Arial"/>
          <w:iCs/>
        </w:rPr>
        <w:t xml:space="preserve"> Europeans struggled to reconcile their heroic revolutionary past with the need for stability in the present. This age witnessed the first experiments with modern parliamentary government and democracy ceased being shorthand for demagogy. Key terms, like liberalism, conservatism, socialism, and egotism, that remain foundational to our contemporary political lexicon, </w:t>
      </w:r>
      <w:proofErr w:type="gramStart"/>
      <w:r w:rsidRPr="00DB4999">
        <w:rPr>
          <w:rFonts w:ascii="Arial" w:hAnsi="Arial" w:cs="Arial"/>
          <w:iCs/>
        </w:rPr>
        <w:t>were all coined</w:t>
      </w:r>
      <w:proofErr w:type="gramEnd"/>
      <w:r w:rsidRPr="00DB4999">
        <w:rPr>
          <w:rFonts w:ascii="Arial" w:hAnsi="Arial" w:cs="Arial"/>
          <w:iCs/>
        </w:rPr>
        <w:t xml:space="preserve"> at this time. Equally, these years witnessed the great revolt against the austere classicism of the eighteenth century. Artists, novelists, poets, playwrights, philosophers and architects all sought keenly their inner genius and struggled to give life to their demons and monstrous passions. The movement known today as Romanticism was the result of this far from innocent soul-searching. It had repercussions that went well beyond the cultural sphere, spilling over into the world of politics, government, war and peace. </w:t>
      </w:r>
    </w:p>
    <w:p w:rsidR="00DB4999" w:rsidRPr="00DB4999" w:rsidRDefault="00DB4999" w:rsidP="00DB4999">
      <w:pPr>
        <w:spacing w:after="120" w:line="240" w:lineRule="auto"/>
        <w:ind w:left="567" w:right="260"/>
        <w:rPr>
          <w:rFonts w:ascii="Arial" w:hAnsi="Arial" w:cs="Arial"/>
          <w:iCs/>
        </w:rPr>
      </w:pPr>
    </w:p>
    <w:p w:rsidR="001F04DB" w:rsidRDefault="00DB4999" w:rsidP="00DB4999">
      <w:pPr>
        <w:spacing w:after="120" w:line="240" w:lineRule="auto"/>
        <w:ind w:left="567" w:right="260"/>
        <w:rPr>
          <w:rFonts w:ascii="Arial" w:hAnsi="Arial" w:cs="Arial"/>
          <w:iCs/>
        </w:rPr>
      </w:pPr>
      <w:r w:rsidRPr="00DB4999">
        <w:rPr>
          <w:rFonts w:ascii="Arial" w:hAnsi="Arial" w:cs="Arial"/>
          <w:iCs/>
        </w:rPr>
        <w:t xml:space="preserve">This module will introduce students to the latest research, theories and controversies surrounding the history of the European Restorations. Each week a theme, event or controversy </w:t>
      </w:r>
      <w:proofErr w:type="gramStart"/>
      <w:r w:rsidRPr="00DB4999">
        <w:rPr>
          <w:rFonts w:ascii="Arial" w:hAnsi="Arial" w:cs="Arial"/>
          <w:iCs/>
        </w:rPr>
        <w:t>will be chosen</w:t>
      </w:r>
      <w:proofErr w:type="gramEnd"/>
      <w:r w:rsidRPr="00DB4999">
        <w:rPr>
          <w:rFonts w:ascii="Arial" w:hAnsi="Arial" w:cs="Arial"/>
          <w:iCs/>
        </w:rPr>
        <w:t xml:space="preserve">. Students </w:t>
      </w:r>
      <w:proofErr w:type="gramStart"/>
      <w:r w:rsidRPr="00DB4999">
        <w:rPr>
          <w:rFonts w:ascii="Arial" w:hAnsi="Arial" w:cs="Arial"/>
          <w:iCs/>
        </w:rPr>
        <w:t>will be presented</w:t>
      </w:r>
      <w:proofErr w:type="gramEnd"/>
      <w:r w:rsidRPr="00DB4999">
        <w:rPr>
          <w:rFonts w:ascii="Arial" w:hAnsi="Arial" w:cs="Arial"/>
          <w:iCs/>
        </w:rPr>
        <w:t xml:space="preserve"> with a key historiographical text and a key primary source. Every week, they will try to gauge how well the interpretations and arguments of historians fit the period. The primary goal of this module is to demonstrate that, far from stagnant, the Post-Napoleonic age was a crucial </w:t>
      </w:r>
      <w:proofErr w:type="spellStart"/>
      <w:r w:rsidRPr="00DB4999">
        <w:rPr>
          <w:rFonts w:ascii="Arial" w:hAnsi="Arial" w:cs="Arial"/>
          <w:iCs/>
        </w:rPr>
        <w:t>étape</w:t>
      </w:r>
      <w:proofErr w:type="spellEnd"/>
      <w:r w:rsidRPr="00DB4999">
        <w:rPr>
          <w:rFonts w:ascii="Arial" w:hAnsi="Arial" w:cs="Arial"/>
          <w:iCs/>
        </w:rPr>
        <w:t xml:space="preserve"> in the transition to what we today understand as modernity.</w:t>
      </w:r>
    </w:p>
    <w:p w:rsidR="00370FE1" w:rsidRPr="00696A00" w:rsidRDefault="00370FE1"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M.S. Anderson, </w:t>
      </w:r>
      <w:proofErr w:type="gramStart"/>
      <w:r w:rsidRPr="004A2C6D">
        <w:rPr>
          <w:rFonts w:ascii="Arial" w:hAnsi="Arial" w:cs="Arial"/>
          <w:i/>
        </w:rPr>
        <w:t>The</w:t>
      </w:r>
      <w:proofErr w:type="gramEnd"/>
      <w:r w:rsidRPr="004A2C6D">
        <w:rPr>
          <w:rFonts w:ascii="Arial" w:hAnsi="Arial" w:cs="Arial"/>
          <w:i/>
        </w:rPr>
        <w:t xml:space="preserve"> Ascendancy of Europe: 1815-1914</w:t>
      </w:r>
      <w:r w:rsidRPr="004A2C6D">
        <w:rPr>
          <w:rFonts w:ascii="Arial" w:hAnsi="Arial" w:cs="Arial"/>
        </w:rPr>
        <w:t xml:space="preserve"> (London, 2003)</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Michael </w:t>
      </w:r>
      <w:proofErr w:type="spellStart"/>
      <w:r w:rsidRPr="004A2C6D">
        <w:rPr>
          <w:rFonts w:ascii="Arial" w:hAnsi="Arial" w:cs="Arial"/>
        </w:rPr>
        <w:t>Broers</w:t>
      </w:r>
      <w:proofErr w:type="spellEnd"/>
      <w:r w:rsidRPr="004A2C6D">
        <w:rPr>
          <w:rFonts w:ascii="Arial" w:hAnsi="Arial" w:cs="Arial"/>
        </w:rPr>
        <w:t xml:space="preserve">, </w:t>
      </w:r>
      <w:r w:rsidRPr="004A2C6D">
        <w:rPr>
          <w:rFonts w:ascii="Arial" w:hAnsi="Arial" w:cs="Arial"/>
          <w:i/>
        </w:rPr>
        <w:t xml:space="preserve">Europe </w:t>
      </w:r>
      <w:proofErr w:type="gramStart"/>
      <w:r w:rsidRPr="004A2C6D">
        <w:rPr>
          <w:rFonts w:ascii="Arial" w:hAnsi="Arial" w:cs="Arial"/>
          <w:i/>
        </w:rPr>
        <w:t>After</w:t>
      </w:r>
      <w:proofErr w:type="gramEnd"/>
      <w:r w:rsidRPr="004A2C6D">
        <w:rPr>
          <w:rFonts w:ascii="Arial" w:hAnsi="Arial" w:cs="Arial"/>
          <w:i/>
        </w:rPr>
        <w:t xml:space="preserve"> Napoleon: Revolution, Reaction and Romanticism, 1814-1848</w:t>
      </w:r>
      <w:r w:rsidRPr="004A2C6D">
        <w:rPr>
          <w:rFonts w:ascii="Arial" w:hAnsi="Arial" w:cs="Arial"/>
        </w:rPr>
        <w:t xml:space="preserve"> (Manchester, 1996)</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T</w:t>
      </w:r>
      <w:r>
        <w:rPr>
          <w:rFonts w:ascii="Arial" w:hAnsi="Arial" w:cs="Arial"/>
        </w:rPr>
        <w:t>.</w:t>
      </w:r>
      <w:r w:rsidRPr="004A2C6D">
        <w:rPr>
          <w:rFonts w:ascii="Arial" w:hAnsi="Arial" w:cs="Arial"/>
        </w:rPr>
        <w:t>C</w:t>
      </w:r>
      <w:r>
        <w:rPr>
          <w:rFonts w:ascii="Arial" w:hAnsi="Arial" w:cs="Arial"/>
        </w:rPr>
        <w:t>.</w:t>
      </w:r>
      <w:r w:rsidRPr="004A2C6D">
        <w:rPr>
          <w:rFonts w:ascii="Arial" w:hAnsi="Arial" w:cs="Arial"/>
        </w:rPr>
        <w:t>W</w:t>
      </w:r>
      <w:r>
        <w:rPr>
          <w:rFonts w:ascii="Arial" w:hAnsi="Arial" w:cs="Arial"/>
        </w:rPr>
        <w:t>.</w:t>
      </w:r>
      <w:r w:rsidRPr="004A2C6D">
        <w:rPr>
          <w:rFonts w:ascii="Arial" w:hAnsi="Arial" w:cs="Arial"/>
        </w:rPr>
        <w:t xml:space="preserve"> </w:t>
      </w:r>
      <w:proofErr w:type="spellStart"/>
      <w:r w:rsidRPr="004A2C6D">
        <w:rPr>
          <w:rFonts w:ascii="Arial" w:hAnsi="Arial" w:cs="Arial"/>
        </w:rPr>
        <w:t>Blanning</w:t>
      </w:r>
      <w:proofErr w:type="spellEnd"/>
      <w:r w:rsidRPr="004A2C6D">
        <w:rPr>
          <w:rFonts w:ascii="Arial" w:hAnsi="Arial" w:cs="Arial"/>
        </w:rPr>
        <w:t xml:space="preserve">, </w:t>
      </w:r>
      <w:proofErr w:type="gramStart"/>
      <w:r w:rsidRPr="004A2C6D">
        <w:rPr>
          <w:rFonts w:ascii="Arial" w:hAnsi="Arial" w:cs="Arial"/>
          <w:i/>
        </w:rPr>
        <w:t>The</w:t>
      </w:r>
      <w:proofErr w:type="gramEnd"/>
      <w:r w:rsidRPr="004A2C6D">
        <w:rPr>
          <w:rFonts w:ascii="Arial" w:hAnsi="Arial" w:cs="Arial"/>
          <w:i/>
        </w:rPr>
        <w:t xml:space="preserve"> Nineteenth Century: Europe 1789-1914</w:t>
      </w:r>
      <w:r w:rsidRPr="004A2C6D">
        <w:rPr>
          <w:rFonts w:ascii="Arial" w:hAnsi="Arial" w:cs="Arial"/>
        </w:rPr>
        <w:t xml:space="preserve"> (Oxford, 2001)</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 </w:t>
      </w:r>
      <w:r w:rsidRPr="004A2C6D">
        <w:rPr>
          <w:rFonts w:ascii="Arial" w:hAnsi="Arial" w:cs="Arial"/>
          <w:i/>
        </w:rPr>
        <w:t>The Romantic Revolution</w:t>
      </w:r>
      <w:r w:rsidRPr="004A2C6D">
        <w:rPr>
          <w:rFonts w:ascii="Arial" w:hAnsi="Arial" w:cs="Arial"/>
        </w:rPr>
        <w:t xml:space="preserve"> (London, 2011)</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Jacques </w:t>
      </w:r>
      <w:proofErr w:type="spellStart"/>
      <w:r w:rsidRPr="004A2C6D">
        <w:rPr>
          <w:rFonts w:ascii="Arial" w:hAnsi="Arial" w:cs="Arial"/>
        </w:rPr>
        <w:t>Droz</w:t>
      </w:r>
      <w:proofErr w:type="spellEnd"/>
      <w:r w:rsidRPr="004A2C6D">
        <w:rPr>
          <w:rFonts w:ascii="Arial" w:hAnsi="Arial" w:cs="Arial"/>
        </w:rPr>
        <w:t xml:space="preserve">, </w:t>
      </w:r>
      <w:r w:rsidRPr="004A2C6D">
        <w:rPr>
          <w:rFonts w:ascii="Arial" w:hAnsi="Arial" w:cs="Arial"/>
          <w:i/>
        </w:rPr>
        <w:t>Europe between Revolutions 1815-1848</w:t>
      </w:r>
      <w:r w:rsidRPr="004A2C6D">
        <w:rPr>
          <w:rFonts w:ascii="Arial" w:hAnsi="Arial" w:cs="Arial"/>
        </w:rPr>
        <w:t xml:space="preserve"> (London, 1985</w:t>
      </w:r>
      <w:r>
        <w:rPr>
          <w:rFonts w:ascii="Arial" w:hAnsi="Arial" w:cs="Arial"/>
        </w:rPr>
        <w:t>)</w:t>
      </w:r>
      <w:r w:rsidRPr="004A2C6D">
        <w:rPr>
          <w:rFonts w:ascii="Arial" w:hAnsi="Arial" w:cs="Arial"/>
        </w:rPr>
        <w:t xml:space="preserve">  </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Robert </w:t>
      </w:r>
      <w:proofErr w:type="spellStart"/>
      <w:r w:rsidRPr="004A2C6D">
        <w:rPr>
          <w:rFonts w:ascii="Arial" w:hAnsi="Arial" w:cs="Arial"/>
        </w:rPr>
        <w:t>Gildea</w:t>
      </w:r>
      <w:proofErr w:type="spellEnd"/>
      <w:r w:rsidRPr="004A2C6D">
        <w:rPr>
          <w:rFonts w:ascii="Arial" w:hAnsi="Arial" w:cs="Arial"/>
        </w:rPr>
        <w:t>,</w:t>
      </w:r>
      <w:r w:rsidRPr="00DD1784">
        <w:t xml:space="preserve"> </w:t>
      </w:r>
      <w:r w:rsidRPr="004A2C6D">
        <w:rPr>
          <w:rFonts w:ascii="Arial" w:hAnsi="Arial" w:cs="Arial"/>
          <w:i/>
        </w:rPr>
        <w:t>Barricades and Borders: Europe 1800-1914</w:t>
      </w:r>
      <w:r w:rsidRPr="004A2C6D">
        <w:rPr>
          <w:rFonts w:ascii="Arial" w:hAnsi="Arial" w:cs="Arial"/>
        </w:rPr>
        <w:t xml:space="preserve"> (Oxford, 2003) </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Eric </w:t>
      </w:r>
      <w:proofErr w:type="spellStart"/>
      <w:r w:rsidRPr="004A2C6D">
        <w:rPr>
          <w:rFonts w:ascii="Arial" w:hAnsi="Arial" w:cs="Arial"/>
        </w:rPr>
        <w:t>Hobsbawm</w:t>
      </w:r>
      <w:proofErr w:type="spellEnd"/>
      <w:r w:rsidRPr="004A2C6D">
        <w:rPr>
          <w:rFonts w:ascii="Arial" w:hAnsi="Arial" w:cs="Arial"/>
        </w:rPr>
        <w:t xml:space="preserve">, </w:t>
      </w:r>
      <w:proofErr w:type="gramStart"/>
      <w:r w:rsidRPr="004A2C6D">
        <w:rPr>
          <w:rFonts w:ascii="Arial" w:hAnsi="Arial" w:cs="Arial"/>
          <w:i/>
        </w:rPr>
        <w:t>The</w:t>
      </w:r>
      <w:proofErr w:type="gramEnd"/>
      <w:r w:rsidRPr="004A2C6D">
        <w:rPr>
          <w:rFonts w:ascii="Arial" w:hAnsi="Arial" w:cs="Arial"/>
          <w:i/>
        </w:rPr>
        <w:t xml:space="preserve"> Age of Revolution: Europe, 1789-1848</w:t>
      </w:r>
      <w:r w:rsidRPr="004A2C6D">
        <w:rPr>
          <w:rFonts w:ascii="Arial" w:hAnsi="Arial" w:cs="Arial"/>
        </w:rPr>
        <w:t xml:space="preserve"> (London, 1988)</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Mark Jarrett, </w:t>
      </w:r>
      <w:proofErr w:type="gramStart"/>
      <w:r w:rsidRPr="004A2C6D">
        <w:rPr>
          <w:rFonts w:ascii="Arial" w:hAnsi="Arial" w:cs="Arial"/>
          <w:i/>
        </w:rPr>
        <w:t>The</w:t>
      </w:r>
      <w:proofErr w:type="gramEnd"/>
      <w:r w:rsidRPr="004A2C6D">
        <w:rPr>
          <w:rFonts w:ascii="Arial" w:hAnsi="Arial" w:cs="Arial"/>
          <w:i/>
        </w:rPr>
        <w:t xml:space="preserve"> Congress of Vienna and its Legacy: War and Great Power Diplomacy After Napoleon</w:t>
      </w:r>
      <w:r w:rsidRPr="004A2C6D">
        <w:rPr>
          <w:rFonts w:ascii="Arial" w:hAnsi="Arial" w:cs="Arial"/>
        </w:rPr>
        <w:t xml:space="preserve"> (London, 2014) </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Henry A. Kissinger, </w:t>
      </w:r>
      <w:r w:rsidRPr="004A2C6D">
        <w:rPr>
          <w:rFonts w:ascii="Arial" w:hAnsi="Arial" w:cs="Arial"/>
          <w:i/>
        </w:rPr>
        <w:t>A World Restored: Metternich, Castlereagh and the Problems of Peace, 1812-22</w:t>
      </w:r>
      <w:r w:rsidRPr="004A2C6D">
        <w:rPr>
          <w:rFonts w:ascii="Arial" w:hAnsi="Arial" w:cs="Arial"/>
        </w:rPr>
        <w:t xml:space="preserve"> (any edition)</w:t>
      </w:r>
    </w:p>
    <w:p w:rsidR="00DB4999" w:rsidRPr="004A2C6D"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Jürgen </w:t>
      </w:r>
      <w:proofErr w:type="spellStart"/>
      <w:r w:rsidRPr="004A2C6D">
        <w:rPr>
          <w:rFonts w:ascii="Arial" w:hAnsi="Arial" w:cs="Arial"/>
        </w:rPr>
        <w:t>Osterhammel</w:t>
      </w:r>
      <w:proofErr w:type="spellEnd"/>
      <w:r w:rsidRPr="004A2C6D">
        <w:rPr>
          <w:rFonts w:ascii="Arial" w:hAnsi="Arial" w:cs="Arial"/>
        </w:rPr>
        <w:t xml:space="preserve">, </w:t>
      </w:r>
      <w:proofErr w:type="gramStart"/>
      <w:r w:rsidRPr="004A2C6D">
        <w:rPr>
          <w:rFonts w:ascii="Arial" w:hAnsi="Arial" w:cs="Arial"/>
          <w:i/>
        </w:rPr>
        <w:t>The</w:t>
      </w:r>
      <w:proofErr w:type="gramEnd"/>
      <w:r w:rsidRPr="004A2C6D">
        <w:rPr>
          <w:rFonts w:ascii="Arial" w:hAnsi="Arial" w:cs="Arial"/>
          <w:i/>
        </w:rPr>
        <w:t xml:space="preserve"> Transformation of the World: A Global History of the Nineteenth Century</w:t>
      </w:r>
      <w:r w:rsidRPr="004A2C6D">
        <w:rPr>
          <w:rFonts w:ascii="Arial" w:hAnsi="Arial" w:cs="Arial"/>
        </w:rPr>
        <w:t xml:space="preserve"> (Princeton, NJ, 2015</w:t>
      </w:r>
      <w:r>
        <w:rPr>
          <w:rFonts w:ascii="Arial" w:hAnsi="Arial" w:cs="Arial"/>
        </w:rPr>
        <w:t>)</w:t>
      </w:r>
    </w:p>
    <w:p w:rsidR="00DB4999" w:rsidRDefault="00DB4999" w:rsidP="00DB4999">
      <w:pPr>
        <w:pStyle w:val="ListParagraph"/>
        <w:spacing w:after="120" w:line="240" w:lineRule="auto"/>
        <w:ind w:left="567" w:right="260"/>
        <w:jc w:val="both"/>
        <w:rPr>
          <w:rFonts w:ascii="Arial" w:hAnsi="Arial" w:cs="Arial"/>
        </w:rPr>
      </w:pPr>
      <w:r w:rsidRPr="004A2C6D">
        <w:rPr>
          <w:rFonts w:ascii="Arial" w:hAnsi="Arial" w:cs="Arial"/>
        </w:rPr>
        <w:t xml:space="preserve">Adam </w:t>
      </w:r>
      <w:proofErr w:type="spellStart"/>
      <w:r w:rsidRPr="004A2C6D">
        <w:rPr>
          <w:rFonts w:ascii="Arial" w:hAnsi="Arial" w:cs="Arial"/>
        </w:rPr>
        <w:t>Zamoyski</w:t>
      </w:r>
      <w:proofErr w:type="spellEnd"/>
      <w:r w:rsidRPr="004A2C6D">
        <w:rPr>
          <w:rFonts w:ascii="Arial" w:hAnsi="Arial" w:cs="Arial"/>
        </w:rPr>
        <w:t xml:space="preserve">, </w:t>
      </w:r>
      <w:r w:rsidRPr="004A2C6D">
        <w:rPr>
          <w:rFonts w:ascii="Arial" w:hAnsi="Arial" w:cs="Arial"/>
          <w:i/>
        </w:rPr>
        <w:t>Holy Madness: Romantics, Patriots and Revolutionaries 1776 - 1871: Romantics, Patriots and Revolutionaries 1776-1871</w:t>
      </w:r>
      <w:r w:rsidRPr="004A2C6D">
        <w:rPr>
          <w:rFonts w:ascii="Arial" w:hAnsi="Arial" w:cs="Arial"/>
        </w:rPr>
        <w:t xml:space="preserve"> (London, 1999)</w:t>
      </w:r>
    </w:p>
    <w:p w:rsidR="0014564C" w:rsidRPr="00786FCB" w:rsidRDefault="00DB4999" w:rsidP="00DB4999">
      <w:pPr>
        <w:pStyle w:val="ListParagraph"/>
        <w:spacing w:after="120" w:line="240" w:lineRule="auto"/>
        <w:ind w:left="567" w:right="260"/>
        <w:jc w:val="both"/>
        <w:rPr>
          <w:rFonts w:ascii="Arial" w:eastAsiaTheme="minorHAnsi" w:hAnsi="Arial" w:cs="Arial"/>
          <w:b/>
          <w:color w:val="1D1D1D"/>
          <w:lang w:val="en-US" w:eastAsia="en-US"/>
        </w:rPr>
      </w:pPr>
      <w:r w:rsidRPr="004A2C6D">
        <w:rPr>
          <w:rFonts w:ascii="Arial" w:hAnsi="Arial" w:cs="Arial"/>
        </w:rPr>
        <w:t xml:space="preserve">-, </w:t>
      </w:r>
      <w:r w:rsidRPr="004A2C6D">
        <w:rPr>
          <w:rFonts w:ascii="Arial" w:hAnsi="Arial" w:cs="Arial"/>
          <w:i/>
        </w:rPr>
        <w:t>Phantom Terror: The Threat of Revolution and the Repression of Liberty 1789-1848</w:t>
      </w:r>
      <w:r w:rsidRPr="004A2C6D">
        <w:rPr>
          <w:rFonts w:ascii="Arial" w:hAnsi="Arial" w:cs="Arial"/>
        </w:rPr>
        <w:t xml:space="preserve"> (London, 2014)</w:t>
      </w:r>
    </w:p>
    <w:p w:rsidR="00BB3262" w:rsidRDefault="00BB3262">
      <w:pPr>
        <w:rPr>
          <w:rFonts w:ascii="Arial" w:hAnsi="Arial" w:cs="Arial"/>
          <w:b/>
          <w:i/>
        </w:rPr>
      </w:pPr>
      <w:r>
        <w:rPr>
          <w:rFonts w:ascii="Arial" w:hAnsi="Arial" w:cs="Arial"/>
          <w:b/>
          <w:i/>
        </w:rPr>
        <w:br w:type="page"/>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750158">
        <w:rPr>
          <w:rFonts w:ascii="Arial" w:hAnsi="Arial" w:cs="Arial"/>
          <w:iCs/>
        </w:rPr>
        <w:t>2</w:t>
      </w:r>
      <w:r w:rsidR="00477233">
        <w:rPr>
          <w:rFonts w:ascii="Arial" w:hAnsi="Arial" w:cs="Arial"/>
          <w:iCs/>
        </w:rPr>
        <w:t>2</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750158">
        <w:rPr>
          <w:rFonts w:ascii="Arial" w:hAnsi="Arial" w:cs="Arial"/>
          <w:iCs/>
        </w:rPr>
        <w:t>2</w:t>
      </w:r>
      <w:r w:rsidR="00477233">
        <w:rPr>
          <w:rFonts w:ascii="Arial" w:hAnsi="Arial" w:cs="Arial"/>
          <w:iCs/>
        </w:rPr>
        <w:t>78</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750158">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73023" w:rsidRDefault="00477233" w:rsidP="00D73023">
      <w:pPr>
        <w:pStyle w:val="ListParagraph"/>
        <w:spacing w:after="120"/>
        <w:ind w:left="567"/>
        <w:rPr>
          <w:rFonts w:ascii="Arial" w:hAnsi="Arial" w:cs="Arial"/>
          <w:iCs/>
        </w:rPr>
      </w:pPr>
      <w:r>
        <w:rPr>
          <w:rFonts w:ascii="Arial" w:hAnsi="Arial" w:cs="Arial"/>
          <w:iCs/>
        </w:rPr>
        <w:t>Essay</w:t>
      </w:r>
      <w:r>
        <w:rPr>
          <w:rFonts w:ascii="Arial" w:hAnsi="Arial" w:cs="Arial"/>
          <w:iCs/>
        </w:rPr>
        <w:tab/>
      </w:r>
      <w:r>
        <w:rPr>
          <w:rFonts w:ascii="Arial" w:hAnsi="Arial" w:cs="Arial"/>
          <w:iCs/>
        </w:rPr>
        <w:tab/>
      </w:r>
      <w:r w:rsidR="00DB4999">
        <w:rPr>
          <w:rFonts w:ascii="Arial" w:hAnsi="Arial" w:cs="Arial"/>
          <w:iCs/>
        </w:rPr>
        <w:tab/>
        <w:t>6</w:t>
      </w:r>
      <w:r>
        <w:rPr>
          <w:rFonts w:ascii="Arial" w:hAnsi="Arial" w:cs="Arial"/>
          <w:iCs/>
        </w:rPr>
        <w:t>000 words</w:t>
      </w:r>
      <w:r>
        <w:rPr>
          <w:rFonts w:ascii="Arial" w:hAnsi="Arial" w:cs="Arial"/>
          <w:iCs/>
        </w:rPr>
        <w:tab/>
      </w:r>
      <w:r w:rsidR="00DB4999">
        <w:rPr>
          <w:rFonts w:ascii="Arial" w:hAnsi="Arial" w:cs="Arial"/>
          <w:iCs/>
        </w:rPr>
        <w:t>8</w:t>
      </w:r>
      <w:r w:rsidR="00786FCB">
        <w:rPr>
          <w:rFonts w:ascii="Arial" w:hAnsi="Arial" w:cs="Arial"/>
          <w:iCs/>
        </w:rPr>
        <w:t>0</w:t>
      </w:r>
      <w:r>
        <w:rPr>
          <w:rFonts w:ascii="Arial" w:hAnsi="Arial" w:cs="Arial"/>
          <w:iCs/>
        </w:rPr>
        <w:t>%</w:t>
      </w:r>
    </w:p>
    <w:p w:rsidR="00477233" w:rsidRDefault="00477233" w:rsidP="00D73023">
      <w:pPr>
        <w:pStyle w:val="ListParagraph"/>
        <w:spacing w:after="120"/>
        <w:ind w:left="567"/>
        <w:rPr>
          <w:rFonts w:ascii="Arial" w:hAnsi="Arial" w:cs="Arial"/>
          <w:iCs/>
        </w:rPr>
      </w:pPr>
      <w:r>
        <w:rPr>
          <w:rFonts w:ascii="Arial" w:hAnsi="Arial" w:cs="Arial"/>
          <w:iCs/>
        </w:rPr>
        <w:t>Presentation</w:t>
      </w:r>
      <w:r w:rsidR="00DB4999">
        <w:rPr>
          <w:rFonts w:ascii="Arial" w:hAnsi="Arial" w:cs="Arial"/>
          <w:iCs/>
        </w:rPr>
        <w:t xml:space="preserve"> 1</w:t>
      </w:r>
      <w:r>
        <w:rPr>
          <w:rFonts w:ascii="Arial" w:hAnsi="Arial" w:cs="Arial"/>
          <w:iCs/>
        </w:rPr>
        <w:tab/>
      </w:r>
      <w:r w:rsidR="00DB4999">
        <w:rPr>
          <w:rFonts w:ascii="Arial" w:hAnsi="Arial" w:cs="Arial"/>
          <w:iCs/>
        </w:rPr>
        <w:tab/>
      </w:r>
      <w:r>
        <w:rPr>
          <w:rFonts w:ascii="Arial" w:hAnsi="Arial" w:cs="Arial"/>
          <w:iCs/>
        </w:rPr>
        <w:t>15 minutes</w:t>
      </w:r>
      <w:r>
        <w:rPr>
          <w:rFonts w:ascii="Arial" w:hAnsi="Arial" w:cs="Arial"/>
          <w:iCs/>
        </w:rPr>
        <w:tab/>
      </w:r>
      <w:r w:rsidR="00DB4999">
        <w:rPr>
          <w:rFonts w:ascii="Arial" w:hAnsi="Arial" w:cs="Arial"/>
          <w:iCs/>
        </w:rPr>
        <w:t>7.5</w:t>
      </w:r>
      <w:r>
        <w:rPr>
          <w:rFonts w:ascii="Arial" w:hAnsi="Arial" w:cs="Arial"/>
          <w:iCs/>
        </w:rPr>
        <w:t>%</w:t>
      </w:r>
    </w:p>
    <w:p w:rsidR="00DB4999" w:rsidRDefault="00DB4999" w:rsidP="00D73023">
      <w:pPr>
        <w:pStyle w:val="ListParagraph"/>
        <w:spacing w:after="120"/>
        <w:ind w:left="567"/>
        <w:rPr>
          <w:rFonts w:ascii="Arial" w:hAnsi="Arial" w:cs="Arial"/>
          <w:iCs/>
        </w:rPr>
      </w:pPr>
      <w:r>
        <w:rPr>
          <w:rFonts w:ascii="Arial" w:hAnsi="Arial" w:cs="Arial"/>
          <w:iCs/>
        </w:rPr>
        <w:t>Presentation 2</w:t>
      </w:r>
      <w:r>
        <w:rPr>
          <w:rFonts w:ascii="Arial" w:hAnsi="Arial" w:cs="Arial"/>
          <w:iCs/>
        </w:rPr>
        <w:tab/>
      </w:r>
      <w:r>
        <w:rPr>
          <w:rFonts w:ascii="Arial" w:hAnsi="Arial" w:cs="Arial"/>
          <w:iCs/>
        </w:rPr>
        <w:tab/>
        <w:t>15 minutes</w:t>
      </w:r>
      <w:r>
        <w:rPr>
          <w:rFonts w:ascii="Arial" w:hAnsi="Arial" w:cs="Arial"/>
          <w:iCs/>
        </w:rPr>
        <w:tab/>
        <w:t>7.5%</w:t>
      </w:r>
    </w:p>
    <w:p w:rsidR="00DD2B86" w:rsidRDefault="00DD2B86" w:rsidP="00D73023">
      <w:pPr>
        <w:pStyle w:val="ListParagraph"/>
        <w:spacing w:after="120"/>
        <w:ind w:left="567"/>
        <w:rPr>
          <w:rFonts w:ascii="Arial" w:hAnsi="Arial" w:cs="Arial"/>
          <w:iCs/>
        </w:rPr>
      </w:pPr>
      <w:r>
        <w:rPr>
          <w:rFonts w:ascii="Arial" w:hAnsi="Arial" w:cs="Arial"/>
          <w:iCs/>
        </w:rPr>
        <w:t>Presentations Outline</w:t>
      </w:r>
      <w:r>
        <w:rPr>
          <w:rFonts w:ascii="Arial" w:hAnsi="Arial" w:cs="Arial"/>
          <w:iCs/>
        </w:rPr>
        <w:tab/>
        <w:t>1000 words</w:t>
      </w:r>
      <w:r>
        <w:rPr>
          <w:rFonts w:ascii="Arial" w:hAnsi="Arial" w:cs="Arial"/>
          <w:iCs/>
        </w:rPr>
        <w:tab/>
        <w:t>5%</w:t>
      </w:r>
    </w:p>
    <w:p w:rsidR="003F3578" w:rsidRDefault="003F3578"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DD2B86">
      <w:pPr>
        <w:spacing w:after="120" w:line="240" w:lineRule="auto"/>
        <w:ind w:left="567" w:right="260"/>
        <w:rPr>
          <w:rFonts w:ascii="Arial" w:hAnsi="Arial" w:cs="Arial"/>
          <w:iCs/>
        </w:rPr>
      </w:pPr>
      <w:r>
        <w:rPr>
          <w:rFonts w:ascii="Arial" w:hAnsi="Arial" w:cs="Arial"/>
          <w:iCs/>
        </w:rPr>
        <w:t>100% Coursework (</w:t>
      </w:r>
      <w:r w:rsidR="00750158">
        <w:rPr>
          <w:rFonts w:ascii="Arial" w:hAnsi="Arial" w:cs="Arial"/>
          <w:iCs/>
        </w:rPr>
        <w:t>30</w:t>
      </w:r>
      <w:r w:rsidR="00601596">
        <w:rPr>
          <w:rFonts w:ascii="Arial" w:hAnsi="Arial" w:cs="Arial"/>
          <w:iCs/>
        </w:rPr>
        <w:t>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10"/>
        <w:gridCol w:w="1737"/>
        <w:gridCol w:w="789"/>
        <w:gridCol w:w="789"/>
        <w:gridCol w:w="789"/>
        <w:gridCol w:w="789"/>
        <w:gridCol w:w="789"/>
        <w:gridCol w:w="788"/>
        <w:gridCol w:w="788"/>
        <w:gridCol w:w="788"/>
      </w:tblGrid>
      <w:tr w:rsidR="00DB4999" w:rsidRPr="00302082" w:rsidTr="00DB4999">
        <w:tc>
          <w:tcPr>
            <w:tcW w:w="1151" w:type="pct"/>
            <w:shd w:val="clear" w:color="auto" w:fill="D9D9D9" w:themeFill="background1" w:themeFillShade="D9"/>
          </w:tcPr>
          <w:p w:rsidR="00DB4999" w:rsidRPr="00302082" w:rsidRDefault="00DB4999" w:rsidP="00D961F9">
            <w:pPr>
              <w:spacing w:after="120"/>
              <w:ind w:left="33"/>
              <w:rPr>
                <w:rFonts w:ascii="Arial" w:hAnsi="Arial" w:cs="Arial"/>
                <w:b/>
              </w:rPr>
            </w:pPr>
            <w:r w:rsidRPr="00302082">
              <w:rPr>
                <w:rFonts w:ascii="Arial" w:hAnsi="Arial" w:cs="Arial"/>
                <w:b/>
              </w:rPr>
              <w:t>Module learning outcome</w:t>
            </w:r>
          </w:p>
        </w:tc>
        <w:tc>
          <w:tcPr>
            <w:tcW w:w="830" w:type="pct"/>
          </w:tcPr>
          <w:p w:rsidR="00DB4999" w:rsidRPr="00302082" w:rsidRDefault="00DB4999" w:rsidP="00D961F9">
            <w:pPr>
              <w:spacing w:after="120"/>
              <w:rPr>
                <w:rFonts w:ascii="Arial" w:hAnsi="Arial" w:cs="Arial"/>
                <w:i/>
              </w:rPr>
            </w:pPr>
          </w:p>
        </w:tc>
        <w:tc>
          <w:tcPr>
            <w:tcW w:w="377" w:type="pct"/>
          </w:tcPr>
          <w:p w:rsidR="00DB4999" w:rsidRPr="004A2C6D" w:rsidRDefault="00DB4999" w:rsidP="00D961F9">
            <w:pPr>
              <w:spacing w:after="120"/>
              <w:rPr>
                <w:rFonts w:ascii="Arial" w:hAnsi="Arial" w:cs="Arial"/>
              </w:rPr>
            </w:pPr>
            <w:r w:rsidRPr="004A2C6D">
              <w:rPr>
                <w:rFonts w:ascii="Arial" w:hAnsi="Arial" w:cs="Arial"/>
              </w:rPr>
              <w:t>8.1</w:t>
            </w:r>
          </w:p>
        </w:tc>
        <w:tc>
          <w:tcPr>
            <w:tcW w:w="377" w:type="pct"/>
          </w:tcPr>
          <w:p w:rsidR="00DB4999" w:rsidRPr="004A2C6D" w:rsidRDefault="00DB4999" w:rsidP="00D961F9">
            <w:pPr>
              <w:spacing w:after="120"/>
              <w:rPr>
                <w:rFonts w:ascii="Arial" w:hAnsi="Arial" w:cs="Arial"/>
              </w:rPr>
            </w:pPr>
            <w:r w:rsidRPr="004A2C6D">
              <w:rPr>
                <w:rFonts w:ascii="Arial" w:hAnsi="Arial" w:cs="Arial"/>
              </w:rPr>
              <w:t>8.2</w:t>
            </w:r>
          </w:p>
        </w:tc>
        <w:tc>
          <w:tcPr>
            <w:tcW w:w="377" w:type="pct"/>
          </w:tcPr>
          <w:p w:rsidR="00DB4999" w:rsidRPr="004A2C6D" w:rsidRDefault="00DB4999" w:rsidP="00D961F9">
            <w:pPr>
              <w:spacing w:after="120"/>
              <w:rPr>
                <w:rFonts w:ascii="Arial" w:hAnsi="Arial" w:cs="Arial"/>
              </w:rPr>
            </w:pPr>
            <w:r w:rsidRPr="004A2C6D">
              <w:rPr>
                <w:rFonts w:ascii="Arial" w:hAnsi="Arial" w:cs="Arial"/>
              </w:rPr>
              <w:t>8.3</w:t>
            </w:r>
          </w:p>
        </w:tc>
        <w:tc>
          <w:tcPr>
            <w:tcW w:w="377" w:type="pct"/>
          </w:tcPr>
          <w:p w:rsidR="00DB4999" w:rsidRPr="004A2C6D" w:rsidRDefault="00DB4999" w:rsidP="00D961F9">
            <w:pPr>
              <w:spacing w:after="120"/>
              <w:rPr>
                <w:rFonts w:ascii="Arial" w:hAnsi="Arial" w:cs="Arial"/>
              </w:rPr>
            </w:pPr>
            <w:r w:rsidRPr="004A2C6D">
              <w:rPr>
                <w:rFonts w:ascii="Arial" w:hAnsi="Arial" w:cs="Arial"/>
              </w:rPr>
              <w:t>9.1</w:t>
            </w:r>
          </w:p>
        </w:tc>
        <w:tc>
          <w:tcPr>
            <w:tcW w:w="377" w:type="pct"/>
          </w:tcPr>
          <w:p w:rsidR="00DB4999" w:rsidRPr="004A2C6D" w:rsidRDefault="00DB4999" w:rsidP="00D961F9">
            <w:pPr>
              <w:spacing w:after="120"/>
              <w:rPr>
                <w:rFonts w:ascii="Arial" w:hAnsi="Arial" w:cs="Arial"/>
              </w:rPr>
            </w:pPr>
            <w:r w:rsidRPr="004A2C6D">
              <w:rPr>
                <w:rFonts w:ascii="Arial" w:hAnsi="Arial" w:cs="Arial"/>
              </w:rPr>
              <w:t>9.2</w:t>
            </w:r>
          </w:p>
        </w:tc>
        <w:tc>
          <w:tcPr>
            <w:tcW w:w="377" w:type="pct"/>
          </w:tcPr>
          <w:p w:rsidR="00DB4999" w:rsidRPr="004A2C6D" w:rsidRDefault="00DB4999" w:rsidP="00D961F9">
            <w:pPr>
              <w:spacing w:after="120"/>
              <w:rPr>
                <w:rFonts w:ascii="Arial" w:hAnsi="Arial" w:cs="Arial"/>
              </w:rPr>
            </w:pPr>
            <w:r w:rsidRPr="004A2C6D">
              <w:rPr>
                <w:rFonts w:ascii="Arial" w:hAnsi="Arial" w:cs="Arial"/>
              </w:rPr>
              <w:t>9.3</w:t>
            </w:r>
          </w:p>
        </w:tc>
        <w:tc>
          <w:tcPr>
            <w:tcW w:w="377" w:type="pct"/>
          </w:tcPr>
          <w:p w:rsidR="00DB4999" w:rsidRPr="004A2C6D" w:rsidRDefault="00DB4999" w:rsidP="00D961F9">
            <w:pPr>
              <w:spacing w:after="120"/>
              <w:rPr>
                <w:rFonts w:ascii="Arial" w:hAnsi="Arial" w:cs="Arial"/>
              </w:rPr>
            </w:pPr>
            <w:r w:rsidRPr="004A2C6D">
              <w:rPr>
                <w:rFonts w:ascii="Arial" w:hAnsi="Arial" w:cs="Arial"/>
              </w:rPr>
              <w:t>9.4</w:t>
            </w:r>
          </w:p>
        </w:tc>
        <w:tc>
          <w:tcPr>
            <w:tcW w:w="377" w:type="pct"/>
          </w:tcPr>
          <w:p w:rsidR="00DB4999" w:rsidRPr="004A2C6D" w:rsidRDefault="00DB4999" w:rsidP="00D961F9">
            <w:pPr>
              <w:spacing w:after="120"/>
              <w:rPr>
                <w:rFonts w:ascii="Arial" w:hAnsi="Arial" w:cs="Arial"/>
              </w:rPr>
            </w:pPr>
            <w:r w:rsidRPr="004A2C6D">
              <w:rPr>
                <w:rFonts w:ascii="Arial" w:hAnsi="Arial" w:cs="Arial"/>
              </w:rPr>
              <w:t>9.5</w:t>
            </w:r>
          </w:p>
        </w:tc>
      </w:tr>
      <w:tr w:rsidR="00DB4999" w:rsidRPr="00302082" w:rsidTr="00DB4999">
        <w:tc>
          <w:tcPr>
            <w:tcW w:w="1151" w:type="pct"/>
            <w:shd w:val="clear" w:color="auto" w:fill="D9D9D9" w:themeFill="background1" w:themeFillShade="D9"/>
          </w:tcPr>
          <w:p w:rsidR="00DB4999" w:rsidRPr="00302082" w:rsidRDefault="00DB4999" w:rsidP="00D961F9">
            <w:pPr>
              <w:spacing w:after="120"/>
              <w:rPr>
                <w:rFonts w:ascii="Arial" w:hAnsi="Arial" w:cs="Arial"/>
                <w:b/>
              </w:rPr>
            </w:pPr>
            <w:r w:rsidRPr="00302082">
              <w:rPr>
                <w:rFonts w:ascii="Arial" w:hAnsi="Arial" w:cs="Arial"/>
                <w:b/>
              </w:rPr>
              <w:t>Learning/ teaching method</w:t>
            </w:r>
          </w:p>
        </w:tc>
        <w:tc>
          <w:tcPr>
            <w:tcW w:w="830" w:type="pct"/>
            <w:shd w:val="clear" w:color="auto" w:fill="D9D9D9" w:themeFill="background1" w:themeFillShade="D9"/>
          </w:tcPr>
          <w:p w:rsidR="00DB4999" w:rsidRPr="00302082" w:rsidRDefault="00DB4999" w:rsidP="00D961F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r>
      <w:tr w:rsidR="00DB4999" w:rsidRPr="00302082" w:rsidTr="00DB4999">
        <w:tc>
          <w:tcPr>
            <w:tcW w:w="1151" w:type="pct"/>
          </w:tcPr>
          <w:p w:rsidR="00DB4999" w:rsidRPr="004A2C6D" w:rsidRDefault="00DB4999" w:rsidP="00D961F9">
            <w:pPr>
              <w:spacing w:after="120"/>
              <w:rPr>
                <w:rFonts w:ascii="Arial" w:hAnsi="Arial" w:cs="Arial"/>
              </w:rPr>
            </w:pPr>
            <w:r w:rsidRPr="004A2C6D">
              <w:rPr>
                <w:rFonts w:ascii="Arial" w:hAnsi="Arial" w:cs="Arial"/>
              </w:rPr>
              <w:t>Private Study</w:t>
            </w:r>
          </w:p>
        </w:tc>
        <w:tc>
          <w:tcPr>
            <w:tcW w:w="830" w:type="pct"/>
          </w:tcPr>
          <w:p w:rsidR="00DB4999" w:rsidRPr="0036174D" w:rsidRDefault="00DB4999" w:rsidP="00D961F9">
            <w:pPr>
              <w:spacing w:after="120"/>
              <w:rPr>
                <w:rFonts w:ascii="Arial" w:hAnsi="Arial" w:cs="Arial"/>
              </w:rPr>
            </w:pPr>
            <w:r>
              <w:rPr>
                <w:rFonts w:ascii="Arial" w:hAnsi="Arial" w:cs="Arial"/>
              </w:rPr>
              <w:t>278</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r>
      <w:tr w:rsidR="00DB4999" w:rsidRPr="00302082" w:rsidTr="00DB4999">
        <w:tc>
          <w:tcPr>
            <w:tcW w:w="1151" w:type="pct"/>
          </w:tcPr>
          <w:p w:rsidR="00DB4999" w:rsidRPr="004A2C6D" w:rsidRDefault="00DB4999" w:rsidP="00D961F9">
            <w:pPr>
              <w:spacing w:after="120"/>
              <w:rPr>
                <w:rFonts w:ascii="Arial" w:hAnsi="Arial" w:cs="Arial"/>
              </w:rPr>
            </w:pPr>
            <w:r w:rsidRPr="004A2C6D">
              <w:rPr>
                <w:rFonts w:ascii="Arial" w:hAnsi="Arial" w:cs="Arial"/>
              </w:rPr>
              <w:t>Seminars</w:t>
            </w:r>
          </w:p>
        </w:tc>
        <w:tc>
          <w:tcPr>
            <w:tcW w:w="830" w:type="pct"/>
          </w:tcPr>
          <w:p w:rsidR="00DB4999" w:rsidRPr="0036174D" w:rsidRDefault="00DB4999" w:rsidP="00D961F9">
            <w:pPr>
              <w:spacing w:after="120"/>
              <w:rPr>
                <w:rFonts w:ascii="Arial" w:hAnsi="Arial" w:cs="Arial"/>
              </w:rPr>
            </w:pPr>
            <w:r>
              <w:rPr>
                <w:rFonts w:ascii="Arial" w:hAnsi="Arial" w:cs="Arial"/>
              </w:rPr>
              <w:t>22</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r>
      <w:tr w:rsidR="00DB4999" w:rsidRPr="00302082" w:rsidTr="00DB4999">
        <w:tc>
          <w:tcPr>
            <w:tcW w:w="1151" w:type="pct"/>
            <w:shd w:val="clear" w:color="auto" w:fill="D9D9D9" w:themeFill="background1" w:themeFillShade="D9"/>
          </w:tcPr>
          <w:p w:rsidR="00DB4999" w:rsidRPr="00302082" w:rsidRDefault="00DB4999" w:rsidP="00D961F9">
            <w:pPr>
              <w:spacing w:after="120"/>
              <w:rPr>
                <w:rFonts w:ascii="Arial" w:hAnsi="Arial" w:cs="Arial"/>
                <w:b/>
              </w:rPr>
            </w:pPr>
            <w:r w:rsidRPr="00302082">
              <w:rPr>
                <w:rFonts w:ascii="Arial" w:hAnsi="Arial" w:cs="Arial"/>
                <w:b/>
              </w:rPr>
              <w:t>Assessment method</w:t>
            </w:r>
          </w:p>
        </w:tc>
        <w:tc>
          <w:tcPr>
            <w:tcW w:w="830" w:type="pct"/>
            <w:tcBorders>
              <w:bottom w:val="single" w:sz="4" w:space="0" w:color="auto"/>
            </w:tcBorders>
            <w:shd w:val="clear" w:color="auto" w:fill="D9D9D9" w:themeFill="background1" w:themeFillShade="D9"/>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r>
      <w:tr w:rsidR="00DB4999" w:rsidRPr="00302082" w:rsidTr="00DB4999">
        <w:tc>
          <w:tcPr>
            <w:tcW w:w="1151" w:type="pct"/>
          </w:tcPr>
          <w:p w:rsidR="00DB4999" w:rsidRPr="004A2C6D" w:rsidRDefault="00DB4999" w:rsidP="00D961F9">
            <w:pPr>
              <w:spacing w:after="120"/>
              <w:rPr>
                <w:rFonts w:ascii="Arial" w:hAnsi="Arial" w:cs="Arial"/>
              </w:rPr>
            </w:pPr>
            <w:r>
              <w:rPr>
                <w:rFonts w:ascii="Arial" w:hAnsi="Arial" w:cs="Arial"/>
              </w:rPr>
              <w:t>In-class presentations</w:t>
            </w:r>
          </w:p>
        </w:tc>
        <w:tc>
          <w:tcPr>
            <w:tcW w:w="830" w:type="pct"/>
            <w:shd w:val="clear" w:color="auto" w:fill="D9D9D9" w:themeFill="background1" w:themeFillShade="D9"/>
          </w:tcPr>
          <w:p w:rsidR="00DB4999" w:rsidRPr="00302082" w:rsidRDefault="00DB4999" w:rsidP="00D961F9">
            <w:pPr>
              <w:spacing w:after="120"/>
              <w:rPr>
                <w:rFonts w:ascii="Arial" w:hAnsi="Arial" w:cs="Arial"/>
                <w:i/>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r>
      <w:tr w:rsidR="00DB4999" w:rsidRPr="00302082" w:rsidTr="00DB4999">
        <w:tc>
          <w:tcPr>
            <w:tcW w:w="1151" w:type="pct"/>
          </w:tcPr>
          <w:p w:rsidR="00DB4999" w:rsidRDefault="00DB4999" w:rsidP="00D961F9">
            <w:pPr>
              <w:spacing w:after="120"/>
              <w:rPr>
                <w:rFonts w:ascii="Arial" w:hAnsi="Arial" w:cs="Arial"/>
              </w:rPr>
            </w:pPr>
            <w:r>
              <w:rPr>
                <w:rFonts w:ascii="Arial" w:hAnsi="Arial" w:cs="Arial"/>
              </w:rPr>
              <w:t>Presentations outline</w:t>
            </w:r>
          </w:p>
        </w:tc>
        <w:tc>
          <w:tcPr>
            <w:tcW w:w="830" w:type="pct"/>
            <w:shd w:val="clear" w:color="auto" w:fill="D9D9D9" w:themeFill="background1" w:themeFillShade="D9"/>
          </w:tcPr>
          <w:p w:rsidR="00DB4999" w:rsidRPr="00302082" w:rsidRDefault="00DB4999" w:rsidP="00D961F9">
            <w:pPr>
              <w:spacing w:after="120"/>
              <w:rPr>
                <w:rFonts w:ascii="Arial" w:hAnsi="Arial" w:cs="Arial"/>
                <w:i/>
              </w:rPr>
            </w:pP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Pr="00302082" w:rsidRDefault="00DB4999" w:rsidP="00D961F9">
            <w:pPr>
              <w:spacing w:after="120"/>
              <w:rPr>
                <w:rFonts w:ascii="Arial" w:hAnsi="Arial" w:cs="Arial"/>
                <w:b/>
              </w:rPr>
            </w:pPr>
          </w:p>
        </w:tc>
        <w:tc>
          <w:tcPr>
            <w:tcW w:w="377" w:type="pct"/>
          </w:tcPr>
          <w:p w:rsidR="00DB4999"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p>
        </w:tc>
        <w:tc>
          <w:tcPr>
            <w:tcW w:w="377" w:type="pct"/>
          </w:tcPr>
          <w:p w:rsidR="00DB4999" w:rsidRDefault="00DB4999" w:rsidP="00D961F9">
            <w:pPr>
              <w:spacing w:after="120"/>
              <w:rPr>
                <w:rFonts w:ascii="Arial" w:hAnsi="Arial" w:cs="Arial"/>
                <w:b/>
              </w:rPr>
            </w:pPr>
            <w:r>
              <w:rPr>
                <w:rFonts w:ascii="Arial" w:hAnsi="Arial" w:cs="Arial"/>
                <w:b/>
              </w:rPr>
              <w:t>x</w:t>
            </w:r>
          </w:p>
        </w:tc>
      </w:tr>
      <w:tr w:rsidR="00DB4999" w:rsidRPr="00302082" w:rsidTr="00DB4999">
        <w:tc>
          <w:tcPr>
            <w:tcW w:w="1151" w:type="pct"/>
          </w:tcPr>
          <w:p w:rsidR="00DB4999" w:rsidRPr="004A2C6D" w:rsidRDefault="00DB4999" w:rsidP="00D961F9">
            <w:pPr>
              <w:spacing w:after="120"/>
              <w:rPr>
                <w:rFonts w:ascii="Arial" w:hAnsi="Arial" w:cs="Arial"/>
              </w:rPr>
            </w:pPr>
            <w:r w:rsidRPr="004A2C6D">
              <w:rPr>
                <w:rFonts w:ascii="Arial" w:hAnsi="Arial" w:cs="Arial"/>
              </w:rPr>
              <w:t>Essay</w:t>
            </w:r>
          </w:p>
        </w:tc>
        <w:tc>
          <w:tcPr>
            <w:tcW w:w="830" w:type="pct"/>
            <w:shd w:val="clear" w:color="auto" w:fill="D9D9D9" w:themeFill="background1" w:themeFillShade="D9"/>
          </w:tcPr>
          <w:p w:rsidR="00DB4999" w:rsidRPr="00302082" w:rsidRDefault="00DB4999" w:rsidP="00D961F9">
            <w:pPr>
              <w:spacing w:after="120"/>
              <w:rPr>
                <w:rFonts w:ascii="Arial" w:hAnsi="Arial" w:cs="Arial"/>
                <w:i/>
              </w:rPr>
            </w:pP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c>
          <w:tcPr>
            <w:tcW w:w="377" w:type="pct"/>
          </w:tcPr>
          <w:p w:rsidR="00DB4999" w:rsidRPr="00302082" w:rsidRDefault="00DB4999" w:rsidP="00D961F9">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BB3262" w:rsidRDefault="00BB3262"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DB4999" w:rsidP="00DB4999">
      <w:pPr>
        <w:spacing w:after="120" w:line="240" w:lineRule="auto"/>
        <w:ind w:left="567" w:right="260"/>
        <w:rPr>
          <w:rFonts w:ascii="Arial" w:hAnsi="Arial" w:cs="Arial"/>
          <w:iCs/>
        </w:rPr>
      </w:pPr>
      <w:proofErr w:type="gramStart"/>
      <w:r>
        <w:rPr>
          <w:rFonts w:ascii="Arial" w:hAnsi="Arial" w:cs="Arial"/>
        </w:rPr>
        <w:t xml:space="preserve">This module deals with European History and therefore will be international </w:t>
      </w:r>
      <w:r w:rsidRPr="00296DD9">
        <w:rPr>
          <w:rFonts w:ascii="Arial" w:hAnsi="Arial" w:cs="Arial"/>
          <w:i/>
        </w:rPr>
        <w:t>par excellence</w:t>
      </w:r>
      <w:r>
        <w:rPr>
          <w:rFonts w:ascii="Arial" w:hAnsi="Arial" w:cs="Arial"/>
        </w:rPr>
        <w:t>.</w:t>
      </w:r>
      <w:proofErr w:type="gramEnd"/>
      <w:r>
        <w:rPr>
          <w:rFonts w:ascii="Arial" w:hAnsi="Arial" w:cs="Arial"/>
        </w:rPr>
        <w:t xml:space="preserve"> It will try to make student</w:t>
      </w:r>
      <w:r w:rsidR="00DD2B86">
        <w:rPr>
          <w:rFonts w:ascii="Arial" w:hAnsi="Arial" w:cs="Arial"/>
        </w:rPr>
        <w:t>s</w:t>
      </w:r>
      <w:r>
        <w:rPr>
          <w:rFonts w:ascii="Arial" w:hAnsi="Arial" w:cs="Arial"/>
        </w:rPr>
        <w:t xml:space="preserve"> as familiar with Spanish </w:t>
      </w:r>
      <w:proofErr w:type="spellStart"/>
      <w:r>
        <w:rPr>
          <w:rFonts w:ascii="Arial" w:hAnsi="Arial" w:cs="Arial"/>
        </w:rPr>
        <w:t>Carlism</w:t>
      </w:r>
      <w:proofErr w:type="spellEnd"/>
      <w:r>
        <w:rPr>
          <w:rFonts w:ascii="Arial" w:hAnsi="Arial" w:cs="Arial"/>
        </w:rPr>
        <w:t xml:space="preserve">, Russian Romanticism and Italian Opera as they are with the English </w:t>
      </w:r>
      <w:proofErr w:type="gramStart"/>
      <w:r>
        <w:rPr>
          <w:rFonts w:ascii="Arial" w:hAnsi="Arial" w:cs="Arial"/>
        </w:rPr>
        <w:t>corn laws</w:t>
      </w:r>
      <w:proofErr w:type="gramEnd"/>
      <w:r>
        <w:rPr>
          <w:rFonts w:ascii="Arial" w:hAnsi="Arial" w:cs="Arial"/>
        </w:rPr>
        <w:t>.</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D2B86">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924D3"/>
    <w:multiLevelType w:val="hybridMultilevel"/>
    <w:tmpl w:val="EB76A3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2B4BDC"/>
    <w:multiLevelType w:val="hybridMultilevel"/>
    <w:tmpl w:val="078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BF4920"/>
    <w:multiLevelType w:val="hybridMultilevel"/>
    <w:tmpl w:val="2B70C7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240B8"/>
    <w:multiLevelType w:val="hybridMultilevel"/>
    <w:tmpl w:val="F9E21EEC"/>
    <w:lvl w:ilvl="0" w:tplc="08090001">
      <w:start w:val="1"/>
      <w:numFmt w:val="bullet"/>
      <w:lvlText w:val=""/>
      <w:lvlJc w:val="left"/>
      <w:pPr>
        <w:ind w:left="1506" w:hanging="360"/>
      </w:pPr>
      <w:rPr>
        <w:rFonts w:ascii="Symbol" w:hAnsi="Symbol" w:hint="default"/>
      </w:rPr>
    </w:lvl>
    <w:lvl w:ilvl="1" w:tplc="A6EAD838">
      <w:start w:val="13"/>
      <w:numFmt w:val="bullet"/>
      <w:lvlText w:val="•"/>
      <w:lvlJc w:val="left"/>
      <w:pPr>
        <w:ind w:left="2226" w:hanging="360"/>
      </w:pPr>
      <w:rPr>
        <w:rFonts w:ascii="Arial" w:eastAsiaTheme="minorEastAsia" w:hAnsi="Arial"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9"/>
  </w:num>
  <w:num w:numId="7">
    <w:abstractNumId w:val="13"/>
  </w:num>
  <w:num w:numId="8">
    <w:abstractNumId w:val="10"/>
  </w:num>
  <w:num w:numId="9">
    <w:abstractNumId w:val="6"/>
  </w:num>
  <w:num w:numId="10">
    <w:abstractNumId w:val="1"/>
  </w:num>
  <w:num w:numId="11">
    <w:abstractNumId w:val="7"/>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40D"/>
    <w:rsid w:val="001D6398"/>
    <w:rsid w:val="001E1F45"/>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0FE1"/>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23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0158"/>
    <w:rsid w:val="00754069"/>
    <w:rsid w:val="007667DF"/>
    <w:rsid w:val="0077080B"/>
    <w:rsid w:val="00786FC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8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3262"/>
    <w:rsid w:val="00BB4189"/>
    <w:rsid w:val="00BC19F7"/>
    <w:rsid w:val="00BC41ED"/>
    <w:rsid w:val="00BD009E"/>
    <w:rsid w:val="00BD0EF8"/>
    <w:rsid w:val="00BD7A8C"/>
    <w:rsid w:val="00BE2126"/>
    <w:rsid w:val="00BE3B17"/>
    <w:rsid w:val="00BF51AB"/>
    <w:rsid w:val="00BF716B"/>
    <w:rsid w:val="00BF7233"/>
    <w:rsid w:val="00C02AA2"/>
    <w:rsid w:val="00C04C95"/>
    <w:rsid w:val="00C11779"/>
    <w:rsid w:val="00C12613"/>
    <w:rsid w:val="00C16DEF"/>
    <w:rsid w:val="00C2492F"/>
    <w:rsid w:val="00C31189"/>
    <w:rsid w:val="00C3744A"/>
    <w:rsid w:val="00C4002A"/>
    <w:rsid w:val="00C41E37"/>
    <w:rsid w:val="00C46912"/>
    <w:rsid w:val="00C612A8"/>
    <w:rsid w:val="00C618D2"/>
    <w:rsid w:val="00C67631"/>
    <w:rsid w:val="00C709C6"/>
    <w:rsid w:val="00C729D7"/>
    <w:rsid w:val="00C75155"/>
    <w:rsid w:val="00C77AAD"/>
    <w:rsid w:val="00C83354"/>
    <w:rsid w:val="00C84004"/>
    <w:rsid w:val="00C843F6"/>
    <w:rsid w:val="00C84507"/>
    <w:rsid w:val="00C862C7"/>
    <w:rsid w:val="00CA3254"/>
    <w:rsid w:val="00CB11CE"/>
    <w:rsid w:val="00CC25A2"/>
    <w:rsid w:val="00CD105D"/>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4999"/>
    <w:rsid w:val="00DB5C9D"/>
    <w:rsid w:val="00DD02E6"/>
    <w:rsid w:val="00DD2B8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91334E"/>
  <w15:docId w15:val="{77E05F8C-F433-4B5D-97C9-8F75794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A58DC-9A53-4628-B6B3-CDF7FA7F233F}">
  <ds:schemaRefs>
    <ds:schemaRef ds:uri="http://schemas.openxmlformats.org/officeDocument/2006/bibliography"/>
  </ds:schemaRefs>
</ds:datastoreItem>
</file>

<file path=customXml/itemProps2.xml><?xml version="1.0" encoding="utf-8"?>
<ds:datastoreItem xmlns:ds="http://schemas.openxmlformats.org/officeDocument/2006/customXml" ds:itemID="{D930A404-A6D1-4734-84D8-861D148D257F}"/>
</file>

<file path=customXml/itemProps3.xml><?xml version="1.0" encoding="utf-8"?>
<ds:datastoreItem xmlns:ds="http://schemas.openxmlformats.org/officeDocument/2006/customXml" ds:itemID="{0B8820AD-248A-46BE-8983-4AA13DCD324C}"/>
</file>

<file path=customXml/itemProps4.xml><?xml version="1.0" encoding="utf-8"?>
<ds:datastoreItem xmlns:ds="http://schemas.openxmlformats.org/officeDocument/2006/customXml" ds:itemID="{63161144-7F95-4AAC-9F9A-05C0F65D8CBA}"/>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3</cp:revision>
  <cp:lastPrinted>2015-09-09T08:37:00Z</cp:lastPrinted>
  <dcterms:created xsi:type="dcterms:W3CDTF">2019-02-07T14:09:00Z</dcterms:created>
  <dcterms:modified xsi:type="dcterms:W3CDTF">2019-04-16T16:41:00Z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