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CD5B6" w14:textId="77777777" w:rsidR="009A4647" w:rsidRDefault="009A4647">
      <w:pPr>
        <w:pStyle w:val="Body"/>
        <w:spacing w:after="0" w:line="240" w:lineRule="auto"/>
        <w:rPr>
          <w:rFonts w:ascii="Arial" w:eastAsia="Arial" w:hAnsi="Arial" w:cs="Arial"/>
        </w:rPr>
      </w:pPr>
    </w:p>
    <w:p w14:paraId="623EBB53" w14:textId="77777777" w:rsidR="009A4647" w:rsidRDefault="00D80A4D">
      <w:pPr>
        <w:pStyle w:val="Body"/>
        <w:numPr>
          <w:ilvl w:val="0"/>
          <w:numId w:val="29"/>
        </w:numPr>
        <w:spacing w:after="120" w:line="240" w:lineRule="auto"/>
        <w:ind w:right="260"/>
        <w:jc w:val="both"/>
        <w:rPr>
          <w:rFonts w:ascii="Arial" w:eastAsia="Arial" w:hAnsi="Arial" w:cs="Arial"/>
          <w:b/>
          <w:bCs/>
          <w:lang w:val="en-US"/>
        </w:rPr>
      </w:pPr>
      <w:r>
        <w:rPr>
          <w:rFonts w:ascii="Arial" w:hAnsi="Arial"/>
          <w:b/>
          <w:bCs/>
          <w:lang w:val="en-US"/>
        </w:rPr>
        <w:t>Title o</w:t>
      </w:r>
      <w:bookmarkStart w:id="0" w:name="_GoBack"/>
      <w:bookmarkEnd w:id="0"/>
      <w:r>
        <w:rPr>
          <w:rFonts w:ascii="Arial" w:hAnsi="Arial"/>
          <w:b/>
          <w:bCs/>
          <w:lang w:val="en-US"/>
        </w:rPr>
        <w:t>f the module</w:t>
      </w:r>
    </w:p>
    <w:p w14:paraId="1BA55372" w14:textId="3BA4350D" w:rsidR="009A4647" w:rsidRPr="00325F8F" w:rsidRDefault="007909A5">
      <w:pPr>
        <w:pStyle w:val="Body"/>
        <w:spacing w:after="120" w:line="240" w:lineRule="auto"/>
        <w:ind w:left="426" w:right="260"/>
        <w:jc w:val="both"/>
        <w:rPr>
          <w:rFonts w:ascii="Arial" w:eastAsia="Arial" w:hAnsi="Arial" w:cs="Arial"/>
          <w:lang w:val="en-US"/>
        </w:rPr>
      </w:pPr>
      <w:r>
        <w:rPr>
          <w:rFonts w:ascii="Arial" w:hAnsi="Arial"/>
          <w:lang w:val="en-US"/>
        </w:rPr>
        <w:t>Congo: A History of Violence</w:t>
      </w:r>
    </w:p>
    <w:p w14:paraId="307EEC4B" w14:textId="77777777" w:rsidR="009A4647" w:rsidRDefault="00D80A4D">
      <w:pPr>
        <w:pStyle w:val="Body"/>
        <w:numPr>
          <w:ilvl w:val="0"/>
          <w:numId w:val="29"/>
        </w:numPr>
        <w:spacing w:after="120" w:line="240" w:lineRule="auto"/>
        <w:ind w:right="260"/>
        <w:jc w:val="both"/>
        <w:rPr>
          <w:rFonts w:ascii="Arial" w:eastAsia="Arial" w:hAnsi="Arial" w:cs="Arial"/>
          <w:b/>
          <w:bCs/>
          <w:lang w:val="en-US"/>
        </w:rPr>
      </w:pPr>
      <w:r>
        <w:rPr>
          <w:rFonts w:ascii="Arial" w:hAnsi="Arial"/>
          <w:b/>
          <w:bCs/>
          <w:lang w:val="en-US"/>
        </w:rPr>
        <w:t>School or partner institution which will be responsible for management of the module</w:t>
      </w:r>
    </w:p>
    <w:p w14:paraId="103BD5B6" w14:textId="7BF3A199" w:rsidR="009A4647" w:rsidRDefault="00A950A3">
      <w:pPr>
        <w:pStyle w:val="Body"/>
        <w:spacing w:after="120" w:line="240" w:lineRule="auto"/>
        <w:ind w:left="426" w:right="260"/>
        <w:rPr>
          <w:rFonts w:ascii="Arial" w:eastAsia="Arial" w:hAnsi="Arial" w:cs="Arial"/>
        </w:rPr>
      </w:pPr>
      <w:r>
        <w:rPr>
          <w:rFonts w:ascii="Arial" w:eastAsia="Arial" w:hAnsi="Arial" w:cs="Arial"/>
        </w:rPr>
        <w:t>School of History</w:t>
      </w:r>
    </w:p>
    <w:p w14:paraId="62826023" w14:textId="77777777" w:rsidR="009A4647" w:rsidRDefault="00D80A4D">
      <w:pPr>
        <w:pStyle w:val="Body"/>
        <w:numPr>
          <w:ilvl w:val="0"/>
          <w:numId w:val="29"/>
        </w:numPr>
        <w:spacing w:after="120" w:line="240" w:lineRule="auto"/>
        <w:ind w:right="260"/>
        <w:jc w:val="both"/>
        <w:rPr>
          <w:rFonts w:ascii="Arial" w:eastAsia="Arial" w:hAnsi="Arial" w:cs="Arial"/>
          <w:b/>
          <w:bCs/>
          <w:lang w:val="en-US"/>
        </w:rPr>
      </w:pPr>
      <w:r>
        <w:rPr>
          <w:rFonts w:ascii="Arial" w:hAnsi="Arial"/>
          <w:b/>
          <w:bCs/>
          <w:lang w:val="en-US"/>
        </w:rPr>
        <w:t>The level of the module (Level 4, Level 5, Level 6 or Level 7)</w:t>
      </w:r>
    </w:p>
    <w:p w14:paraId="3EAF0152" w14:textId="70E5D6CB" w:rsidR="009A4647" w:rsidRDefault="00D318D2">
      <w:pPr>
        <w:pStyle w:val="Body"/>
        <w:spacing w:after="120" w:line="240" w:lineRule="auto"/>
        <w:ind w:left="426" w:right="260"/>
        <w:rPr>
          <w:rFonts w:ascii="Arial" w:eastAsia="Arial" w:hAnsi="Arial" w:cs="Arial"/>
        </w:rPr>
      </w:pPr>
      <w:r>
        <w:rPr>
          <w:rFonts w:ascii="Arial" w:eastAsia="Arial" w:hAnsi="Arial" w:cs="Arial"/>
        </w:rPr>
        <w:t xml:space="preserve">Level </w:t>
      </w:r>
      <w:r w:rsidR="00A950A3">
        <w:rPr>
          <w:rFonts w:ascii="Arial" w:eastAsia="Arial" w:hAnsi="Arial" w:cs="Arial"/>
        </w:rPr>
        <w:t>7</w:t>
      </w:r>
    </w:p>
    <w:p w14:paraId="3C6E198A" w14:textId="77777777" w:rsidR="00D318D2" w:rsidRPr="001E6FBF" w:rsidRDefault="00D80A4D">
      <w:pPr>
        <w:pStyle w:val="Body"/>
        <w:numPr>
          <w:ilvl w:val="0"/>
          <w:numId w:val="29"/>
        </w:numPr>
        <w:spacing w:after="120" w:line="240" w:lineRule="auto"/>
        <w:ind w:right="260"/>
        <w:jc w:val="both"/>
        <w:rPr>
          <w:rFonts w:ascii="Arial" w:eastAsia="Arial" w:hAnsi="Arial" w:cs="Arial"/>
          <w:b/>
          <w:bCs/>
          <w:lang w:val="en-US"/>
        </w:rPr>
      </w:pPr>
      <w:r>
        <w:rPr>
          <w:rFonts w:ascii="Arial" w:hAnsi="Arial"/>
          <w:b/>
          <w:bCs/>
          <w:lang w:val="en-US"/>
        </w:rPr>
        <w:t>The number of credits and the ECTS va</w:t>
      </w:r>
      <w:r w:rsidR="004F7206">
        <w:rPr>
          <w:rFonts w:ascii="Arial" w:hAnsi="Arial"/>
          <w:b/>
          <w:bCs/>
          <w:lang w:val="en-US"/>
        </w:rPr>
        <w:t>lue which the module represents</w:t>
      </w:r>
      <w:r w:rsidR="004F7206">
        <w:rPr>
          <w:rFonts w:ascii="Arial" w:hAnsi="Arial"/>
          <w:lang w:val="en-US"/>
        </w:rPr>
        <w:t xml:space="preserve"> </w:t>
      </w:r>
    </w:p>
    <w:p w14:paraId="5AD28220" w14:textId="66D69D45" w:rsidR="009A4647" w:rsidRDefault="004F7206" w:rsidP="001E6FBF">
      <w:pPr>
        <w:pStyle w:val="Body"/>
        <w:spacing w:after="120" w:line="240" w:lineRule="auto"/>
        <w:ind w:left="426" w:right="260"/>
        <w:jc w:val="both"/>
        <w:rPr>
          <w:rFonts w:ascii="Arial" w:eastAsia="Arial" w:hAnsi="Arial" w:cs="Arial"/>
          <w:b/>
          <w:bCs/>
          <w:lang w:val="en-US"/>
        </w:rPr>
      </w:pPr>
      <w:r>
        <w:rPr>
          <w:rFonts w:ascii="Arial" w:hAnsi="Arial"/>
          <w:lang w:val="en-US"/>
        </w:rPr>
        <w:t>30 credits (15 ECTS)</w:t>
      </w:r>
    </w:p>
    <w:p w14:paraId="58D6EF93" w14:textId="77777777" w:rsidR="009A4647" w:rsidRPr="00325F8F" w:rsidRDefault="009A4647">
      <w:pPr>
        <w:pStyle w:val="Body"/>
        <w:spacing w:after="120" w:line="240" w:lineRule="auto"/>
        <w:ind w:left="426" w:right="260"/>
        <w:rPr>
          <w:rFonts w:ascii="Arial" w:eastAsia="Arial" w:hAnsi="Arial" w:cs="Arial"/>
          <w:lang w:val="en-US"/>
        </w:rPr>
      </w:pPr>
    </w:p>
    <w:p w14:paraId="525C4D9C" w14:textId="77777777" w:rsidR="00D318D2" w:rsidRPr="001E6FBF" w:rsidRDefault="00D80A4D">
      <w:pPr>
        <w:pStyle w:val="Body"/>
        <w:numPr>
          <w:ilvl w:val="0"/>
          <w:numId w:val="29"/>
        </w:numPr>
        <w:spacing w:after="120" w:line="240" w:lineRule="auto"/>
        <w:ind w:right="260"/>
        <w:jc w:val="both"/>
        <w:rPr>
          <w:rFonts w:ascii="Arial" w:eastAsia="Arial" w:hAnsi="Arial" w:cs="Arial"/>
          <w:b/>
          <w:bCs/>
          <w:lang w:val="en-US"/>
        </w:rPr>
      </w:pPr>
      <w:r>
        <w:rPr>
          <w:rFonts w:ascii="Arial" w:hAnsi="Arial"/>
          <w:b/>
          <w:bCs/>
          <w:lang w:val="en-US"/>
        </w:rPr>
        <w:t>Which term(s) the module is to be taught in (or other teaching pattern)</w:t>
      </w:r>
      <w:r w:rsidR="004F7206">
        <w:rPr>
          <w:rFonts w:ascii="Arial" w:hAnsi="Arial"/>
          <w:b/>
          <w:bCs/>
          <w:lang w:val="en-US"/>
        </w:rPr>
        <w:t xml:space="preserve"> </w:t>
      </w:r>
    </w:p>
    <w:p w14:paraId="48B1AE19" w14:textId="3A1A48F1" w:rsidR="009A4647" w:rsidRDefault="004F7206" w:rsidP="001E6FBF">
      <w:pPr>
        <w:pStyle w:val="Body"/>
        <w:spacing w:after="120" w:line="240" w:lineRule="auto"/>
        <w:ind w:left="426" w:right="260"/>
        <w:jc w:val="both"/>
        <w:rPr>
          <w:rFonts w:ascii="Arial" w:eastAsia="Arial" w:hAnsi="Arial" w:cs="Arial"/>
          <w:b/>
          <w:bCs/>
          <w:lang w:val="en-US"/>
        </w:rPr>
      </w:pPr>
      <w:r>
        <w:rPr>
          <w:rFonts w:ascii="Arial" w:hAnsi="Arial"/>
          <w:lang w:val="en-US"/>
        </w:rPr>
        <w:t>Spring term</w:t>
      </w:r>
    </w:p>
    <w:p w14:paraId="6370CACC" w14:textId="77777777" w:rsidR="009A4647" w:rsidRPr="00325F8F" w:rsidRDefault="009A4647">
      <w:pPr>
        <w:pStyle w:val="Body"/>
        <w:spacing w:after="120" w:line="240" w:lineRule="auto"/>
        <w:ind w:left="426" w:right="260"/>
        <w:rPr>
          <w:rFonts w:ascii="Arial" w:eastAsia="Arial" w:hAnsi="Arial" w:cs="Arial"/>
          <w:lang w:val="en-US"/>
        </w:rPr>
      </w:pPr>
    </w:p>
    <w:p w14:paraId="1D6D1547" w14:textId="77777777" w:rsidR="00D318D2" w:rsidRPr="001E6FBF" w:rsidRDefault="00D80A4D">
      <w:pPr>
        <w:pStyle w:val="Body"/>
        <w:numPr>
          <w:ilvl w:val="0"/>
          <w:numId w:val="29"/>
        </w:numPr>
        <w:spacing w:after="120" w:line="240" w:lineRule="auto"/>
        <w:ind w:right="260"/>
        <w:jc w:val="both"/>
        <w:rPr>
          <w:rFonts w:ascii="Arial" w:eastAsia="Arial" w:hAnsi="Arial" w:cs="Arial"/>
          <w:b/>
          <w:bCs/>
          <w:lang w:val="en-US"/>
        </w:rPr>
      </w:pPr>
      <w:r>
        <w:rPr>
          <w:rFonts w:ascii="Arial" w:hAnsi="Arial"/>
          <w:b/>
          <w:bCs/>
          <w:lang w:val="en-US"/>
        </w:rPr>
        <w:t>Prerequisite and co-requisite modules</w:t>
      </w:r>
      <w:r w:rsidR="004F7206">
        <w:rPr>
          <w:rFonts w:ascii="Arial" w:hAnsi="Arial"/>
          <w:b/>
          <w:bCs/>
          <w:lang w:val="en-US"/>
        </w:rPr>
        <w:t xml:space="preserve"> </w:t>
      </w:r>
    </w:p>
    <w:p w14:paraId="7920EC84" w14:textId="7CD60275" w:rsidR="009A4647" w:rsidRDefault="004F7206" w:rsidP="001E6FBF">
      <w:pPr>
        <w:pStyle w:val="Body"/>
        <w:spacing w:after="120" w:line="240" w:lineRule="auto"/>
        <w:ind w:left="426" w:right="260"/>
        <w:jc w:val="both"/>
        <w:rPr>
          <w:rFonts w:ascii="Arial" w:eastAsia="Arial" w:hAnsi="Arial" w:cs="Arial"/>
          <w:b/>
          <w:bCs/>
          <w:lang w:val="en-US"/>
        </w:rPr>
      </w:pPr>
      <w:r w:rsidRPr="004F7206">
        <w:rPr>
          <w:rFonts w:ascii="Arial" w:hAnsi="Arial"/>
          <w:lang w:val="en-US"/>
        </w:rPr>
        <w:t>Non</w:t>
      </w:r>
      <w:r>
        <w:rPr>
          <w:rFonts w:ascii="Arial" w:hAnsi="Arial"/>
          <w:lang w:val="en-US"/>
        </w:rPr>
        <w:t>e</w:t>
      </w:r>
    </w:p>
    <w:p w14:paraId="7F1E802E" w14:textId="77777777" w:rsidR="009A4647" w:rsidRPr="004F7206" w:rsidRDefault="009A4647">
      <w:pPr>
        <w:pStyle w:val="Body"/>
        <w:spacing w:after="120" w:line="240" w:lineRule="auto"/>
        <w:ind w:left="426" w:right="260"/>
        <w:rPr>
          <w:rFonts w:ascii="Arial" w:eastAsia="Arial" w:hAnsi="Arial" w:cs="Arial"/>
          <w:lang w:val="en-US"/>
        </w:rPr>
      </w:pPr>
    </w:p>
    <w:p w14:paraId="50286B35" w14:textId="77777777" w:rsidR="009A4647" w:rsidRDefault="00D80A4D">
      <w:pPr>
        <w:pStyle w:val="Body"/>
        <w:numPr>
          <w:ilvl w:val="0"/>
          <w:numId w:val="29"/>
        </w:numPr>
        <w:spacing w:after="120" w:line="240" w:lineRule="auto"/>
        <w:ind w:right="260"/>
        <w:jc w:val="both"/>
        <w:rPr>
          <w:rFonts w:ascii="Arial" w:eastAsia="Arial" w:hAnsi="Arial" w:cs="Arial"/>
          <w:b/>
          <w:bCs/>
          <w:lang w:val="en-US"/>
        </w:rPr>
      </w:pPr>
      <w:r>
        <w:rPr>
          <w:rFonts w:ascii="Arial" w:hAnsi="Arial"/>
          <w:b/>
          <w:bCs/>
          <w:lang w:val="en-US"/>
        </w:rPr>
        <w:t>The programmes of study to which the module contributes</w:t>
      </w:r>
    </w:p>
    <w:p w14:paraId="2593FC2E" w14:textId="393E3CFD" w:rsidR="007909A5" w:rsidRDefault="007909A5">
      <w:pPr>
        <w:pStyle w:val="Body"/>
        <w:spacing w:after="120" w:line="240" w:lineRule="auto"/>
        <w:ind w:left="426" w:right="260"/>
        <w:rPr>
          <w:rFonts w:ascii="Arial" w:eastAsia="Arial" w:hAnsi="Arial" w:cs="Arial"/>
          <w:lang w:val="en-US"/>
        </w:rPr>
      </w:pPr>
      <w:r>
        <w:rPr>
          <w:rFonts w:ascii="Arial" w:eastAsia="Arial" w:hAnsi="Arial" w:cs="Arial"/>
          <w:lang w:val="en-US"/>
        </w:rPr>
        <w:t>MA in Imperial History</w:t>
      </w:r>
    </w:p>
    <w:p w14:paraId="73332DAE" w14:textId="47665049" w:rsidR="004F7206" w:rsidRDefault="004F7206">
      <w:pPr>
        <w:pStyle w:val="Body"/>
        <w:spacing w:after="120" w:line="240" w:lineRule="auto"/>
        <w:ind w:left="426" w:right="260"/>
        <w:rPr>
          <w:rFonts w:ascii="Arial" w:eastAsia="Arial" w:hAnsi="Arial" w:cs="Arial"/>
          <w:lang w:val="en-US"/>
        </w:rPr>
      </w:pPr>
      <w:r>
        <w:rPr>
          <w:rFonts w:ascii="Arial" w:eastAsia="Arial" w:hAnsi="Arial" w:cs="Arial"/>
          <w:lang w:val="en-US"/>
        </w:rPr>
        <w:t>MA Modern History</w:t>
      </w:r>
    </w:p>
    <w:p w14:paraId="23B68C4E" w14:textId="57E523A7" w:rsidR="007909A5" w:rsidRDefault="007909A5">
      <w:pPr>
        <w:pStyle w:val="Body"/>
        <w:spacing w:after="120" w:line="240" w:lineRule="auto"/>
        <w:ind w:left="426" w:right="260"/>
        <w:rPr>
          <w:rFonts w:ascii="Arial" w:eastAsia="Arial" w:hAnsi="Arial" w:cs="Arial"/>
          <w:lang w:val="en-US"/>
        </w:rPr>
      </w:pPr>
      <w:r>
        <w:rPr>
          <w:rFonts w:ascii="Arial" w:eastAsia="Arial" w:hAnsi="Arial" w:cs="Arial"/>
          <w:lang w:val="en-US"/>
        </w:rPr>
        <w:t>MA in War, Media and Society</w:t>
      </w:r>
    </w:p>
    <w:p w14:paraId="67689D94" w14:textId="77777777" w:rsidR="00542D91" w:rsidRPr="00325F8F" w:rsidRDefault="00542D91">
      <w:pPr>
        <w:pStyle w:val="Body"/>
        <w:spacing w:after="120" w:line="240" w:lineRule="auto"/>
        <w:ind w:left="426" w:right="260"/>
        <w:rPr>
          <w:rFonts w:ascii="Arial" w:eastAsia="Arial" w:hAnsi="Arial" w:cs="Arial"/>
          <w:lang w:val="en-US"/>
        </w:rPr>
      </w:pPr>
    </w:p>
    <w:p w14:paraId="23C0294A" w14:textId="77777777" w:rsidR="009A4647" w:rsidRDefault="00D80A4D">
      <w:pPr>
        <w:pStyle w:val="Body"/>
        <w:numPr>
          <w:ilvl w:val="0"/>
          <w:numId w:val="29"/>
        </w:numPr>
        <w:spacing w:after="120" w:line="240" w:lineRule="auto"/>
        <w:ind w:right="260"/>
        <w:rPr>
          <w:rFonts w:ascii="Arial" w:eastAsia="Arial" w:hAnsi="Arial" w:cs="Arial"/>
          <w:b/>
          <w:bCs/>
          <w:lang w:val="en-US"/>
        </w:rPr>
      </w:pPr>
      <w:r>
        <w:rPr>
          <w:rFonts w:ascii="Arial" w:hAnsi="Arial"/>
          <w:b/>
          <w:bCs/>
          <w:lang w:val="en-US"/>
        </w:rPr>
        <w:t>The intended subject specific learning outcomes.</w:t>
      </w:r>
      <w:r w:rsidRPr="00325F8F">
        <w:rPr>
          <w:rFonts w:ascii="Arial Unicode MS" w:eastAsia="Arial Unicode MS" w:hAnsi="Arial Unicode MS" w:cs="Arial Unicode MS"/>
          <w:lang w:val="en-US"/>
        </w:rPr>
        <w:br/>
      </w:r>
      <w:r>
        <w:rPr>
          <w:rFonts w:ascii="Arial" w:hAnsi="Arial"/>
          <w:b/>
          <w:bCs/>
          <w:lang w:val="en-US"/>
        </w:rPr>
        <w:t>On successfully completing the module students will be able to:</w:t>
      </w:r>
    </w:p>
    <w:p w14:paraId="1DFCBF19" w14:textId="6BB80AF4" w:rsidR="009A4647" w:rsidRDefault="004120FD" w:rsidP="004120FD">
      <w:pPr>
        <w:pStyle w:val="Body"/>
        <w:numPr>
          <w:ilvl w:val="1"/>
          <w:numId w:val="29"/>
        </w:numPr>
        <w:tabs>
          <w:tab w:val="left" w:pos="720"/>
        </w:tabs>
        <w:rPr>
          <w:rFonts w:ascii="Arial" w:hAnsi="Arial" w:cs="Arial"/>
          <w:lang w:val="en-US"/>
        </w:rPr>
      </w:pPr>
      <w:r>
        <w:rPr>
          <w:rFonts w:ascii="Arial" w:hAnsi="Arial" w:cs="Arial"/>
          <w:lang w:val="en-US"/>
        </w:rPr>
        <w:t xml:space="preserve">Demonstrate a </w:t>
      </w:r>
      <w:r w:rsidR="00D04CDB">
        <w:rPr>
          <w:rFonts w:ascii="Arial" w:hAnsi="Arial" w:cs="Arial"/>
          <w:lang w:val="en-US"/>
        </w:rPr>
        <w:t xml:space="preserve">systematic </w:t>
      </w:r>
      <w:r>
        <w:rPr>
          <w:rFonts w:ascii="Arial" w:hAnsi="Arial" w:cs="Arial"/>
          <w:lang w:val="en-US"/>
        </w:rPr>
        <w:t xml:space="preserve">understanding of Congolese history over the past </w:t>
      </w:r>
      <w:r w:rsidR="002F6A07">
        <w:rPr>
          <w:rFonts w:ascii="Arial" w:hAnsi="Arial" w:cs="Arial"/>
          <w:lang w:val="en-US"/>
        </w:rPr>
        <w:t>150 years</w:t>
      </w:r>
      <w:r>
        <w:rPr>
          <w:rFonts w:ascii="Arial" w:hAnsi="Arial" w:cs="Arial"/>
          <w:lang w:val="en-US"/>
        </w:rPr>
        <w:t>.</w:t>
      </w:r>
    </w:p>
    <w:p w14:paraId="4F85277B" w14:textId="0E891DB7" w:rsidR="004120FD" w:rsidRDefault="00E76DF5" w:rsidP="00D04CDB">
      <w:pPr>
        <w:pStyle w:val="Body"/>
        <w:numPr>
          <w:ilvl w:val="1"/>
          <w:numId w:val="29"/>
        </w:numPr>
        <w:tabs>
          <w:tab w:val="left" w:pos="720"/>
        </w:tabs>
        <w:rPr>
          <w:rFonts w:ascii="Arial" w:hAnsi="Arial" w:cs="Arial"/>
          <w:lang w:val="en-US"/>
        </w:rPr>
      </w:pPr>
      <w:r>
        <w:rPr>
          <w:rFonts w:ascii="Arial" w:hAnsi="Arial" w:cs="Arial"/>
          <w:lang w:val="en-US"/>
        </w:rPr>
        <w:t>Demonstrate a c</w:t>
      </w:r>
      <w:r w:rsidR="00D04CDB">
        <w:rPr>
          <w:rFonts w:ascii="Arial" w:hAnsi="Arial" w:cs="Arial"/>
          <w:lang w:val="en-US"/>
        </w:rPr>
        <w:t>onceptual understanding of</w:t>
      </w:r>
      <w:r w:rsidR="004120FD">
        <w:rPr>
          <w:rFonts w:ascii="Arial" w:hAnsi="Arial" w:cs="Arial"/>
          <w:lang w:val="en-US"/>
        </w:rPr>
        <w:t xml:space="preserve"> different historiographical approaches to the role played by armed conflict and violence in the Cong</w:t>
      </w:r>
      <w:r w:rsidR="00542D91">
        <w:rPr>
          <w:rFonts w:ascii="Arial" w:hAnsi="Arial" w:cs="Arial"/>
          <w:lang w:val="en-US"/>
        </w:rPr>
        <w:t>o, from the late pre-colonial e</w:t>
      </w:r>
      <w:r w:rsidR="004120FD">
        <w:rPr>
          <w:rFonts w:ascii="Arial" w:hAnsi="Arial" w:cs="Arial"/>
          <w:lang w:val="en-US"/>
        </w:rPr>
        <w:t>r</w:t>
      </w:r>
      <w:r w:rsidR="00542D91">
        <w:rPr>
          <w:rFonts w:ascii="Arial" w:hAnsi="Arial" w:cs="Arial"/>
          <w:lang w:val="en-US"/>
        </w:rPr>
        <w:t>a</w:t>
      </w:r>
      <w:r w:rsidR="004120FD">
        <w:rPr>
          <w:rFonts w:ascii="Arial" w:hAnsi="Arial" w:cs="Arial"/>
          <w:lang w:val="en-US"/>
        </w:rPr>
        <w:t xml:space="preserve"> to the present</w:t>
      </w:r>
      <w:r w:rsidR="00D04CDB">
        <w:rPr>
          <w:rFonts w:ascii="Arial" w:hAnsi="Arial" w:cs="Arial"/>
          <w:lang w:val="en-US"/>
        </w:rPr>
        <w:t>, enabling the student to</w:t>
      </w:r>
      <w:r w:rsidR="00D04CDB" w:rsidRPr="00D04CDB">
        <w:t xml:space="preserve"> </w:t>
      </w:r>
      <w:r w:rsidR="00D04CDB" w:rsidRPr="00D04CDB">
        <w:rPr>
          <w:rFonts w:ascii="Arial" w:hAnsi="Arial" w:cs="Arial"/>
          <w:lang w:val="en-US"/>
        </w:rPr>
        <w:t>critically</w:t>
      </w:r>
      <w:r w:rsidR="00D04CDB">
        <w:rPr>
          <w:rFonts w:ascii="Arial" w:hAnsi="Arial" w:cs="Arial"/>
          <w:lang w:val="en-US"/>
        </w:rPr>
        <w:t xml:space="preserve"> evaluate</w:t>
      </w:r>
      <w:r w:rsidR="00D04CDB" w:rsidRPr="00D04CDB">
        <w:rPr>
          <w:rFonts w:ascii="Arial" w:hAnsi="Arial" w:cs="Arial"/>
          <w:lang w:val="en-US"/>
        </w:rPr>
        <w:t xml:space="preserve"> current research and advanced scholarship in the discipline</w:t>
      </w:r>
      <w:r w:rsidR="004120FD">
        <w:rPr>
          <w:rFonts w:ascii="Arial" w:hAnsi="Arial" w:cs="Arial"/>
          <w:lang w:val="en-US"/>
        </w:rPr>
        <w:t xml:space="preserve">. </w:t>
      </w:r>
    </w:p>
    <w:p w14:paraId="32B0769F" w14:textId="21428317" w:rsidR="004120FD" w:rsidRDefault="00542D91" w:rsidP="004120FD">
      <w:pPr>
        <w:pStyle w:val="Body"/>
        <w:numPr>
          <w:ilvl w:val="1"/>
          <w:numId w:val="29"/>
        </w:numPr>
        <w:tabs>
          <w:tab w:val="left" w:pos="720"/>
        </w:tabs>
        <w:rPr>
          <w:rFonts w:ascii="Arial" w:hAnsi="Arial" w:cs="Arial"/>
          <w:lang w:val="en-US"/>
        </w:rPr>
      </w:pPr>
      <w:r>
        <w:rPr>
          <w:rFonts w:ascii="Arial" w:hAnsi="Arial" w:cs="Arial"/>
          <w:lang w:val="en-US"/>
        </w:rPr>
        <w:t>Show familiarity with the</w:t>
      </w:r>
      <w:r w:rsidR="004120FD">
        <w:rPr>
          <w:rFonts w:ascii="Arial" w:hAnsi="Arial" w:cs="Arial"/>
          <w:lang w:val="en-US"/>
        </w:rPr>
        <w:t xml:space="preserve"> drivers and protagonists of violence, </w:t>
      </w:r>
      <w:r>
        <w:rPr>
          <w:rFonts w:ascii="Arial" w:hAnsi="Arial" w:cs="Arial"/>
          <w:lang w:val="en-US"/>
        </w:rPr>
        <w:t>including state, non-state and international actors.</w:t>
      </w:r>
    </w:p>
    <w:p w14:paraId="19AE35EC" w14:textId="3D45BEB0" w:rsidR="00542D91" w:rsidRDefault="002F6A07" w:rsidP="00542D91">
      <w:pPr>
        <w:pStyle w:val="Body"/>
        <w:numPr>
          <w:ilvl w:val="1"/>
          <w:numId w:val="29"/>
        </w:numPr>
        <w:tabs>
          <w:tab w:val="left" w:pos="720"/>
        </w:tabs>
        <w:rPr>
          <w:rFonts w:ascii="Arial" w:hAnsi="Arial" w:cs="Arial"/>
          <w:lang w:val="en-US"/>
        </w:rPr>
      </w:pPr>
      <w:r>
        <w:rPr>
          <w:rFonts w:ascii="Arial" w:hAnsi="Arial" w:cs="Arial"/>
          <w:lang w:val="en-US"/>
        </w:rPr>
        <w:lastRenderedPageBreak/>
        <w:t>Demonstrate a</w:t>
      </w:r>
      <w:r w:rsidR="00D04CDB">
        <w:rPr>
          <w:rFonts w:ascii="Arial" w:hAnsi="Arial" w:cs="Arial"/>
          <w:lang w:val="en-US"/>
        </w:rPr>
        <w:t xml:space="preserve"> comprehensive</w:t>
      </w:r>
      <w:r>
        <w:rPr>
          <w:rFonts w:ascii="Arial" w:hAnsi="Arial" w:cs="Arial"/>
          <w:lang w:val="en-US"/>
        </w:rPr>
        <w:t xml:space="preserve"> understanding of the</w:t>
      </w:r>
      <w:r w:rsidR="00542D91">
        <w:rPr>
          <w:rFonts w:ascii="Arial" w:hAnsi="Arial" w:cs="Arial"/>
          <w:lang w:val="en-US"/>
        </w:rPr>
        <w:t xml:space="preserve"> workings of colonial and post-colonial</w:t>
      </w:r>
      <w:r w:rsidR="003529A3">
        <w:rPr>
          <w:rFonts w:ascii="Arial" w:hAnsi="Arial" w:cs="Arial"/>
          <w:lang w:val="en-US"/>
        </w:rPr>
        <w:t xml:space="preserve"> polities and the problems faced by</w:t>
      </w:r>
      <w:r w:rsidR="00542D91">
        <w:rPr>
          <w:rFonts w:ascii="Arial" w:hAnsi="Arial" w:cs="Arial"/>
          <w:lang w:val="en-US"/>
        </w:rPr>
        <w:t xml:space="preserve"> ‘resource-cursed’ states </w:t>
      </w:r>
    </w:p>
    <w:p w14:paraId="7485EA69" w14:textId="77777777" w:rsidR="00542D91" w:rsidRDefault="00542D91" w:rsidP="00542D91">
      <w:pPr>
        <w:pStyle w:val="Body"/>
        <w:numPr>
          <w:ilvl w:val="1"/>
          <w:numId w:val="29"/>
        </w:numPr>
        <w:tabs>
          <w:tab w:val="left" w:pos="720"/>
        </w:tabs>
        <w:rPr>
          <w:rFonts w:ascii="Arial" w:hAnsi="Arial" w:cs="Arial"/>
          <w:lang w:val="en-US"/>
        </w:rPr>
      </w:pPr>
      <w:r w:rsidRPr="00542D91">
        <w:rPr>
          <w:rFonts w:ascii="Arial" w:hAnsi="Arial" w:cs="Arial"/>
          <w:lang w:val="en-US"/>
        </w:rPr>
        <w:t>Critically evaluate enduring international perceptions of the Congo’s ‘exceptionalism’.</w:t>
      </w:r>
    </w:p>
    <w:p w14:paraId="745BDA34" w14:textId="77777777" w:rsidR="001E6FBF" w:rsidRDefault="001E6FBF">
      <w:pPr>
        <w:rPr>
          <w:rFonts w:ascii="Arial" w:eastAsia="Calibri" w:hAnsi="Arial" w:cs="Calibri"/>
          <w:b/>
          <w:bCs/>
          <w:color w:val="000000"/>
          <w:sz w:val="22"/>
          <w:szCs w:val="22"/>
          <w:u w:color="000000"/>
        </w:rPr>
      </w:pPr>
      <w:r>
        <w:rPr>
          <w:rFonts w:ascii="Arial" w:hAnsi="Arial"/>
          <w:b/>
          <w:bCs/>
        </w:rPr>
        <w:br w:type="page"/>
      </w:r>
    </w:p>
    <w:p w14:paraId="4BFD277E" w14:textId="5988E8E7" w:rsidR="00325F8F" w:rsidRPr="00542D91" w:rsidRDefault="00D80A4D" w:rsidP="00542D91">
      <w:pPr>
        <w:pStyle w:val="Body"/>
        <w:numPr>
          <w:ilvl w:val="0"/>
          <w:numId w:val="33"/>
        </w:numPr>
        <w:tabs>
          <w:tab w:val="left" w:pos="720"/>
        </w:tabs>
        <w:rPr>
          <w:rFonts w:ascii="Arial" w:hAnsi="Arial" w:cs="Arial"/>
          <w:lang w:val="en-US"/>
        </w:rPr>
      </w:pPr>
      <w:r w:rsidRPr="00542D91">
        <w:rPr>
          <w:rFonts w:ascii="Arial" w:hAnsi="Arial"/>
          <w:b/>
          <w:bCs/>
          <w:lang w:val="en-US"/>
        </w:rPr>
        <w:t>The intended generic learning outcomes.</w:t>
      </w:r>
      <w:r w:rsidRPr="00542D91">
        <w:rPr>
          <w:rFonts w:ascii="Arial Unicode MS" w:eastAsia="Arial Unicode MS" w:hAnsi="Arial Unicode MS" w:cs="Arial Unicode MS"/>
          <w:lang w:val="en-US"/>
        </w:rPr>
        <w:br/>
      </w:r>
      <w:r w:rsidRPr="00542D91">
        <w:rPr>
          <w:rFonts w:ascii="Arial" w:hAnsi="Arial"/>
          <w:b/>
          <w:bCs/>
          <w:lang w:val="en-US"/>
        </w:rPr>
        <w:t>On successfully completing the module students will be able to:</w:t>
      </w:r>
    </w:p>
    <w:p w14:paraId="508951B9" w14:textId="4733DB2A" w:rsidR="004120FD" w:rsidRDefault="004120FD" w:rsidP="003B58EA">
      <w:pPr>
        <w:pStyle w:val="Default"/>
        <w:numPr>
          <w:ilvl w:val="3"/>
          <w:numId w:val="33"/>
        </w:numPr>
        <w:spacing w:before="60" w:after="60"/>
        <w:ind w:left="1134" w:right="-330"/>
        <w:rPr>
          <w:color w:val="auto"/>
          <w:sz w:val="22"/>
          <w:szCs w:val="22"/>
        </w:rPr>
      </w:pPr>
      <w:r>
        <w:rPr>
          <w:color w:val="auto"/>
          <w:sz w:val="22"/>
          <w:szCs w:val="22"/>
        </w:rPr>
        <w:t>S</w:t>
      </w:r>
      <w:r w:rsidRPr="00AB7865">
        <w:rPr>
          <w:color w:val="auto"/>
          <w:sz w:val="22"/>
          <w:szCs w:val="22"/>
        </w:rPr>
        <w:t>ustain concentration and aim</w:t>
      </w:r>
      <w:r w:rsidR="001741B4">
        <w:rPr>
          <w:color w:val="auto"/>
          <w:sz w:val="22"/>
          <w:szCs w:val="22"/>
        </w:rPr>
        <w:t xml:space="preserve"> when applying advanced scholarly techniques and approaches</w:t>
      </w:r>
      <w:r>
        <w:rPr>
          <w:color w:val="auto"/>
          <w:sz w:val="22"/>
          <w:szCs w:val="22"/>
        </w:rPr>
        <w:t>.</w:t>
      </w:r>
    </w:p>
    <w:p w14:paraId="3A1CFCE5" w14:textId="085DBFB4" w:rsidR="004120FD" w:rsidRDefault="004120FD" w:rsidP="003B58EA">
      <w:pPr>
        <w:pStyle w:val="Default"/>
        <w:numPr>
          <w:ilvl w:val="3"/>
          <w:numId w:val="33"/>
        </w:numPr>
        <w:spacing w:before="60" w:after="60"/>
        <w:ind w:left="1134" w:right="-330"/>
        <w:rPr>
          <w:color w:val="auto"/>
          <w:sz w:val="22"/>
          <w:szCs w:val="22"/>
        </w:rPr>
      </w:pPr>
      <w:r>
        <w:rPr>
          <w:color w:val="auto"/>
          <w:sz w:val="22"/>
          <w:szCs w:val="22"/>
        </w:rPr>
        <w:t>Demonstrate</w:t>
      </w:r>
      <w:r w:rsidR="001741B4">
        <w:rPr>
          <w:color w:val="auto"/>
          <w:sz w:val="22"/>
          <w:szCs w:val="22"/>
        </w:rPr>
        <w:t xml:space="preserve"> self-direction and originality in</w:t>
      </w:r>
      <w:r>
        <w:rPr>
          <w:color w:val="auto"/>
          <w:sz w:val="22"/>
          <w:szCs w:val="22"/>
        </w:rPr>
        <w:t xml:space="preserve"> problem-solving</w:t>
      </w:r>
      <w:r w:rsidR="003529A3">
        <w:rPr>
          <w:color w:val="auto"/>
          <w:sz w:val="22"/>
          <w:szCs w:val="22"/>
        </w:rPr>
        <w:t>.</w:t>
      </w:r>
    </w:p>
    <w:p w14:paraId="051EA8CC" w14:textId="39861FD9" w:rsidR="004120FD" w:rsidRDefault="004120FD" w:rsidP="003B58EA">
      <w:pPr>
        <w:pStyle w:val="Default"/>
        <w:numPr>
          <w:ilvl w:val="3"/>
          <w:numId w:val="33"/>
        </w:numPr>
        <w:spacing w:before="60" w:after="60"/>
        <w:ind w:left="1134" w:right="-330"/>
        <w:rPr>
          <w:color w:val="auto"/>
          <w:sz w:val="22"/>
          <w:szCs w:val="22"/>
        </w:rPr>
      </w:pPr>
      <w:r>
        <w:rPr>
          <w:color w:val="auto"/>
          <w:sz w:val="22"/>
          <w:szCs w:val="22"/>
        </w:rPr>
        <w:t>Demonstrate the ability to work both independently and in groups</w:t>
      </w:r>
      <w:r w:rsidR="001741B4">
        <w:rPr>
          <w:color w:val="auto"/>
          <w:sz w:val="22"/>
          <w:szCs w:val="22"/>
        </w:rPr>
        <w:t>, displaying the use of initiative and decision-making skills when dealing with complex issues</w:t>
      </w:r>
      <w:r w:rsidR="003529A3">
        <w:rPr>
          <w:color w:val="auto"/>
          <w:sz w:val="22"/>
          <w:szCs w:val="22"/>
        </w:rPr>
        <w:t>.</w:t>
      </w:r>
    </w:p>
    <w:p w14:paraId="1E3C8375" w14:textId="6868246B" w:rsidR="004120FD" w:rsidRDefault="004120FD" w:rsidP="003B58EA">
      <w:pPr>
        <w:pStyle w:val="Default"/>
        <w:numPr>
          <w:ilvl w:val="3"/>
          <w:numId w:val="33"/>
        </w:numPr>
        <w:spacing w:before="60" w:after="60"/>
        <w:ind w:left="1134" w:right="-330"/>
        <w:rPr>
          <w:color w:val="auto"/>
          <w:sz w:val="22"/>
          <w:szCs w:val="22"/>
        </w:rPr>
      </w:pPr>
      <w:r>
        <w:rPr>
          <w:color w:val="auto"/>
          <w:sz w:val="22"/>
          <w:szCs w:val="22"/>
        </w:rPr>
        <w:t>C</w:t>
      </w:r>
      <w:r w:rsidRPr="004120FD">
        <w:rPr>
          <w:color w:val="auto"/>
          <w:sz w:val="22"/>
          <w:szCs w:val="22"/>
        </w:rPr>
        <w:t>onstruct coherent written and oral arguments</w:t>
      </w:r>
      <w:r w:rsidR="00D04CDB">
        <w:rPr>
          <w:color w:val="auto"/>
          <w:sz w:val="22"/>
          <w:szCs w:val="22"/>
        </w:rPr>
        <w:t xml:space="preserve"> dealing with complex issues</w:t>
      </w:r>
      <w:r w:rsidR="001741B4">
        <w:rPr>
          <w:color w:val="auto"/>
          <w:sz w:val="22"/>
          <w:szCs w:val="22"/>
        </w:rPr>
        <w:t xml:space="preserve"> systematically and creatively</w:t>
      </w:r>
      <w:r w:rsidRPr="004120FD">
        <w:rPr>
          <w:color w:val="auto"/>
          <w:sz w:val="22"/>
          <w:szCs w:val="22"/>
        </w:rPr>
        <w:t>.</w:t>
      </w:r>
    </w:p>
    <w:p w14:paraId="1B673733" w14:textId="0F9006E1" w:rsidR="004120FD" w:rsidRDefault="001741B4" w:rsidP="003B58EA">
      <w:pPr>
        <w:pStyle w:val="Default"/>
        <w:numPr>
          <w:ilvl w:val="3"/>
          <w:numId w:val="33"/>
        </w:numPr>
        <w:spacing w:before="60" w:after="60"/>
        <w:ind w:left="1134" w:right="-330"/>
        <w:rPr>
          <w:color w:val="auto"/>
          <w:sz w:val="22"/>
          <w:szCs w:val="22"/>
        </w:rPr>
      </w:pPr>
      <w:r>
        <w:rPr>
          <w:color w:val="auto"/>
          <w:sz w:val="22"/>
          <w:szCs w:val="22"/>
        </w:rPr>
        <w:t>Make use of establish techniques of r</w:t>
      </w:r>
      <w:r w:rsidR="004120FD" w:rsidRPr="004120FD">
        <w:rPr>
          <w:color w:val="auto"/>
          <w:sz w:val="22"/>
          <w:szCs w:val="22"/>
        </w:rPr>
        <w:t xml:space="preserve">esearch </w:t>
      </w:r>
      <w:r>
        <w:rPr>
          <w:color w:val="auto"/>
          <w:sz w:val="22"/>
          <w:szCs w:val="22"/>
        </w:rPr>
        <w:t xml:space="preserve">to interpret and evaluate a variety of </w:t>
      </w:r>
      <w:r w:rsidR="004120FD" w:rsidRPr="004120FD">
        <w:rPr>
          <w:color w:val="auto"/>
          <w:sz w:val="22"/>
          <w:szCs w:val="22"/>
        </w:rPr>
        <w:t>different source types.</w:t>
      </w:r>
    </w:p>
    <w:p w14:paraId="5600E316" w14:textId="236498D7" w:rsidR="004120FD" w:rsidRPr="00964B1F" w:rsidRDefault="00964B1F" w:rsidP="003B58EA">
      <w:pPr>
        <w:pStyle w:val="Default"/>
        <w:numPr>
          <w:ilvl w:val="3"/>
          <w:numId w:val="33"/>
        </w:numPr>
        <w:spacing w:before="60" w:after="60"/>
        <w:ind w:left="1134" w:right="-330"/>
        <w:rPr>
          <w:color w:val="auto"/>
          <w:sz w:val="22"/>
          <w:szCs w:val="22"/>
        </w:rPr>
      </w:pPr>
      <w:r>
        <w:rPr>
          <w:color w:val="auto"/>
          <w:sz w:val="22"/>
          <w:szCs w:val="22"/>
        </w:rPr>
        <w:t>Critically evaluate</w:t>
      </w:r>
      <w:r w:rsidRPr="00964B1F">
        <w:rPr>
          <w:color w:val="auto"/>
          <w:sz w:val="22"/>
          <w:szCs w:val="22"/>
        </w:rPr>
        <w:t xml:space="preserve"> current</w:t>
      </w:r>
      <w:r>
        <w:rPr>
          <w:color w:val="auto"/>
          <w:sz w:val="22"/>
          <w:szCs w:val="22"/>
        </w:rPr>
        <w:t xml:space="preserve"> </w:t>
      </w:r>
      <w:r w:rsidRPr="00964B1F">
        <w:rPr>
          <w:color w:val="auto"/>
          <w:sz w:val="22"/>
          <w:szCs w:val="22"/>
        </w:rPr>
        <w:t>research and advanced</w:t>
      </w:r>
      <w:r>
        <w:rPr>
          <w:color w:val="auto"/>
          <w:sz w:val="22"/>
          <w:szCs w:val="22"/>
        </w:rPr>
        <w:t xml:space="preserve"> </w:t>
      </w:r>
      <w:r w:rsidRPr="00964B1F">
        <w:rPr>
          <w:color w:val="auto"/>
          <w:sz w:val="22"/>
          <w:szCs w:val="22"/>
        </w:rPr>
        <w:t>scholarship in the discipline</w:t>
      </w:r>
      <w:r>
        <w:rPr>
          <w:color w:val="auto"/>
          <w:sz w:val="22"/>
          <w:szCs w:val="22"/>
        </w:rPr>
        <w:t xml:space="preserve"> of History to p</w:t>
      </w:r>
      <w:r w:rsidR="004120FD" w:rsidRPr="00964B1F">
        <w:rPr>
          <w:color w:val="auto"/>
          <w:sz w:val="22"/>
          <w:szCs w:val="22"/>
        </w:rPr>
        <w:t>roduce a variety of robust outputs.</w:t>
      </w:r>
    </w:p>
    <w:p w14:paraId="11AF59D2" w14:textId="77777777" w:rsidR="003529A3" w:rsidRDefault="003529A3" w:rsidP="003529A3">
      <w:pPr>
        <w:pStyle w:val="Default"/>
        <w:spacing w:before="60" w:after="60"/>
        <w:ind w:left="2586" w:right="-330"/>
        <w:rPr>
          <w:color w:val="auto"/>
          <w:sz w:val="22"/>
          <w:szCs w:val="22"/>
        </w:rPr>
      </w:pPr>
    </w:p>
    <w:p w14:paraId="0F157A2D" w14:textId="77777777" w:rsidR="003529A3" w:rsidRPr="004120FD" w:rsidRDefault="003529A3" w:rsidP="003529A3">
      <w:pPr>
        <w:pStyle w:val="Default"/>
        <w:spacing w:before="60" w:after="60"/>
        <w:ind w:left="2586" w:right="-330"/>
        <w:rPr>
          <w:color w:val="auto"/>
          <w:sz w:val="22"/>
          <w:szCs w:val="22"/>
        </w:rPr>
      </w:pPr>
    </w:p>
    <w:p w14:paraId="4069DDE8" w14:textId="77777777" w:rsidR="009A4647" w:rsidRDefault="00D80A4D" w:rsidP="004F7206">
      <w:pPr>
        <w:pStyle w:val="Body"/>
        <w:numPr>
          <w:ilvl w:val="0"/>
          <w:numId w:val="33"/>
        </w:numPr>
        <w:spacing w:after="120" w:line="240" w:lineRule="auto"/>
        <w:ind w:right="260"/>
        <w:jc w:val="both"/>
        <w:rPr>
          <w:rFonts w:ascii="Arial" w:eastAsia="Arial" w:hAnsi="Arial" w:cs="Arial"/>
          <w:b/>
          <w:bCs/>
          <w:lang w:val="en-US"/>
        </w:rPr>
      </w:pPr>
      <w:r>
        <w:rPr>
          <w:rFonts w:ascii="Arial" w:hAnsi="Arial"/>
          <w:b/>
          <w:bCs/>
          <w:lang w:val="en-US"/>
        </w:rPr>
        <w:t>A synopsis of the curriculum</w:t>
      </w:r>
    </w:p>
    <w:p w14:paraId="643DCDCB" w14:textId="77777777" w:rsidR="003529A3" w:rsidRDefault="003529A3" w:rsidP="003529A3">
      <w:pPr>
        <w:jc w:val="both"/>
      </w:pPr>
    </w:p>
    <w:p w14:paraId="634F3779" w14:textId="78CCAB28" w:rsidR="007909A5" w:rsidRPr="003529A3" w:rsidRDefault="007909A5" w:rsidP="003529A3">
      <w:pPr>
        <w:jc w:val="both"/>
        <w:rPr>
          <w:rFonts w:ascii="Arial" w:hAnsi="Arial" w:cs="Arial"/>
          <w:sz w:val="22"/>
          <w:szCs w:val="22"/>
        </w:rPr>
      </w:pPr>
      <w:r w:rsidRPr="003529A3">
        <w:rPr>
          <w:rFonts w:ascii="Arial" w:hAnsi="Arial" w:cs="Arial"/>
          <w:sz w:val="22"/>
          <w:szCs w:val="22"/>
        </w:rPr>
        <w:t xml:space="preserve">This module examines the main causes and consequences of armed conflict and violence in the DRC (Democratic Republic of Congo), from the 1860s to the present. It will begin with a discussion of the predatory political formations thrown up by the opening of the Central African interior to global commerce in the second half of the nineteenth century. The incorporation of their leaders, armed personnel and extractive forms of governance into King Leopold’s personal colony, the Congo Free State, will next be addressed. After examining the key features of Belgian rule in the Congo following the </w:t>
      </w:r>
      <w:r w:rsidRPr="003529A3">
        <w:rPr>
          <w:rFonts w:ascii="Arial" w:hAnsi="Arial" w:cs="Arial"/>
          <w:i/>
          <w:sz w:val="22"/>
          <w:szCs w:val="22"/>
        </w:rPr>
        <w:t>reprise</w:t>
      </w:r>
      <w:r w:rsidRPr="003529A3">
        <w:rPr>
          <w:rFonts w:ascii="Arial" w:hAnsi="Arial" w:cs="Arial"/>
          <w:sz w:val="22"/>
          <w:szCs w:val="22"/>
        </w:rPr>
        <w:t xml:space="preserve"> of 1908, the module will explore the precipitous modalities of Congolese decolonization and the process of violent disintegration that ensued. A discussion of secessionist and revolutionary challenges to the post-independence dispensation will help to account for the rise of Mobutu’s authoritarian ‘kleptocracy’ and its longevity in an international context dominated by the Cold War. The module will end by investigating the circumstances that led to Mobutu’s fall, as well as the armed </w:t>
      </w:r>
      <w:r w:rsidR="003529A3">
        <w:rPr>
          <w:rFonts w:ascii="Arial" w:hAnsi="Arial" w:cs="Arial"/>
          <w:sz w:val="22"/>
          <w:szCs w:val="22"/>
        </w:rPr>
        <w:t xml:space="preserve">balkanization experienced by </w:t>
      </w:r>
      <w:r w:rsidRPr="003529A3">
        <w:rPr>
          <w:rFonts w:ascii="Arial" w:hAnsi="Arial" w:cs="Arial"/>
          <w:sz w:val="22"/>
          <w:szCs w:val="22"/>
        </w:rPr>
        <w:t xml:space="preserve">the Congo in its aftermath. </w:t>
      </w:r>
    </w:p>
    <w:p w14:paraId="2D0AAB90" w14:textId="77777777" w:rsidR="009A4647" w:rsidRDefault="009A4647">
      <w:pPr>
        <w:pStyle w:val="Body"/>
        <w:spacing w:after="120" w:line="240" w:lineRule="auto"/>
        <w:ind w:left="426" w:right="260"/>
        <w:rPr>
          <w:rFonts w:ascii="Arial" w:eastAsia="Arial" w:hAnsi="Arial" w:cs="Arial"/>
          <w:lang w:val="en-US"/>
        </w:rPr>
      </w:pPr>
    </w:p>
    <w:p w14:paraId="0D64764D" w14:textId="77777777" w:rsidR="009A4647" w:rsidRDefault="00D80A4D">
      <w:pPr>
        <w:pStyle w:val="Body"/>
        <w:numPr>
          <w:ilvl w:val="0"/>
          <w:numId w:val="33"/>
        </w:numPr>
        <w:spacing w:after="120" w:line="240" w:lineRule="auto"/>
        <w:ind w:right="260"/>
        <w:jc w:val="both"/>
        <w:rPr>
          <w:rFonts w:ascii="Arial" w:eastAsia="Arial" w:hAnsi="Arial" w:cs="Arial"/>
          <w:b/>
          <w:bCs/>
          <w:lang w:val="en-US"/>
        </w:rPr>
      </w:pPr>
      <w:r>
        <w:rPr>
          <w:rFonts w:ascii="Arial" w:hAnsi="Arial"/>
          <w:b/>
          <w:bCs/>
          <w:lang w:val="en-US"/>
        </w:rPr>
        <w:t>Reading list (Indicative list, current at time of publication. Reading lists will be published annually)</w:t>
      </w:r>
    </w:p>
    <w:p w14:paraId="29B163CF" w14:textId="77777777" w:rsidR="000C6A8F" w:rsidRDefault="000C6A8F">
      <w:pPr>
        <w:pStyle w:val="Body"/>
        <w:spacing w:after="120" w:line="240" w:lineRule="auto"/>
        <w:ind w:left="426" w:right="260"/>
        <w:jc w:val="both"/>
        <w:rPr>
          <w:rFonts w:ascii="Arial" w:hAnsi="Arial"/>
          <w:i/>
          <w:iCs/>
          <w:lang w:val="en-US"/>
        </w:rPr>
      </w:pPr>
    </w:p>
    <w:p w14:paraId="61BEEDD7" w14:textId="08683A13" w:rsidR="007909A5" w:rsidRPr="003529A3" w:rsidRDefault="003529A3" w:rsidP="007909A5">
      <w:pPr>
        <w:pStyle w:val="BodyText"/>
        <w:rPr>
          <w:rFonts w:ascii="Arial" w:hAnsi="Arial" w:cs="Arial"/>
          <w:sz w:val="22"/>
          <w:szCs w:val="22"/>
          <w:lang w:val="en-GB"/>
        </w:rPr>
      </w:pPr>
      <w:r w:rsidRPr="003529A3">
        <w:rPr>
          <w:rFonts w:ascii="Arial" w:hAnsi="Arial" w:cs="Arial"/>
          <w:sz w:val="22"/>
          <w:szCs w:val="22"/>
          <w:lang w:val="en-GB"/>
        </w:rPr>
        <w:t xml:space="preserve">D.M. </w:t>
      </w:r>
      <w:r w:rsidR="007909A5" w:rsidRPr="003529A3">
        <w:rPr>
          <w:rFonts w:ascii="Arial" w:hAnsi="Arial" w:cs="Arial"/>
          <w:sz w:val="22"/>
          <w:szCs w:val="22"/>
          <w:lang w:val="en-GB"/>
        </w:rPr>
        <w:t>Gordon, ‘Precursors to Red Rubber: Violence in the Congo Free State, 1885-</w:t>
      </w:r>
    </w:p>
    <w:p w14:paraId="74B73CA0" w14:textId="656FADB7" w:rsidR="007909A5" w:rsidRPr="003529A3" w:rsidRDefault="007909A5" w:rsidP="007909A5">
      <w:pPr>
        <w:pStyle w:val="BodyText"/>
        <w:ind w:firstLine="720"/>
        <w:rPr>
          <w:rFonts w:ascii="Arial" w:hAnsi="Arial" w:cs="Arial"/>
          <w:sz w:val="22"/>
          <w:szCs w:val="22"/>
          <w:lang w:val="en-GB"/>
        </w:rPr>
      </w:pPr>
      <w:r w:rsidRPr="003529A3">
        <w:rPr>
          <w:rFonts w:ascii="Arial" w:hAnsi="Arial" w:cs="Arial"/>
          <w:sz w:val="22"/>
          <w:szCs w:val="22"/>
          <w:lang w:val="en-GB"/>
        </w:rPr>
        <w:t xml:space="preserve">1895’, </w:t>
      </w:r>
      <w:r w:rsidRPr="003529A3">
        <w:rPr>
          <w:rFonts w:ascii="Arial" w:hAnsi="Arial" w:cs="Arial"/>
          <w:i/>
          <w:sz w:val="22"/>
          <w:szCs w:val="22"/>
          <w:lang w:val="en-GB"/>
        </w:rPr>
        <w:t>Past &amp; Present</w:t>
      </w:r>
      <w:r w:rsidR="003529A3" w:rsidRPr="003529A3">
        <w:rPr>
          <w:rFonts w:ascii="Arial" w:hAnsi="Arial" w:cs="Arial"/>
          <w:sz w:val="22"/>
          <w:szCs w:val="22"/>
          <w:lang w:val="en-GB"/>
        </w:rPr>
        <w:t xml:space="preserve">, 236, 1 (2017), </w:t>
      </w:r>
      <w:r w:rsidRPr="003529A3">
        <w:rPr>
          <w:rFonts w:ascii="Arial" w:hAnsi="Arial" w:cs="Arial"/>
          <w:sz w:val="22"/>
          <w:szCs w:val="22"/>
          <w:lang w:val="en-GB"/>
        </w:rPr>
        <w:t>133-168</w:t>
      </w:r>
    </w:p>
    <w:p w14:paraId="2D49CB66" w14:textId="77777777" w:rsidR="00347ED5" w:rsidRPr="003529A3" w:rsidRDefault="00347ED5" w:rsidP="00347ED5">
      <w:pPr>
        <w:rPr>
          <w:rFonts w:ascii="Arial" w:hAnsi="Arial" w:cs="Arial"/>
          <w:sz w:val="22"/>
          <w:szCs w:val="22"/>
        </w:rPr>
      </w:pPr>
      <w:r w:rsidRPr="003529A3">
        <w:rPr>
          <w:rFonts w:ascii="Arial" w:hAnsi="Arial" w:cs="Arial"/>
          <w:sz w:val="22"/>
          <w:szCs w:val="22"/>
        </w:rPr>
        <w:t xml:space="preserve">E.F. Kisangani, </w:t>
      </w:r>
      <w:r w:rsidRPr="003529A3">
        <w:rPr>
          <w:rFonts w:ascii="Arial" w:hAnsi="Arial" w:cs="Arial"/>
          <w:i/>
          <w:iCs/>
          <w:sz w:val="22"/>
          <w:szCs w:val="22"/>
        </w:rPr>
        <w:t xml:space="preserve">Civil Wars in the Democratic Republic of Congo, 1960-2010 </w:t>
      </w:r>
      <w:r w:rsidRPr="003529A3">
        <w:rPr>
          <w:rFonts w:ascii="Arial" w:hAnsi="Arial" w:cs="Arial"/>
          <w:sz w:val="22"/>
          <w:szCs w:val="22"/>
        </w:rPr>
        <w:t xml:space="preserve">(Boulder, CO, 2012) </w:t>
      </w:r>
    </w:p>
    <w:p w14:paraId="630F955B" w14:textId="6CB4FF6E" w:rsidR="007909A5" w:rsidRPr="003529A3" w:rsidRDefault="007909A5" w:rsidP="007909A5">
      <w:pPr>
        <w:rPr>
          <w:rFonts w:ascii="Arial" w:eastAsiaTheme="minorHAnsi" w:hAnsi="Arial" w:cs="Arial"/>
          <w:sz w:val="22"/>
          <w:szCs w:val="22"/>
        </w:rPr>
      </w:pPr>
      <w:r w:rsidRPr="003529A3">
        <w:rPr>
          <w:rFonts w:ascii="Arial" w:hAnsi="Arial" w:cs="Arial"/>
          <w:sz w:val="22"/>
          <w:szCs w:val="22"/>
        </w:rPr>
        <w:t xml:space="preserve">O. Likaka, </w:t>
      </w:r>
      <w:r w:rsidRPr="003529A3">
        <w:rPr>
          <w:rFonts w:ascii="Arial" w:hAnsi="Arial" w:cs="Arial"/>
          <w:i/>
          <w:sz w:val="22"/>
          <w:szCs w:val="22"/>
        </w:rPr>
        <w:t>Rural Society and Cotton in Colonial Zaire</w:t>
      </w:r>
      <w:r w:rsidRPr="003529A3">
        <w:rPr>
          <w:rFonts w:ascii="Arial" w:hAnsi="Arial" w:cs="Arial"/>
          <w:sz w:val="22"/>
          <w:szCs w:val="22"/>
        </w:rPr>
        <w:t xml:space="preserve"> (Madison,</w:t>
      </w:r>
      <w:r w:rsidR="003529A3" w:rsidRPr="003529A3">
        <w:rPr>
          <w:rFonts w:ascii="Arial" w:hAnsi="Arial" w:cs="Arial"/>
          <w:sz w:val="22"/>
          <w:szCs w:val="22"/>
        </w:rPr>
        <w:t xml:space="preserve"> WI,</w:t>
      </w:r>
      <w:r w:rsidRPr="003529A3">
        <w:rPr>
          <w:rFonts w:ascii="Arial" w:hAnsi="Arial" w:cs="Arial"/>
          <w:sz w:val="22"/>
          <w:szCs w:val="22"/>
        </w:rPr>
        <w:t xml:space="preserve"> 1997)</w:t>
      </w:r>
    </w:p>
    <w:p w14:paraId="56ABBB07" w14:textId="77777777" w:rsidR="00347ED5" w:rsidRPr="003529A3" w:rsidRDefault="00347ED5" w:rsidP="00347ED5">
      <w:pPr>
        <w:pStyle w:val="BodyText"/>
        <w:rPr>
          <w:rFonts w:ascii="Arial" w:hAnsi="Arial" w:cs="Arial"/>
          <w:sz w:val="22"/>
          <w:szCs w:val="22"/>
          <w:lang w:val="en-GB"/>
        </w:rPr>
      </w:pPr>
      <w:r w:rsidRPr="003529A3">
        <w:rPr>
          <w:rFonts w:ascii="Arial" w:hAnsi="Arial" w:cs="Arial"/>
          <w:sz w:val="22"/>
          <w:szCs w:val="22"/>
          <w:lang w:val="en-GB"/>
        </w:rPr>
        <w:t xml:space="preserve">G. Macola, </w:t>
      </w:r>
      <w:r w:rsidRPr="003529A3">
        <w:rPr>
          <w:rFonts w:ascii="Arial" w:hAnsi="Arial" w:cs="Arial"/>
          <w:i/>
          <w:sz w:val="22"/>
          <w:szCs w:val="22"/>
          <w:lang w:val="en-GB"/>
        </w:rPr>
        <w:t xml:space="preserve">The Gun in Central Africa: A History of Technology and Politics </w:t>
      </w:r>
      <w:r w:rsidRPr="003529A3">
        <w:rPr>
          <w:rFonts w:ascii="Arial" w:hAnsi="Arial" w:cs="Arial"/>
          <w:sz w:val="22"/>
          <w:szCs w:val="22"/>
          <w:lang w:val="en-GB"/>
        </w:rPr>
        <w:t>(Athens, OH, 2016)</w:t>
      </w:r>
    </w:p>
    <w:p w14:paraId="42C0661C" w14:textId="77777777" w:rsidR="00347ED5" w:rsidRPr="003529A3" w:rsidRDefault="00347ED5" w:rsidP="00347ED5">
      <w:pPr>
        <w:rPr>
          <w:rFonts w:ascii="Arial" w:hAnsi="Arial" w:cs="Arial"/>
          <w:i/>
          <w:iCs/>
          <w:sz w:val="22"/>
          <w:szCs w:val="22"/>
          <w:lang w:val="en-GB"/>
        </w:rPr>
      </w:pPr>
      <w:r w:rsidRPr="003529A3">
        <w:rPr>
          <w:rFonts w:ascii="Arial" w:hAnsi="Arial" w:cs="Arial"/>
          <w:sz w:val="22"/>
          <w:szCs w:val="22"/>
          <w:lang w:val="en-GB"/>
        </w:rPr>
        <w:t>G. Prunier,</w:t>
      </w:r>
      <w:r w:rsidRPr="003529A3">
        <w:rPr>
          <w:rFonts w:ascii="Arial" w:hAnsi="Arial" w:cs="Arial"/>
          <w:i/>
          <w:iCs/>
          <w:sz w:val="22"/>
          <w:szCs w:val="22"/>
          <w:lang w:val="en-GB"/>
        </w:rPr>
        <w:t xml:space="preserve"> From Genocide to Continental War: The ‘Congolese’ Conflict and the Crisis of </w:t>
      </w:r>
    </w:p>
    <w:p w14:paraId="6A1A1A02" w14:textId="77777777" w:rsidR="00347ED5" w:rsidRPr="003529A3" w:rsidRDefault="00347ED5" w:rsidP="00347ED5">
      <w:pPr>
        <w:ind w:firstLine="284"/>
        <w:rPr>
          <w:rFonts w:ascii="Arial" w:hAnsi="Arial" w:cs="Arial"/>
          <w:i/>
          <w:iCs/>
          <w:sz w:val="22"/>
          <w:szCs w:val="22"/>
          <w:lang w:val="en-GB"/>
        </w:rPr>
      </w:pPr>
      <w:r w:rsidRPr="003529A3">
        <w:rPr>
          <w:rFonts w:ascii="Arial" w:hAnsi="Arial" w:cs="Arial"/>
          <w:i/>
          <w:iCs/>
          <w:sz w:val="22"/>
          <w:szCs w:val="22"/>
          <w:lang w:val="en-GB"/>
        </w:rPr>
        <w:t xml:space="preserve">Contemporary Africa </w:t>
      </w:r>
      <w:r w:rsidRPr="003529A3">
        <w:rPr>
          <w:rFonts w:ascii="Arial" w:hAnsi="Arial" w:cs="Arial"/>
          <w:sz w:val="22"/>
          <w:szCs w:val="22"/>
          <w:lang w:val="en-GB"/>
        </w:rPr>
        <w:t>(London, 2009)</w:t>
      </w:r>
    </w:p>
    <w:p w14:paraId="719C4658" w14:textId="16A95042" w:rsidR="003529A3" w:rsidRPr="007B2F82" w:rsidRDefault="003529A3" w:rsidP="007909A5">
      <w:pPr>
        <w:rPr>
          <w:rFonts w:ascii="Arial" w:eastAsiaTheme="minorHAnsi" w:hAnsi="Arial" w:cs="Arial"/>
          <w:sz w:val="22"/>
          <w:szCs w:val="22"/>
        </w:rPr>
      </w:pPr>
      <w:r>
        <w:rPr>
          <w:rFonts w:ascii="Arial" w:eastAsia="Times New Roman" w:hAnsi="Arial" w:cs="Arial"/>
          <w:bCs/>
          <w:kern w:val="36"/>
          <w:sz w:val="22"/>
          <w:szCs w:val="22"/>
          <w:lang w:eastAsia="en-GB"/>
        </w:rPr>
        <w:t xml:space="preserve">C. Young and T. Turner, </w:t>
      </w:r>
      <w:r w:rsidRPr="003529A3">
        <w:rPr>
          <w:rFonts w:ascii="Arial" w:eastAsia="Times New Roman" w:hAnsi="Arial" w:cs="Arial"/>
          <w:bCs/>
          <w:i/>
          <w:kern w:val="36"/>
          <w:sz w:val="22"/>
          <w:szCs w:val="22"/>
          <w:lang w:eastAsia="en-GB"/>
        </w:rPr>
        <w:t>The Rise &amp; Decline of the Zairian State</w:t>
      </w:r>
      <w:r>
        <w:rPr>
          <w:rFonts w:ascii="Arial" w:eastAsia="Times New Roman" w:hAnsi="Arial" w:cs="Arial"/>
          <w:bCs/>
          <w:kern w:val="36"/>
          <w:sz w:val="22"/>
          <w:szCs w:val="22"/>
          <w:lang w:eastAsia="en-GB"/>
        </w:rPr>
        <w:t xml:space="preserve"> (Madison, WI, 1985)</w:t>
      </w:r>
    </w:p>
    <w:p w14:paraId="3D7626BE" w14:textId="77777777" w:rsidR="007909A5" w:rsidRPr="003529A3" w:rsidRDefault="007909A5" w:rsidP="007909A5">
      <w:pPr>
        <w:rPr>
          <w:rFonts w:ascii="Arial" w:hAnsi="Arial" w:cs="Arial"/>
          <w:sz w:val="22"/>
          <w:szCs w:val="22"/>
          <w:lang w:val="en-GB" w:eastAsia="en-GB"/>
        </w:rPr>
      </w:pPr>
    </w:p>
    <w:p w14:paraId="352148F2" w14:textId="77777777" w:rsidR="009A4647" w:rsidRDefault="009A4647" w:rsidP="003529A3">
      <w:pPr>
        <w:pStyle w:val="Body"/>
        <w:spacing w:after="120" w:line="240" w:lineRule="auto"/>
        <w:ind w:right="260"/>
        <w:jc w:val="both"/>
        <w:rPr>
          <w:rFonts w:ascii="Arial" w:eastAsia="Arial" w:hAnsi="Arial" w:cs="Arial"/>
        </w:rPr>
      </w:pPr>
    </w:p>
    <w:p w14:paraId="594659AC" w14:textId="77777777" w:rsidR="001E6FBF" w:rsidRDefault="001E6FBF">
      <w:pPr>
        <w:rPr>
          <w:rFonts w:ascii="Arial" w:eastAsia="Calibri" w:hAnsi="Arial" w:cs="Calibri"/>
          <w:b/>
          <w:bCs/>
          <w:color w:val="000000"/>
          <w:sz w:val="22"/>
          <w:szCs w:val="22"/>
          <w:u w:color="000000"/>
        </w:rPr>
      </w:pPr>
      <w:r>
        <w:rPr>
          <w:rFonts w:ascii="Arial" w:hAnsi="Arial"/>
          <w:b/>
          <w:bCs/>
        </w:rPr>
        <w:br w:type="page"/>
      </w:r>
    </w:p>
    <w:p w14:paraId="15D22AB0" w14:textId="02CEF980" w:rsidR="00542D91" w:rsidRDefault="00D80A4D" w:rsidP="003529A3">
      <w:pPr>
        <w:pStyle w:val="Body"/>
        <w:numPr>
          <w:ilvl w:val="0"/>
          <w:numId w:val="33"/>
        </w:numPr>
        <w:spacing w:after="120" w:line="240" w:lineRule="auto"/>
        <w:ind w:right="260"/>
        <w:rPr>
          <w:rFonts w:ascii="Arial" w:eastAsia="Arial" w:hAnsi="Arial" w:cs="Arial"/>
          <w:i/>
          <w:iCs/>
          <w:lang w:val="en-US"/>
        </w:rPr>
      </w:pPr>
      <w:r>
        <w:rPr>
          <w:rFonts w:ascii="Arial" w:hAnsi="Arial"/>
          <w:b/>
          <w:bCs/>
          <w:lang w:val="en-US"/>
        </w:rPr>
        <w:t>Learning and teaching methods</w:t>
      </w:r>
    </w:p>
    <w:p w14:paraId="5069A284" w14:textId="77777777" w:rsidR="003529A3" w:rsidRPr="003529A3" w:rsidRDefault="003529A3" w:rsidP="003529A3">
      <w:pPr>
        <w:pStyle w:val="Body"/>
        <w:spacing w:after="120" w:line="240" w:lineRule="auto"/>
        <w:ind w:left="426" w:right="260"/>
        <w:rPr>
          <w:rFonts w:ascii="Arial" w:eastAsia="Arial" w:hAnsi="Arial" w:cs="Arial"/>
          <w:iCs/>
          <w:lang w:val="en-US"/>
        </w:rPr>
      </w:pPr>
    </w:p>
    <w:p w14:paraId="5C98CC8D" w14:textId="425A7108" w:rsidR="00542D91" w:rsidRDefault="00542D91" w:rsidP="00542D91">
      <w:pPr>
        <w:spacing w:before="60" w:after="60"/>
        <w:ind w:right="-330"/>
        <w:rPr>
          <w:rFonts w:ascii="Arial" w:hAnsi="Arial" w:cs="Arial"/>
          <w:iCs/>
          <w:sz w:val="22"/>
          <w:szCs w:val="22"/>
        </w:rPr>
      </w:pPr>
      <w:r w:rsidRPr="003529A3">
        <w:rPr>
          <w:rFonts w:ascii="Arial" w:hAnsi="Arial" w:cs="Arial"/>
          <w:iCs/>
          <w:sz w:val="22"/>
          <w:szCs w:val="22"/>
        </w:rPr>
        <w:lastRenderedPageBreak/>
        <w:t xml:space="preserve">Learning and teaching will be carried out through two-hour seminar sessions </w:t>
      </w:r>
    </w:p>
    <w:p w14:paraId="529D644E" w14:textId="19D86360" w:rsidR="00D318D2" w:rsidRDefault="00D318D2" w:rsidP="00542D91">
      <w:pPr>
        <w:spacing w:before="60" w:after="60"/>
        <w:ind w:right="-330"/>
        <w:rPr>
          <w:rFonts w:ascii="Arial" w:hAnsi="Arial" w:cs="Arial"/>
          <w:iCs/>
          <w:sz w:val="22"/>
          <w:szCs w:val="22"/>
        </w:rPr>
      </w:pPr>
      <w:r>
        <w:rPr>
          <w:rFonts w:ascii="Arial" w:hAnsi="Arial" w:cs="Arial"/>
          <w:iCs/>
          <w:sz w:val="22"/>
          <w:szCs w:val="22"/>
        </w:rPr>
        <w:t>Contact hours: 22</w:t>
      </w:r>
    </w:p>
    <w:p w14:paraId="4653D9D4" w14:textId="613232E0" w:rsidR="00D318D2" w:rsidRDefault="00D318D2" w:rsidP="00542D91">
      <w:pPr>
        <w:spacing w:before="60" w:after="60"/>
        <w:ind w:right="-330"/>
        <w:rPr>
          <w:rFonts w:ascii="Arial" w:hAnsi="Arial" w:cs="Arial"/>
          <w:iCs/>
          <w:sz w:val="22"/>
          <w:szCs w:val="22"/>
        </w:rPr>
      </w:pPr>
      <w:r>
        <w:rPr>
          <w:rFonts w:ascii="Arial" w:hAnsi="Arial" w:cs="Arial"/>
          <w:iCs/>
          <w:sz w:val="22"/>
          <w:szCs w:val="22"/>
        </w:rPr>
        <w:t>Private Study hours: 278</w:t>
      </w:r>
    </w:p>
    <w:p w14:paraId="1D6906AF" w14:textId="5DD6AA44" w:rsidR="00D318D2" w:rsidRPr="003529A3" w:rsidRDefault="00D318D2" w:rsidP="00542D91">
      <w:pPr>
        <w:spacing w:before="60" w:after="60"/>
        <w:ind w:right="-330"/>
        <w:rPr>
          <w:rFonts w:ascii="Arial" w:hAnsi="Arial" w:cs="Arial"/>
          <w:iCs/>
          <w:sz w:val="22"/>
          <w:szCs w:val="22"/>
        </w:rPr>
      </w:pPr>
      <w:r>
        <w:rPr>
          <w:rFonts w:ascii="Arial" w:hAnsi="Arial" w:cs="Arial"/>
          <w:iCs/>
          <w:sz w:val="22"/>
          <w:szCs w:val="22"/>
        </w:rPr>
        <w:t>Total hours: 300</w:t>
      </w:r>
    </w:p>
    <w:p w14:paraId="48D2DDEE" w14:textId="77777777" w:rsidR="00542D91" w:rsidRDefault="00542D91" w:rsidP="003529A3">
      <w:pPr>
        <w:pStyle w:val="Body"/>
        <w:spacing w:after="120" w:line="240" w:lineRule="auto"/>
        <w:ind w:right="260"/>
        <w:rPr>
          <w:rFonts w:ascii="Arial" w:eastAsia="Arial" w:hAnsi="Arial" w:cs="Arial"/>
          <w:i/>
          <w:iCs/>
          <w:lang w:val="en-US"/>
        </w:rPr>
      </w:pPr>
    </w:p>
    <w:p w14:paraId="41176B13" w14:textId="77777777" w:rsidR="003529A3" w:rsidRPr="001E6FBF" w:rsidRDefault="00D80A4D" w:rsidP="003529A3">
      <w:pPr>
        <w:pStyle w:val="Body"/>
        <w:numPr>
          <w:ilvl w:val="0"/>
          <w:numId w:val="33"/>
        </w:numPr>
        <w:spacing w:after="120" w:line="240" w:lineRule="auto"/>
        <w:ind w:right="260"/>
        <w:rPr>
          <w:rFonts w:ascii="Arial" w:eastAsia="Arial" w:hAnsi="Arial" w:cs="Arial"/>
          <w:b/>
          <w:bCs/>
          <w:i/>
          <w:iCs/>
          <w:lang w:val="en-US"/>
        </w:rPr>
      </w:pPr>
      <w:r w:rsidRPr="00542D91">
        <w:rPr>
          <w:rFonts w:ascii="Arial" w:hAnsi="Arial"/>
          <w:b/>
          <w:bCs/>
          <w:lang w:val="en-US"/>
        </w:rPr>
        <w:t>Assessment methods</w:t>
      </w:r>
    </w:p>
    <w:p w14:paraId="36F6C503" w14:textId="36D5AF4B" w:rsidR="00D318D2" w:rsidRPr="001E6FBF" w:rsidRDefault="00D318D2" w:rsidP="001E6FBF">
      <w:pPr>
        <w:pStyle w:val="Body"/>
        <w:spacing w:after="120" w:line="240" w:lineRule="auto"/>
        <w:ind w:left="426" w:right="260"/>
        <w:rPr>
          <w:rFonts w:ascii="Arial" w:hAnsi="Arial"/>
          <w:bCs/>
          <w:lang w:val="en-US"/>
        </w:rPr>
      </w:pPr>
      <w:r w:rsidRPr="001E6FBF">
        <w:rPr>
          <w:rFonts w:ascii="Arial" w:hAnsi="Arial"/>
          <w:bCs/>
          <w:lang w:val="en-US"/>
        </w:rPr>
        <w:t>13.1 Main assessment methods</w:t>
      </w:r>
    </w:p>
    <w:p w14:paraId="33F0C581" w14:textId="673F5F25" w:rsidR="00D318D2" w:rsidRPr="001E6FBF" w:rsidRDefault="00D318D2" w:rsidP="001E6FBF">
      <w:pPr>
        <w:pStyle w:val="Body"/>
        <w:spacing w:after="120" w:line="240" w:lineRule="auto"/>
        <w:ind w:left="426" w:right="260"/>
        <w:rPr>
          <w:rFonts w:ascii="Arial" w:hAnsi="Arial"/>
          <w:bCs/>
          <w:lang w:val="en-US"/>
        </w:rPr>
      </w:pPr>
      <w:r w:rsidRPr="001E6FBF">
        <w:rPr>
          <w:rFonts w:ascii="Arial" w:hAnsi="Arial"/>
          <w:bCs/>
          <w:lang w:val="en-US"/>
        </w:rPr>
        <w:t>Presentation (20%)</w:t>
      </w:r>
    </w:p>
    <w:p w14:paraId="7D10D607" w14:textId="097B8334" w:rsidR="00D318D2" w:rsidRPr="001E6FBF" w:rsidRDefault="00D318D2" w:rsidP="001E6FBF">
      <w:pPr>
        <w:pStyle w:val="Body"/>
        <w:spacing w:after="120" w:line="240" w:lineRule="auto"/>
        <w:ind w:left="426" w:right="260"/>
        <w:rPr>
          <w:rFonts w:ascii="Arial" w:hAnsi="Arial"/>
          <w:bCs/>
          <w:lang w:val="en-US"/>
        </w:rPr>
      </w:pPr>
      <w:r w:rsidRPr="001E6FBF">
        <w:rPr>
          <w:rFonts w:ascii="Arial" w:hAnsi="Arial"/>
          <w:bCs/>
          <w:lang w:val="en-US"/>
        </w:rPr>
        <w:t>Essay, 3, 000 words (40%)</w:t>
      </w:r>
    </w:p>
    <w:p w14:paraId="09EFBCD0" w14:textId="6EEAB04F" w:rsidR="00D318D2" w:rsidRPr="001E6FBF" w:rsidRDefault="00D318D2" w:rsidP="001E6FBF">
      <w:pPr>
        <w:pStyle w:val="Body"/>
        <w:spacing w:after="120" w:line="240" w:lineRule="auto"/>
        <w:ind w:left="426" w:right="260"/>
        <w:rPr>
          <w:rFonts w:ascii="Arial" w:hAnsi="Arial"/>
          <w:bCs/>
          <w:lang w:val="en-US"/>
        </w:rPr>
      </w:pPr>
      <w:r w:rsidRPr="001E6FBF">
        <w:rPr>
          <w:rFonts w:ascii="Arial" w:hAnsi="Arial"/>
          <w:bCs/>
          <w:lang w:val="en-US"/>
        </w:rPr>
        <w:t>Essay, 3,000 words (40%)</w:t>
      </w:r>
    </w:p>
    <w:p w14:paraId="4CF6C00C" w14:textId="77777777" w:rsidR="00D318D2" w:rsidRDefault="00D318D2" w:rsidP="001E6FBF">
      <w:pPr>
        <w:pStyle w:val="Body"/>
        <w:spacing w:after="120" w:line="240" w:lineRule="auto"/>
        <w:ind w:left="426" w:right="260"/>
        <w:rPr>
          <w:rFonts w:ascii="Arial" w:hAnsi="Arial"/>
          <w:b/>
          <w:bCs/>
          <w:lang w:val="en-US"/>
        </w:rPr>
      </w:pPr>
    </w:p>
    <w:p w14:paraId="0F3EF334" w14:textId="3EA68FB2" w:rsidR="00D318D2" w:rsidRDefault="00D318D2" w:rsidP="001E6FBF">
      <w:pPr>
        <w:pStyle w:val="Body"/>
        <w:spacing w:after="120" w:line="240" w:lineRule="auto"/>
        <w:ind w:left="426" w:right="260"/>
        <w:rPr>
          <w:rFonts w:ascii="Arial" w:hAnsi="Arial"/>
          <w:bCs/>
          <w:lang w:val="en-US"/>
        </w:rPr>
      </w:pPr>
      <w:r w:rsidRPr="001E6FBF">
        <w:rPr>
          <w:rFonts w:ascii="Arial" w:hAnsi="Arial"/>
          <w:bCs/>
          <w:lang w:val="en-US"/>
        </w:rPr>
        <w:t>13. 2 Reassessment methods</w:t>
      </w:r>
    </w:p>
    <w:p w14:paraId="5A2010EC" w14:textId="1B360B9F" w:rsidR="001741B4" w:rsidRPr="001E6FBF" w:rsidRDefault="001741B4" w:rsidP="001E6FBF">
      <w:pPr>
        <w:pStyle w:val="Body"/>
        <w:spacing w:after="120" w:line="240" w:lineRule="auto"/>
        <w:ind w:left="426" w:right="260"/>
        <w:rPr>
          <w:rFonts w:ascii="Arial" w:eastAsia="Arial" w:hAnsi="Arial" w:cs="Arial"/>
          <w:bCs/>
          <w:i/>
          <w:iCs/>
          <w:lang w:val="en-US"/>
        </w:rPr>
      </w:pPr>
      <w:r>
        <w:rPr>
          <w:rFonts w:ascii="Arial" w:hAnsi="Arial"/>
          <w:bCs/>
          <w:lang w:val="en-US"/>
        </w:rPr>
        <w:t>100% Coursework (3,000 word Essay)</w:t>
      </w:r>
    </w:p>
    <w:p w14:paraId="463CE7B9" w14:textId="77777777" w:rsidR="003529A3" w:rsidRPr="002F6A07" w:rsidRDefault="003529A3" w:rsidP="003529A3">
      <w:pPr>
        <w:spacing w:before="60" w:after="60"/>
        <w:ind w:right="-330"/>
        <w:rPr>
          <w:rFonts w:ascii="Arial" w:eastAsia="Arial" w:hAnsi="Arial" w:cs="Arial"/>
          <w:sz w:val="22"/>
          <w:szCs w:val="22"/>
        </w:rPr>
      </w:pPr>
    </w:p>
    <w:p w14:paraId="08150702" w14:textId="77777777" w:rsidR="009A4647" w:rsidRDefault="00D80A4D" w:rsidP="004F7206">
      <w:pPr>
        <w:pStyle w:val="Body"/>
        <w:numPr>
          <w:ilvl w:val="0"/>
          <w:numId w:val="33"/>
        </w:numPr>
        <w:spacing w:after="120" w:line="240" w:lineRule="auto"/>
        <w:ind w:right="260"/>
        <w:jc w:val="both"/>
        <w:rPr>
          <w:rFonts w:ascii="Arial" w:eastAsia="Arial" w:hAnsi="Arial" w:cs="Arial"/>
          <w:b/>
          <w:bCs/>
          <w:lang w:val="en-US"/>
        </w:rPr>
      </w:pPr>
      <w:r>
        <w:rPr>
          <w:rFonts w:ascii="Arial" w:hAnsi="Arial"/>
          <w:b/>
          <w:bCs/>
          <w:lang w:val="en-US"/>
        </w:rPr>
        <w:t>Map of module learning outcomes (sections 8 &amp; 9) to learning and teaching methods (section12) and methods of assessment (section 13)</w:t>
      </w:r>
    </w:p>
    <w:tbl>
      <w:tblPr>
        <w:tblW w:w="914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24"/>
        <w:gridCol w:w="597"/>
        <w:gridCol w:w="597"/>
        <w:gridCol w:w="597"/>
        <w:gridCol w:w="597"/>
        <w:gridCol w:w="598"/>
        <w:gridCol w:w="598"/>
        <w:gridCol w:w="598"/>
        <w:gridCol w:w="598"/>
        <w:gridCol w:w="598"/>
        <w:gridCol w:w="598"/>
        <w:gridCol w:w="598"/>
        <w:gridCol w:w="748"/>
      </w:tblGrid>
      <w:tr w:rsidR="00D318D2" w14:paraId="7A448854" w14:textId="77777777" w:rsidTr="001E6FBF">
        <w:trPr>
          <w:trHeight w:val="793"/>
        </w:trPr>
        <w:tc>
          <w:tcPr>
            <w:tcW w:w="18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29BA989E" w14:textId="77777777" w:rsidR="00D318D2" w:rsidRDefault="00D318D2">
            <w:pPr>
              <w:pStyle w:val="Body"/>
              <w:spacing w:after="120"/>
              <w:ind w:left="33"/>
            </w:pPr>
            <w:r>
              <w:rPr>
                <w:rFonts w:ascii="Arial" w:hAnsi="Arial"/>
                <w:b/>
                <w:bCs/>
                <w:lang w:val="en-US"/>
              </w:rPr>
              <w:t>Module learning outcome</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94721" w14:textId="77777777" w:rsidR="00D318D2" w:rsidRDefault="00D318D2">
            <w:pPr>
              <w:pStyle w:val="Body"/>
              <w:spacing w:after="120" w:line="240" w:lineRule="auto"/>
            </w:pPr>
            <w:r>
              <w:rPr>
                <w:rFonts w:ascii="Arial" w:hAnsi="Arial"/>
                <w:i/>
                <w:iCs/>
                <w:lang w:val="en-US"/>
              </w:rPr>
              <w:t>8.1</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AA7E9" w14:textId="77777777" w:rsidR="00D318D2" w:rsidRDefault="00D318D2">
            <w:pPr>
              <w:pStyle w:val="Body"/>
              <w:spacing w:after="120" w:line="240" w:lineRule="auto"/>
            </w:pPr>
            <w:r>
              <w:rPr>
                <w:rFonts w:ascii="Arial" w:hAnsi="Arial"/>
                <w:i/>
                <w:iCs/>
                <w:lang w:val="en-US"/>
              </w:rPr>
              <w:t>8.2</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87734" w14:textId="77777777" w:rsidR="00D318D2" w:rsidRDefault="00D318D2">
            <w:pPr>
              <w:pStyle w:val="Body"/>
              <w:spacing w:after="120" w:line="240" w:lineRule="auto"/>
            </w:pPr>
            <w:r>
              <w:rPr>
                <w:rFonts w:ascii="Arial" w:hAnsi="Arial"/>
                <w:i/>
                <w:iCs/>
                <w:lang w:val="en-US"/>
              </w:rPr>
              <w:t>8.3</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1CC65" w14:textId="77777777" w:rsidR="00D318D2" w:rsidRDefault="00D318D2">
            <w:pPr>
              <w:pStyle w:val="Body"/>
              <w:spacing w:after="120" w:line="240" w:lineRule="auto"/>
            </w:pPr>
            <w:r>
              <w:rPr>
                <w:rFonts w:ascii="Arial" w:hAnsi="Arial"/>
                <w:i/>
                <w:iCs/>
                <w:lang w:val="en-US"/>
              </w:rPr>
              <w:t>8.4</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B3BF9" w14:textId="77777777" w:rsidR="00D318D2" w:rsidRDefault="00D318D2">
            <w:pPr>
              <w:pStyle w:val="Body"/>
              <w:spacing w:after="120" w:line="240" w:lineRule="auto"/>
            </w:pPr>
            <w:r>
              <w:rPr>
                <w:rFonts w:ascii="Arial" w:hAnsi="Arial"/>
                <w:i/>
                <w:iCs/>
                <w:lang w:val="en-US"/>
              </w:rPr>
              <w:t>8.5</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88DE8" w14:textId="77777777" w:rsidR="00D318D2" w:rsidRDefault="00D318D2">
            <w:pPr>
              <w:pStyle w:val="Body"/>
              <w:spacing w:after="120" w:line="240" w:lineRule="auto"/>
            </w:pPr>
            <w:r>
              <w:rPr>
                <w:rFonts w:ascii="Arial" w:hAnsi="Arial"/>
                <w:i/>
                <w:iCs/>
                <w:lang w:val="en-US"/>
              </w:rPr>
              <w:t>8.6</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8DDF0" w14:textId="77777777" w:rsidR="00D318D2" w:rsidRDefault="00D318D2">
            <w:pPr>
              <w:pStyle w:val="Body"/>
              <w:spacing w:after="120" w:line="240" w:lineRule="auto"/>
            </w:pPr>
            <w:r>
              <w:rPr>
                <w:rFonts w:ascii="Arial" w:hAnsi="Arial"/>
                <w:i/>
                <w:iCs/>
                <w:lang w:val="en-US"/>
              </w:rPr>
              <w:t>9.1</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7262A" w14:textId="77777777" w:rsidR="00D318D2" w:rsidRDefault="00D318D2">
            <w:pPr>
              <w:pStyle w:val="Body"/>
              <w:spacing w:after="120" w:line="240" w:lineRule="auto"/>
            </w:pPr>
            <w:r>
              <w:rPr>
                <w:rFonts w:ascii="Arial" w:hAnsi="Arial"/>
                <w:i/>
                <w:iCs/>
                <w:lang w:val="en-US"/>
              </w:rPr>
              <w:t>9.2</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FFB44" w14:textId="77777777" w:rsidR="00D318D2" w:rsidRDefault="00D318D2">
            <w:pPr>
              <w:pStyle w:val="Body"/>
              <w:spacing w:after="120" w:line="240" w:lineRule="auto"/>
            </w:pPr>
            <w:r>
              <w:rPr>
                <w:rFonts w:ascii="Arial" w:hAnsi="Arial"/>
                <w:i/>
                <w:iCs/>
                <w:lang w:val="en-US"/>
              </w:rPr>
              <w:t>9.3</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729A9" w14:textId="77777777" w:rsidR="00D318D2" w:rsidRDefault="00D318D2">
            <w:pPr>
              <w:pStyle w:val="Body"/>
              <w:spacing w:after="120" w:line="240" w:lineRule="auto"/>
            </w:pPr>
            <w:r>
              <w:rPr>
                <w:rFonts w:ascii="Arial" w:hAnsi="Arial"/>
                <w:i/>
                <w:iCs/>
                <w:lang w:val="en-US"/>
              </w:rPr>
              <w:t>9.4</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5F697" w14:textId="7B88F20D" w:rsidR="00D318D2" w:rsidRDefault="00D318D2" w:rsidP="001E6FBF">
            <w:pPr>
              <w:pStyle w:val="Body"/>
              <w:spacing w:after="120" w:line="240" w:lineRule="auto"/>
            </w:pPr>
            <w:r w:rsidRPr="001E6FBF">
              <w:rPr>
                <w:rFonts w:ascii="Arial" w:hAnsi="Arial"/>
                <w:i/>
                <w:iCs/>
                <w:lang w:val="en-US"/>
              </w:rPr>
              <w:t>9.5</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1A931" w14:textId="4FBAE192" w:rsidR="00D318D2" w:rsidRDefault="00D318D2" w:rsidP="001E6FBF">
            <w:pPr>
              <w:pStyle w:val="Body"/>
              <w:spacing w:after="120" w:line="240" w:lineRule="auto"/>
            </w:pPr>
            <w:r w:rsidRPr="001E6FBF">
              <w:rPr>
                <w:rFonts w:ascii="Arial" w:hAnsi="Arial"/>
                <w:i/>
                <w:iCs/>
                <w:lang w:val="en-US"/>
              </w:rPr>
              <w:t>9.6</w:t>
            </w:r>
          </w:p>
        </w:tc>
      </w:tr>
      <w:tr w:rsidR="00D318D2" w14:paraId="719A787F" w14:textId="77777777" w:rsidTr="001E6FBF">
        <w:trPr>
          <w:trHeight w:val="723"/>
        </w:trPr>
        <w:tc>
          <w:tcPr>
            <w:tcW w:w="18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2EE774" w14:textId="77777777" w:rsidR="00D318D2" w:rsidRDefault="00D318D2">
            <w:pPr>
              <w:pStyle w:val="Body"/>
              <w:spacing w:after="120" w:line="240" w:lineRule="auto"/>
            </w:pPr>
            <w:r>
              <w:rPr>
                <w:rFonts w:ascii="Arial" w:hAnsi="Arial"/>
                <w:b/>
                <w:bCs/>
                <w:lang w:val="en-US"/>
              </w:rPr>
              <w:t>Learning/ teaching method</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D4419" w14:textId="77777777" w:rsidR="00D318D2" w:rsidRDefault="00D318D2"/>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A4D11" w14:textId="77777777" w:rsidR="00D318D2" w:rsidRDefault="00D318D2"/>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B8B26" w14:textId="77777777" w:rsidR="00D318D2" w:rsidRDefault="00D318D2"/>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601F3"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5BC9D"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1BE1C"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7014E"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9CB99"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4AA9D"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21098"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35C9B" w14:textId="77777777" w:rsidR="00D318D2" w:rsidRDefault="00D318D2"/>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4616E" w14:textId="77777777" w:rsidR="00D318D2" w:rsidRDefault="00D318D2"/>
        </w:tc>
      </w:tr>
      <w:tr w:rsidR="00D318D2" w14:paraId="07482520" w14:textId="77777777" w:rsidTr="001E6FBF">
        <w:trPr>
          <w:trHeight w:val="243"/>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DA18A" w14:textId="77777777" w:rsidR="00D318D2" w:rsidRPr="00D318D2" w:rsidRDefault="00D318D2">
            <w:pPr>
              <w:pStyle w:val="Body"/>
              <w:spacing w:after="120" w:line="240" w:lineRule="auto"/>
            </w:pPr>
            <w:r w:rsidRPr="001E6FBF">
              <w:rPr>
                <w:rFonts w:ascii="Arial" w:hAnsi="Arial"/>
                <w:bCs/>
                <w:lang w:val="en-US"/>
              </w:rPr>
              <w:t>Private Study</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4D663" w14:textId="696A1F6F" w:rsidR="00D318D2" w:rsidRDefault="00D318D2">
            <w: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17599" w14:textId="3332AEF0" w:rsidR="00D318D2" w:rsidRDefault="00D318D2">
            <w: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93C0F" w14:textId="7F6D43B7" w:rsidR="00D318D2" w:rsidRDefault="00D318D2">
            <w: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1DE3F" w14:textId="6E3AD18B"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7E5B7" w14:textId="3F151CE1"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45441" w14:textId="18949CBC"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112FC" w14:textId="77AF1257"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2316D" w14:textId="0A05D377"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F014E" w14:textId="14D8DFEB"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1FDF5" w14:textId="5322D9DC"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853B4" w14:textId="74E5CAD1" w:rsidR="00D318D2" w:rsidRDefault="00D318D2">
            <w:r>
              <w:t>x</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006F9" w14:textId="224BB2FD" w:rsidR="00D318D2" w:rsidRDefault="00D318D2">
            <w:r>
              <w:t>x</w:t>
            </w:r>
          </w:p>
        </w:tc>
      </w:tr>
      <w:tr w:rsidR="00D318D2" w14:paraId="00768919" w14:textId="77777777" w:rsidTr="001E6FBF">
        <w:trPr>
          <w:trHeight w:val="243"/>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4E59C" w14:textId="2B4641BB" w:rsidR="00D318D2" w:rsidRPr="00D318D2" w:rsidRDefault="00D318D2">
            <w:pPr>
              <w:pStyle w:val="Body"/>
              <w:spacing w:after="120" w:line="240" w:lineRule="auto"/>
            </w:pPr>
            <w:r>
              <w:rPr>
                <w:rFonts w:ascii="Arial" w:hAnsi="Arial"/>
                <w:i/>
                <w:iCs/>
                <w:lang w:val="en-US"/>
              </w:rPr>
              <w:t xml:space="preserve"> </w:t>
            </w:r>
            <w:r w:rsidRPr="001E6FBF">
              <w:rPr>
                <w:rFonts w:ascii="Arial" w:hAnsi="Arial"/>
                <w:iCs/>
                <w:lang w:val="en-US"/>
              </w:rPr>
              <w:t>Seminar</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C5AC0" w14:textId="2744D259" w:rsidR="00D318D2" w:rsidRDefault="00D318D2">
            <w: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1F76" w14:textId="3A6DFAE4" w:rsidR="00D318D2" w:rsidRDefault="00D318D2">
            <w: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DD60C" w14:textId="1DCBAEDB" w:rsidR="00D318D2" w:rsidRDefault="00D318D2">
            <w: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95E94" w14:textId="6185AC1E"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E33E6" w14:textId="661A8534"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9DA1F" w14:textId="184DA759"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18963" w14:textId="04855476"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088A9" w14:textId="1C8E303C"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7923E" w14:textId="720DBB97"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1F5A5" w14:textId="7B0CA483"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9795B" w14:textId="2EA2B5DA" w:rsidR="00D318D2" w:rsidRDefault="00D318D2">
            <w:r>
              <w:t>x</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18C0D" w14:textId="4D1E4D28" w:rsidR="00D318D2" w:rsidRDefault="00D318D2">
            <w:r>
              <w:t>x</w:t>
            </w:r>
          </w:p>
        </w:tc>
      </w:tr>
      <w:tr w:rsidR="00D318D2" w14:paraId="08AB68F3" w14:textId="77777777" w:rsidTr="001E6FBF">
        <w:trPr>
          <w:trHeight w:val="243"/>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2355C" w14:textId="77777777" w:rsidR="00D318D2" w:rsidRDefault="00D318D2"/>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F38CF" w14:textId="77777777" w:rsidR="00D318D2" w:rsidRDefault="00D318D2"/>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31BE9" w14:textId="77777777" w:rsidR="00D318D2" w:rsidRDefault="00D318D2"/>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2BB1E" w14:textId="77777777" w:rsidR="00D318D2" w:rsidRDefault="00D318D2"/>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1694E"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1B565"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8B84A"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2A522"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5D050"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54110"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DDEE7"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D0076" w14:textId="77777777" w:rsidR="00D318D2" w:rsidRDefault="00D318D2"/>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77FB7" w14:textId="77777777" w:rsidR="00D318D2" w:rsidRDefault="00D318D2"/>
        </w:tc>
      </w:tr>
      <w:tr w:rsidR="00D318D2" w14:paraId="7E544051" w14:textId="77777777" w:rsidTr="001E6FBF">
        <w:trPr>
          <w:trHeight w:val="483"/>
        </w:trPr>
        <w:tc>
          <w:tcPr>
            <w:tcW w:w="18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E5E11C" w14:textId="77777777" w:rsidR="00D318D2" w:rsidRDefault="00D318D2">
            <w:pPr>
              <w:pStyle w:val="Body"/>
              <w:spacing w:after="120" w:line="240" w:lineRule="auto"/>
            </w:pPr>
            <w:r>
              <w:rPr>
                <w:rFonts w:ascii="Arial" w:hAnsi="Arial"/>
                <w:b/>
                <w:bCs/>
                <w:lang w:val="en-US"/>
              </w:rPr>
              <w:t>Assessment method</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6C931" w14:textId="77777777" w:rsidR="00D318D2" w:rsidRDefault="00D318D2"/>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113CD" w14:textId="77777777" w:rsidR="00D318D2" w:rsidRDefault="00D318D2"/>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15F64" w14:textId="77777777" w:rsidR="00D318D2" w:rsidRDefault="00D318D2"/>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5477B"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436D0"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7B097"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E6154"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8B080"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8084D"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337BB" w14:textId="77777777" w:rsidR="00D318D2" w:rsidRDefault="00D318D2"/>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DDEE4" w14:textId="77777777" w:rsidR="00D318D2" w:rsidRDefault="00D318D2"/>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CC87E" w14:textId="77777777" w:rsidR="00D318D2" w:rsidRDefault="00D318D2"/>
        </w:tc>
      </w:tr>
      <w:tr w:rsidR="00D318D2" w14:paraId="505E715A" w14:textId="77777777" w:rsidTr="001E6FBF">
        <w:trPr>
          <w:trHeight w:val="483"/>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080FA" w14:textId="362E5D69" w:rsidR="00D318D2" w:rsidRPr="00D318D2" w:rsidRDefault="00D318D2">
            <w:pPr>
              <w:pStyle w:val="Body"/>
              <w:spacing w:after="120" w:line="240" w:lineRule="auto"/>
            </w:pPr>
            <w:r w:rsidRPr="001E6FBF">
              <w:rPr>
                <w:rFonts w:ascii="Arial" w:hAnsi="Arial"/>
                <w:iCs/>
                <w:lang w:val="en-US"/>
              </w:rPr>
              <w:t>Presentation</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C166F" w14:textId="24B08ADD" w:rsidR="00D318D2" w:rsidRDefault="00D318D2">
            <w: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56EC6" w14:textId="0A123A16" w:rsidR="00D318D2" w:rsidRDefault="00D318D2">
            <w: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78297" w14:textId="5466468B" w:rsidR="00D318D2" w:rsidRDefault="00D318D2">
            <w: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99A78" w14:textId="1C3388C7"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7CF99" w14:textId="7DC1648E"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10E6" w14:textId="56DAB119"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92C2F" w14:textId="5FA88838"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0DEBE" w14:textId="7740ACB6"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DE66D" w14:textId="181E0A43"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DE7C6" w14:textId="2874FD85"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15A4B" w14:textId="56E2F667" w:rsidR="00D318D2" w:rsidRDefault="00D318D2">
            <w:r>
              <w:t>x</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1AE09" w14:textId="1A598A30" w:rsidR="00D318D2" w:rsidRDefault="00D318D2">
            <w:r>
              <w:t>x</w:t>
            </w:r>
          </w:p>
        </w:tc>
      </w:tr>
      <w:tr w:rsidR="00D318D2" w14:paraId="1378DB09" w14:textId="77777777" w:rsidTr="001E6FBF">
        <w:trPr>
          <w:trHeight w:val="723"/>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F719F" w14:textId="6EB5FE20" w:rsidR="00D318D2" w:rsidRPr="00D318D2" w:rsidRDefault="00D318D2">
            <w:pPr>
              <w:pStyle w:val="Body"/>
              <w:spacing w:after="120" w:line="240" w:lineRule="auto"/>
            </w:pPr>
            <w:r w:rsidRPr="001E6FBF">
              <w:rPr>
                <w:rFonts w:ascii="Arial" w:hAnsi="Arial"/>
                <w:iCs/>
                <w:lang w:val="en-US"/>
              </w:rPr>
              <w:t>Essay 1 (3000)</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29BE3" w14:textId="23CBFB55" w:rsidR="00D318D2" w:rsidRDefault="00D318D2">
            <w: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31B65" w14:textId="784B15E3" w:rsidR="00D318D2" w:rsidRDefault="00D318D2">
            <w: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EE562" w14:textId="72AD1789" w:rsidR="00D318D2" w:rsidRDefault="00D318D2">
            <w: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2A576" w14:textId="00130B98"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276EF" w14:textId="2EC5AFAF"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98B37" w14:textId="1EC8F12A"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E6F09" w14:textId="5F7EC38E"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66CA1" w14:textId="072EC5D8"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25DD0" w14:textId="537C6F53"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5E22F" w14:textId="7217B456"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2F506" w14:textId="38830663" w:rsidR="00D318D2" w:rsidRDefault="00D318D2">
            <w:r>
              <w:t>x</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EB9C1" w14:textId="78171825" w:rsidR="00D318D2" w:rsidRDefault="00D318D2">
            <w:r>
              <w:t>x</w:t>
            </w:r>
          </w:p>
        </w:tc>
      </w:tr>
      <w:tr w:rsidR="00D318D2" w14:paraId="33D04B87" w14:textId="77777777" w:rsidTr="001E6FBF">
        <w:trPr>
          <w:trHeight w:val="483"/>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AB68" w14:textId="5A1C02B8" w:rsidR="00D318D2" w:rsidRPr="00D318D2" w:rsidRDefault="00D318D2">
            <w:pPr>
              <w:pStyle w:val="Body"/>
              <w:spacing w:after="120" w:line="240" w:lineRule="auto"/>
            </w:pPr>
            <w:r w:rsidRPr="001E6FBF">
              <w:rPr>
                <w:rFonts w:ascii="Arial" w:hAnsi="Arial"/>
                <w:iCs/>
                <w:lang w:val="en-US"/>
              </w:rPr>
              <w:t>Essay 2 (3000)</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74BFE" w14:textId="6375A473" w:rsidR="00D318D2" w:rsidRDefault="00D318D2">
            <w: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AF8DB" w14:textId="739392A2" w:rsidR="00D318D2" w:rsidRDefault="00D318D2">
            <w: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9E27E" w14:textId="756CE930" w:rsidR="00D318D2" w:rsidRDefault="00D318D2">
            <w: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2DC0F" w14:textId="75B07CC3"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0EE95" w14:textId="7E20297E"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DC0BE" w14:textId="1DD88D02"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8012E" w14:textId="1D20F80E"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2187A" w14:textId="2868AF89"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1E732" w14:textId="67C7ABD3"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F5211" w14:textId="126E3CA8" w:rsidR="00D318D2" w:rsidRDefault="00D318D2">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C150A" w14:textId="1598CF0C" w:rsidR="00D318D2" w:rsidRDefault="00D318D2">
            <w:r>
              <w:t>x</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009AE" w14:textId="290632F0" w:rsidR="00D318D2" w:rsidRDefault="00D318D2">
            <w:r>
              <w:t>x</w:t>
            </w:r>
          </w:p>
        </w:tc>
      </w:tr>
    </w:tbl>
    <w:p w14:paraId="18A1FA38" w14:textId="77777777" w:rsidR="003529A3" w:rsidRDefault="003529A3" w:rsidP="003529A3">
      <w:pPr>
        <w:pStyle w:val="Body"/>
        <w:widowControl w:val="0"/>
        <w:spacing w:after="120" w:line="240" w:lineRule="auto"/>
        <w:jc w:val="both"/>
        <w:rPr>
          <w:rFonts w:ascii="Arial" w:hAnsi="Arial"/>
          <w:b/>
          <w:bCs/>
          <w:lang w:val="en-US"/>
        </w:rPr>
      </w:pPr>
    </w:p>
    <w:p w14:paraId="24B2643B" w14:textId="77777777" w:rsidR="001E6FBF" w:rsidRDefault="001E6FBF">
      <w:pPr>
        <w:rPr>
          <w:rFonts w:ascii="Arial" w:eastAsia="Calibri" w:hAnsi="Arial" w:cs="Calibri"/>
          <w:b/>
          <w:bCs/>
          <w:color w:val="000000"/>
          <w:sz w:val="22"/>
          <w:szCs w:val="22"/>
          <w:u w:color="000000"/>
        </w:rPr>
      </w:pPr>
      <w:r>
        <w:rPr>
          <w:rFonts w:ascii="Arial" w:hAnsi="Arial"/>
          <w:b/>
          <w:bCs/>
        </w:rPr>
        <w:br w:type="page"/>
      </w:r>
    </w:p>
    <w:p w14:paraId="7A971754" w14:textId="7AEB01D6" w:rsidR="009A4647" w:rsidRPr="003529A3" w:rsidRDefault="00D80A4D" w:rsidP="003529A3">
      <w:pPr>
        <w:pStyle w:val="Body"/>
        <w:widowControl w:val="0"/>
        <w:numPr>
          <w:ilvl w:val="0"/>
          <w:numId w:val="33"/>
        </w:numPr>
        <w:spacing w:after="120" w:line="240" w:lineRule="auto"/>
        <w:jc w:val="both"/>
      </w:pPr>
      <w:r w:rsidRPr="003529A3">
        <w:rPr>
          <w:rFonts w:ascii="Arial" w:hAnsi="Arial"/>
          <w:b/>
          <w:bCs/>
          <w:lang w:val="en-US"/>
        </w:rPr>
        <w:t xml:space="preserve">Inclusive module design </w:t>
      </w:r>
    </w:p>
    <w:p w14:paraId="1166F0BF" w14:textId="70294B24" w:rsidR="009A4647" w:rsidRPr="00325F8F" w:rsidRDefault="00D80A4D">
      <w:pPr>
        <w:pStyle w:val="Body"/>
        <w:spacing w:after="120" w:line="240" w:lineRule="auto"/>
        <w:ind w:left="426" w:right="260"/>
        <w:jc w:val="both"/>
        <w:rPr>
          <w:rFonts w:ascii="Arial" w:eastAsia="Arial" w:hAnsi="Arial" w:cs="Arial"/>
          <w:lang w:val="en-US"/>
        </w:rPr>
      </w:pPr>
      <w:r>
        <w:rPr>
          <w:rFonts w:ascii="Arial" w:hAnsi="Arial"/>
          <w:lang w:val="en-US"/>
        </w:rPr>
        <w:t>The School</w:t>
      </w:r>
      <w:r w:rsidR="003529A3">
        <w:rPr>
          <w:rFonts w:ascii="Arial" w:hAnsi="Arial"/>
          <w:lang w:val="en-US"/>
        </w:rPr>
        <w:t xml:space="preserve"> </w:t>
      </w:r>
      <w:r>
        <w:rPr>
          <w:rFonts w:ascii="Arial" w:hAnsi="Arial"/>
          <w:lang w:val="en-US"/>
        </w:rPr>
        <w:t xml:space="preserve">recognises and has embedded the expectations of current equality legislation, by ensuring that the module is as accessible as possible by design. Additional alternative arrangements </w:t>
      </w:r>
      <w:r>
        <w:rPr>
          <w:rFonts w:ascii="Arial" w:hAnsi="Arial"/>
          <w:lang w:val="en-US"/>
        </w:rPr>
        <w:lastRenderedPageBreak/>
        <w:t>for students with Inclusive Learning Plans (ILPs)/declared disabilities will be made on an individual basis, in consultation with the relevant policies and support services.</w:t>
      </w:r>
    </w:p>
    <w:p w14:paraId="352E9359" w14:textId="77777777" w:rsidR="009A4647" w:rsidRPr="00325F8F" w:rsidRDefault="00D80A4D">
      <w:pPr>
        <w:pStyle w:val="Body"/>
        <w:spacing w:after="120" w:line="240" w:lineRule="auto"/>
        <w:ind w:left="426" w:right="260"/>
        <w:jc w:val="both"/>
        <w:rPr>
          <w:rFonts w:ascii="Arial" w:eastAsia="Arial" w:hAnsi="Arial" w:cs="Arial"/>
          <w:lang w:val="en-US"/>
        </w:rPr>
      </w:pPr>
      <w:r>
        <w:rPr>
          <w:rFonts w:ascii="Arial" w:hAnsi="Arial"/>
          <w:lang w:val="en-US"/>
        </w:rPr>
        <w:t>The inclusive practices in the guidance (see Annex B Appendix A) have been considered in order to support all students in the following areas:</w:t>
      </w:r>
    </w:p>
    <w:p w14:paraId="56D78D81" w14:textId="77777777" w:rsidR="009A4647" w:rsidRPr="00325F8F" w:rsidRDefault="00D80A4D">
      <w:pPr>
        <w:pStyle w:val="Body"/>
        <w:spacing w:after="120" w:line="240" w:lineRule="auto"/>
        <w:ind w:left="426" w:right="260"/>
        <w:jc w:val="both"/>
        <w:rPr>
          <w:rFonts w:ascii="Arial" w:eastAsia="Arial" w:hAnsi="Arial" w:cs="Arial"/>
          <w:lang w:val="en-US"/>
        </w:rPr>
      </w:pPr>
      <w:r>
        <w:rPr>
          <w:rFonts w:ascii="Arial" w:hAnsi="Arial"/>
          <w:lang w:val="en-US"/>
        </w:rPr>
        <w:t>a) Accessible resources and curriculum</w:t>
      </w:r>
    </w:p>
    <w:p w14:paraId="265C7557" w14:textId="77777777" w:rsidR="009A4647" w:rsidRPr="00325F8F" w:rsidRDefault="00D80A4D">
      <w:pPr>
        <w:pStyle w:val="Body"/>
        <w:tabs>
          <w:tab w:val="left" w:pos="567"/>
        </w:tabs>
        <w:spacing w:after="120" w:line="240" w:lineRule="auto"/>
        <w:ind w:left="426" w:right="260"/>
        <w:jc w:val="both"/>
        <w:rPr>
          <w:rFonts w:ascii="Arial" w:eastAsia="Arial" w:hAnsi="Arial" w:cs="Arial"/>
          <w:lang w:val="en-US"/>
        </w:rPr>
      </w:pPr>
      <w:r>
        <w:rPr>
          <w:rFonts w:ascii="Arial" w:hAnsi="Arial"/>
          <w:lang w:val="en-US"/>
        </w:rPr>
        <w:t>b) Learning, teaching and assessment methods</w:t>
      </w:r>
    </w:p>
    <w:p w14:paraId="440E5E86" w14:textId="77777777" w:rsidR="009A4647" w:rsidRPr="00325F8F" w:rsidRDefault="009A4647">
      <w:pPr>
        <w:pStyle w:val="Body"/>
        <w:spacing w:after="120" w:line="240" w:lineRule="auto"/>
        <w:ind w:left="426" w:right="260"/>
        <w:rPr>
          <w:rFonts w:ascii="Arial" w:eastAsia="Arial" w:hAnsi="Arial" w:cs="Arial"/>
          <w:lang w:val="en-US"/>
        </w:rPr>
      </w:pPr>
    </w:p>
    <w:p w14:paraId="764D254D" w14:textId="77777777" w:rsidR="009A4647" w:rsidRDefault="00D80A4D">
      <w:pPr>
        <w:pStyle w:val="Body"/>
        <w:numPr>
          <w:ilvl w:val="0"/>
          <w:numId w:val="33"/>
        </w:numPr>
        <w:spacing w:after="120" w:line="240" w:lineRule="auto"/>
        <w:ind w:right="260"/>
        <w:jc w:val="both"/>
        <w:rPr>
          <w:rFonts w:ascii="Arial" w:eastAsia="Arial" w:hAnsi="Arial" w:cs="Arial"/>
          <w:b/>
          <w:bCs/>
          <w:lang w:val="en-US"/>
        </w:rPr>
      </w:pPr>
      <w:r>
        <w:rPr>
          <w:rFonts w:ascii="Arial" w:hAnsi="Arial"/>
          <w:b/>
          <w:bCs/>
          <w:lang w:val="en-US"/>
        </w:rPr>
        <w:t>Campus(es) or centre(s) where module will be delivered</w:t>
      </w:r>
    </w:p>
    <w:p w14:paraId="089CE706" w14:textId="6D92EA1D" w:rsidR="009A4647" w:rsidRDefault="00E24678" w:rsidP="003529A3">
      <w:pPr>
        <w:pStyle w:val="Body"/>
        <w:spacing w:after="120" w:line="240" w:lineRule="auto"/>
        <w:ind w:right="260"/>
        <w:jc w:val="both"/>
        <w:rPr>
          <w:rFonts w:ascii="Arial" w:eastAsia="Arial" w:hAnsi="Arial" w:cs="Arial"/>
          <w:bCs/>
        </w:rPr>
      </w:pPr>
      <w:r w:rsidRPr="004F7206">
        <w:rPr>
          <w:rFonts w:ascii="Arial" w:eastAsia="Arial" w:hAnsi="Arial" w:cs="Arial"/>
          <w:bCs/>
        </w:rPr>
        <w:t>Canterbury</w:t>
      </w:r>
    </w:p>
    <w:p w14:paraId="54C85071" w14:textId="77777777" w:rsidR="00D04CDB" w:rsidRPr="004F7206" w:rsidRDefault="00D04CDB" w:rsidP="003529A3">
      <w:pPr>
        <w:pStyle w:val="Body"/>
        <w:spacing w:after="120" w:line="240" w:lineRule="auto"/>
        <w:ind w:right="260"/>
        <w:jc w:val="both"/>
        <w:rPr>
          <w:rFonts w:ascii="Arial" w:eastAsia="Arial" w:hAnsi="Arial" w:cs="Arial"/>
          <w:bCs/>
        </w:rPr>
      </w:pPr>
    </w:p>
    <w:p w14:paraId="065781F6" w14:textId="77777777" w:rsidR="009A4647" w:rsidRDefault="00D80A4D">
      <w:pPr>
        <w:pStyle w:val="Body"/>
        <w:numPr>
          <w:ilvl w:val="0"/>
          <w:numId w:val="42"/>
        </w:numPr>
        <w:spacing w:after="120" w:line="240" w:lineRule="auto"/>
        <w:ind w:right="261"/>
        <w:jc w:val="both"/>
        <w:rPr>
          <w:rFonts w:ascii="Arial" w:eastAsia="Arial" w:hAnsi="Arial" w:cs="Arial"/>
          <w:b/>
          <w:bCs/>
          <w:lang w:val="fr-FR"/>
        </w:rPr>
      </w:pPr>
      <w:r>
        <w:rPr>
          <w:rFonts w:ascii="Arial" w:hAnsi="Arial"/>
          <w:b/>
          <w:bCs/>
          <w:lang w:val="fr-FR"/>
        </w:rPr>
        <w:t xml:space="preserve">Internationalisation </w:t>
      </w:r>
    </w:p>
    <w:p w14:paraId="2CECD8B8" w14:textId="27787FB7" w:rsidR="009A4647" w:rsidRPr="00325F8F" w:rsidRDefault="008F079A" w:rsidP="003529A3">
      <w:pPr>
        <w:pStyle w:val="Body"/>
        <w:spacing w:after="120" w:line="240" w:lineRule="auto"/>
        <w:ind w:right="260"/>
        <w:rPr>
          <w:rFonts w:ascii="Arial" w:eastAsia="Arial" w:hAnsi="Arial" w:cs="Arial"/>
          <w:lang w:val="en-US"/>
        </w:rPr>
      </w:pPr>
      <w:r>
        <w:rPr>
          <w:rFonts w:ascii="Arial" w:hAnsi="Arial"/>
          <w:lang w:val="en-US"/>
        </w:rPr>
        <w:t>By its very nature, this module – focusing as it does on one of the world’s great ‘trouble spot</w:t>
      </w:r>
      <w:r w:rsidR="00D04CDB">
        <w:rPr>
          <w:rFonts w:ascii="Arial" w:hAnsi="Arial"/>
          <w:lang w:val="en-US"/>
        </w:rPr>
        <w:t>s</w:t>
      </w:r>
      <w:r>
        <w:rPr>
          <w:rFonts w:ascii="Arial" w:hAnsi="Arial"/>
          <w:lang w:val="en-US"/>
        </w:rPr>
        <w:t>’ – will enhance the students’ understanding of international relations and the violent manifestations of globalizing processes and dynamics in the Congo</w:t>
      </w:r>
      <w:r w:rsidR="002F6A07">
        <w:rPr>
          <w:rFonts w:ascii="Arial" w:hAnsi="Arial"/>
          <w:lang w:val="en-US"/>
        </w:rPr>
        <w:t xml:space="preserve"> basin from the second half of the</w:t>
      </w:r>
      <w:r>
        <w:rPr>
          <w:rFonts w:ascii="Arial" w:hAnsi="Arial"/>
          <w:lang w:val="en-US"/>
        </w:rPr>
        <w:t xml:space="preserve"> nineteenth century</w:t>
      </w:r>
      <w:r w:rsidR="002F6A07">
        <w:rPr>
          <w:rFonts w:ascii="Arial" w:hAnsi="Arial"/>
          <w:lang w:val="en-US"/>
        </w:rPr>
        <w:t xml:space="preserve"> to the present</w:t>
      </w:r>
      <w:r>
        <w:rPr>
          <w:rFonts w:ascii="Arial" w:hAnsi="Arial"/>
          <w:lang w:val="en-US"/>
        </w:rPr>
        <w:t xml:space="preserve">. </w:t>
      </w:r>
    </w:p>
    <w:p w14:paraId="1542CB96" w14:textId="77777777" w:rsidR="009A4647" w:rsidRPr="00325F8F" w:rsidRDefault="009A4647">
      <w:pPr>
        <w:pStyle w:val="Body"/>
        <w:spacing w:after="120" w:line="240" w:lineRule="auto"/>
        <w:ind w:left="426" w:right="260"/>
        <w:rPr>
          <w:rFonts w:ascii="Arial" w:eastAsia="Arial" w:hAnsi="Arial" w:cs="Arial"/>
          <w:lang w:val="en-US"/>
        </w:rPr>
      </w:pPr>
    </w:p>
    <w:p w14:paraId="4BED1998" w14:textId="77777777" w:rsidR="009A4647" w:rsidRPr="00325F8F" w:rsidRDefault="009A4647">
      <w:pPr>
        <w:pStyle w:val="Body"/>
        <w:spacing w:after="120" w:line="240" w:lineRule="auto"/>
        <w:ind w:right="261"/>
        <w:rPr>
          <w:rFonts w:ascii="Arial" w:eastAsia="Arial" w:hAnsi="Arial" w:cs="Arial"/>
          <w:b/>
          <w:bCs/>
          <w:lang w:val="en-US"/>
        </w:rPr>
      </w:pPr>
    </w:p>
    <w:p w14:paraId="61FBA785" w14:textId="77777777" w:rsidR="009A4647" w:rsidRPr="00325F8F" w:rsidRDefault="009A4647">
      <w:pPr>
        <w:pStyle w:val="Body"/>
        <w:pBdr>
          <w:bottom w:val="single" w:sz="6" w:space="0" w:color="000000"/>
        </w:pBdr>
        <w:spacing w:after="120" w:line="240" w:lineRule="auto"/>
        <w:ind w:right="261"/>
        <w:rPr>
          <w:rFonts w:ascii="Arial" w:eastAsia="Arial" w:hAnsi="Arial" w:cs="Arial"/>
          <w:lang w:val="en-US"/>
        </w:rPr>
      </w:pPr>
    </w:p>
    <w:p w14:paraId="0E568837" w14:textId="77777777" w:rsidR="009A4647" w:rsidRPr="00325F8F" w:rsidRDefault="00D80A4D">
      <w:pPr>
        <w:pStyle w:val="Body"/>
        <w:spacing w:after="120" w:line="240" w:lineRule="auto"/>
        <w:ind w:right="260"/>
        <w:rPr>
          <w:rFonts w:ascii="Arial" w:eastAsia="Arial" w:hAnsi="Arial" w:cs="Arial"/>
          <w:b/>
          <w:bCs/>
          <w:sz w:val="20"/>
          <w:szCs w:val="20"/>
          <w:lang w:val="en-US"/>
        </w:rPr>
      </w:pPr>
      <w:r w:rsidRPr="00325F8F">
        <w:rPr>
          <w:rFonts w:ascii="Arial" w:hAnsi="Arial"/>
          <w:b/>
          <w:bCs/>
          <w:sz w:val="20"/>
          <w:szCs w:val="20"/>
          <w:lang w:val="en-US"/>
        </w:rPr>
        <w:t xml:space="preserve">FACULTIES SUPPORT OFFICE USE ONLY </w:t>
      </w:r>
    </w:p>
    <w:p w14:paraId="28B452DD" w14:textId="77777777" w:rsidR="009A4647" w:rsidRPr="00325F8F" w:rsidRDefault="00D80A4D">
      <w:pPr>
        <w:pStyle w:val="Body"/>
        <w:spacing w:after="120" w:line="240" w:lineRule="auto"/>
        <w:ind w:right="260"/>
        <w:rPr>
          <w:rFonts w:ascii="Arial" w:eastAsia="Arial" w:hAnsi="Arial" w:cs="Arial"/>
          <w:b/>
          <w:bCs/>
          <w:sz w:val="20"/>
          <w:szCs w:val="20"/>
          <w:lang w:val="en-US"/>
        </w:rPr>
      </w:pPr>
      <w:r w:rsidRPr="007909A5">
        <w:rPr>
          <w:rFonts w:ascii="Arial" w:hAnsi="Arial"/>
          <w:b/>
          <w:bCs/>
          <w:sz w:val="20"/>
          <w:szCs w:val="20"/>
          <w:lang w:val="en-GB"/>
        </w:rPr>
        <w:t xml:space="preserve">Revision record </w:t>
      </w:r>
      <w:r>
        <w:rPr>
          <w:rFonts w:ascii="Arial" w:hAnsi="Arial"/>
          <w:b/>
          <w:bCs/>
          <w:sz w:val="20"/>
          <w:szCs w:val="20"/>
          <w:lang w:val="en-US"/>
        </w:rPr>
        <w:t>– all revisions must be recorded in the grid and full details of the change retained in the appropriate committee records.</w:t>
      </w:r>
    </w:p>
    <w:p w14:paraId="28DBBA8F" w14:textId="77777777" w:rsidR="009A4647" w:rsidRPr="00325F8F" w:rsidRDefault="009A4647">
      <w:pPr>
        <w:pStyle w:val="Body"/>
        <w:spacing w:after="120" w:line="240" w:lineRule="auto"/>
        <w:rPr>
          <w:rFonts w:ascii="Arial" w:eastAsia="Arial" w:hAnsi="Arial" w:cs="Arial"/>
          <w:b/>
          <w:bCs/>
          <w:lang w:val="en-US"/>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1701"/>
        <w:gridCol w:w="2410"/>
        <w:gridCol w:w="2448"/>
        <w:gridCol w:w="2597"/>
      </w:tblGrid>
      <w:tr w:rsidR="009A4647" w14:paraId="02732DC6" w14:textId="77777777">
        <w:trPr>
          <w:trHeight w:val="404"/>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0C45D" w14:textId="77777777" w:rsidR="009A4647" w:rsidRDefault="00D80A4D">
            <w:pPr>
              <w:pStyle w:val="Body"/>
              <w:spacing w:after="120"/>
            </w:pPr>
            <w:r>
              <w:rPr>
                <w:rFonts w:ascii="Arial" w:hAnsi="Arial"/>
                <w:sz w:val="18"/>
                <w:szCs w:val="18"/>
                <w:lang w:val="en-US"/>
              </w:rPr>
              <w:t>Date approved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9D10B" w14:textId="77777777" w:rsidR="009A4647" w:rsidRDefault="00D80A4D">
            <w:pPr>
              <w:pStyle w:val="Body"/>
              <w:spacing w:after="120" w:line="240" w:lineRule="auto"/>
            </w:pPr>
            <w:r>
              <w:rPr>
                <w:rFonts w:ascii="Arial" w:hAnsi="Arial"/>
                <w:sz w:val="18"/>
                <w:szCs w:val="18"/>
                <w:lang w:val="en-US"/>
              </w:rPr>
              <w:t>Major/minor revision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561C0" w14:textId="77777777" w:rsidR="009A4647" w:rsidRPr="00325F8F" w:rsidRDefault="00D80A4D">
            <w:pPr>
              <w:pStyle w:val="Body"/>
              <w:spacing w:after="120" w:line="240" w:lineRule="auto"/>
              <w:rPr>
                <w:lang w:val="en-US"/>
              </w:rPr>
            </w:pPr>
            <w:r>
              <w:rPr>
                <w:rFonts w:ascii="Arial" w:hAnsi="Arial"/>
                <w:sz w:val="18"/>
                <w:szCs w:val="18"/>
                <w:lang w:val="en-US"/>
              </w:rPr>
              <w:t>Start date of the delivery of  revised version</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3B28F" w14:textId="77777777" w:rsidR="009A4647" w:rsidRDefault="00D80A4D">
            <w:pPr>
              <w:pStyle w:val="Body"/>
              <w:spacing w:after="120" w:line="240" w:lineRule="auto"/>
            </w:pPr>
            <w:r>
              <w:rPr>
                <w:rFonts w:ascii="Arial" w:hAnsi="Arial"/>
                <w:sz w:val="18"/>
                <w:szCs w:val="18"/>
                <w:lang w:val="en-US"/>
              </w:rPr>
              <w:t>Section revised</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5C715" w14:textId="77777777" w:rsidR="009A4647" w:rsidRPr="00325F8F" w:rsidRDefault="00D80A4D">
            <w:pPr>
              <w:pStyle w:val="Body"/>
              <w:spacing w:after="120" w:line="240" w:lineRule="auto"/>
              <w:rPr>
                <w:lang w:val="en-US"/>
              </w:rPr>
            </w:pPr>
            <w:r>
              <w:rPr>
                <w:rFonts w:ascii="Arial" w:hAnsi="Arial"/>
                <w:sz w:val="18"/>
                <w:szCs w:val="18"/>
                <w:lang w:val="en-US"/>
              </w:rPr>
              <w:t>Impacts PLOs (Q6&amp;7 cover sheet)</w:t>
            </w:r>
          </w:p>
        </w:tc>
      </w:tr>
      <w:tr w:rsidR="009A4647" w14:paraId="3667810F" w14:textId="77777777">
        <w:trPr>
          <w:trHeight w:val="24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FC0CD" w14:textId="77777777" w:rsidR="009A4647" w:rsidRDefault="009A4647"/>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430F8" w14:textId="77777777" w:rsidR="009A4647" w:rsidRDefault="009A4647"/>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7894B" w14:textId="77777777" w:rsidR="009A4647" w:rsidRDefault="009A4647"/>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AA4A3" w14:textId="77777777" w:rsidR="009A4647" w:rsidRDefault="009A4647"/>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AE95D" w14:textId="77777777" w:rsidR="009A4647" w:rsidRDefault="009A4647"/>
        </w:tc>
      </w:tr>
      <w:tr w:rsidR="009A4647" w14:paraId="44DF7BDE" w14:textId="77777777">
        <w:trPr>
          <w:trHeight w:val="24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EE1FC" w14:textId="77777777" w:rsidR="009A4647" w:rsidRDefault="009A4647"/>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0499B" w14:textId="77777777" w:rsidR="009A4647" w:rsidRDefault="009A4647"/>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4769C" w14:textId="77777777" w:rsidR="009A4647" w:rsidRDefault="009A4647"/>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6F419" w14:textId="77777777" w:rsidR="009A4647" w:rsidRDefault="009A4647"/>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F2A1E" w14:textId="77777777" w:rsidR="009A4647" w:rsidRDefault="009A4647"/>
        </w:tc>
      </w:tr>
    </w:tbl>
    <w:p w14:paraId="4C9FCB9D" w14:textId="77777777" w:rsidR="009A4647" w:rsidRPr="00325F8F" w:rsidRDefault="009A4647">
      <w:pPr>
        <w:pStyle w:val="Body"/>
        <w:widowControl w:val="0"/>
        <w:spacing w:after="120" w:line="240" w:lineRule="auto"/>
        <w:rPr>
          <w:lang w:val="en-US"/>
        </w:rPr>
      </w:pPr>
    </w:p>
    <w:sectPr w:rsidR="009A4647" w:rsidRPr="00325F8F">
      <w:headerReference w:type="default" r:id="rId11"/>
      <w:footerReference w:type="default" r:id="rId12"/>
      <w:headerReference w:type="first" r:id="rId13"/>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710E5" w14:textId="77777777" w:rsidR="004B25B3" w:rsidRDefault="004B25B3">
      <w:r>
        <w:separator/>
      </w:r>
    </w:p>
  </w:endnote>
  <w:endnote w:type="continuationSeparator" w:id="0">
    <w:p w14:paraId="4D40BC94" w14:textId="77777777" w:rsidR="004B25B3" w:rsidRDefault="004B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Synchro LET"/>
    <w:charset w:val="00"/>
    <w:family w:val="roman"/>
    <w:pitch w:val="variable"/>
    <w:sig w:usb0="00000003" w:usb1="00000000" w:usb2="00000000" w:usb3="00000000" w:csb0="00000001" w:csb1="00000000"/>
  </w:font>
  <w:font w:name="Helvetica Neue">
    <w:altName w:val="Malgun Gothic"/>
    <w:charset w:val="00"/>
    <w:family w:val="auto"/>
    <w:pitch w:val="variable"/>
    <w:sig w:usb0="00000003" w:usb1="5000205B" w:usb2="00000002"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83DB6" w14:textId="77777777" w:rsidR="009A4647" w:rsidRDefault="00D80A4D">
    <w:pPr>
      <w:pStyle w:val="Footer"/>
      <w:jc w:val="center"/>
    </w:pPr>
    <w:r>
      <w:fldChar w:fldCharType="begin"/>
    </w:r>
    <w:r>
      <w:instrText xml:space="preserve"> PAGE </w:instrText>
    </w:r>
    <w:r>
      <w:fldChar w:fldCharType="separate"/>
    </w:r>
    <w:r w:rsidR="000B4962">
      <w:rPr>
        <w:noProof/>
      </w:rPr>
      <w:t>2</w:t>
    </w:r>
    <w:r>
      <w:fldChar w:fldCharType="end"/>
    </w:r>
  </w:p>
  <w:p w14:paraId="56846DD2" w14:textId="77777777" w:rsidR="009A4647" w:rsidRDefault="00D80A4D">
    <w:pPr>
      <w:pStyle w:val="Footer"/>
      <w:spacing w:after="120"/>
    </w:pPr>
    <w:r>
      <w:rPr>
        <w:rFonts w:ascii="Arial" w:hAnsi="Arial"/>
        <w:sz w:val="18"/>
        <w:szCs w:val="18"/>
      </w:rPr>
      <w:t>Module Specification Template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7594C" w14:textId="77777777" w:rsidR="004B25B3" w:rsidRDefault="004B25B3">
      <w:r>
        <w:separator/>
      </w:r>
    </w:p>
  </w:footnote>
  <w:footnote w:type="continuationSeparator" w:id="0">
    <w:p w14:paraId="334992A0" w14:textId="77777777" w:rsidR="004B25B3" w:rsidRDefault="004B2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53806" w14:textId="77777777" w:rsidR="009A4647" w:rsidRDefault="00D80A4D">
    <w:pPr>
      <w:pStyle w:val="Body"/>
      <w:jc w:val="center"/>
      <w:rPr>
        <w:rFonts w:ascii="Arial" w:eastAsia="Arial" w:hAnsi="Arial" w:cs="Arial"/>
        <w:b/>
        <w:bCs/>
        <w:sz w:val="28"/>
        <w:szCs w:val="28"/>
      </w:rPr>
    </w:pPr>
    <w:r>
      <w:rPr>
        <w:rFonts w:ascii="Arial" w:eastAsia="Arial" w:hAnsi="Arial" w:cs="Arial"/>
        <w:noProof/>
        <w:lang w:val="en-GB" w:eastAsia="en-GB"/>
      </w:rPr>
      <w:drawing>
        <wp:anchor distT="152400" distB="152400" distL="152400" distR="152400" simplePos="0" relativeHeight="251657216" behindDoc="1" locked="0" layoutInCell="1" allowOverlap="1" wp14:anchorId="3EEE1AAC" wp14:editId="4F82030A">
          <wp:simplePos x="0" y="0"/>
          <wp:positionH relativeFrom="page">
            <wp:posOffset>5915025</wp:posOffset>
          </wp:positionH>
          <wp:positionV relativeFrom="page">
            <wp:posOffset>293370</wp:posOffset>
          </wp:positionV>
          <wp:extent cx="1170940" cy="5905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p w14:paraId="0F13480D" w14:textId="77777777" w:rsidR="009A4647" w:rsidRDefault="009A4647">
    <w:pPr>
      <w:pStyle w:val="Heading"/>
      <w:spacing w:before="60"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D3872" w14:textId="487C0998" w:rsidR="009A4647" w:rsidRDefault="00D80A4D">
    <w:pPr>
      <w:pStyle w:val="Body"/>
      <w:jc w:val="center"/>
      <w:rPr>
        <w:rFonts w:ascii="Arial" w:eastAsia="Arial" w:hAnsi="Arial" w:cs="Arial"/>
        <w:b/>
        <w:bCs/>
        <w:sz w:val="28"/>
        <w:szCs w:val="28"/>
      </w:rPr>
    </w:pPr>
    <w:r>
      <w:rPr>
        <w:noProof/>
        <w:lang w:val="en-GB" w:eastAsia="en-GB"/>
      </w:rPr>
      <w:drawing>
        <wp:anchor distT="152400" distB="152400" distL="152400" distR="152400" simplePos="0" relativeHeight="251658240" behindDoc="1" locked="0" layoutInCell="1" allowOverlap="1" wp14:anchorId="49BB6635" wp14:editId="354CD559">
          <wp:simplePos x="0" y="0"/>
          <wp:positionH relativeFrom="page">
            <wp:posOffset>5915025</wp:posOffset>
          </wp:positionH>
          <wp:positionV relativeFrom="page">
            <wp:posOffset>293370</wp:posOffset>
          </wp:positionV>
          <wp:extent cx="1170940" cy="59055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blip>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C0F"/>
    <w:multiLevelType w:val="hybridMultilevel"/>
    <w:tmpl w:val="A30C81CE"/>
    <w:numStyleLink w:val="Bullets"/>
  </w:abstractNum>
  <w:abstractNum w:abstractNumId="1" w15:restartNumberingAfterBreak="0">
    <w:nsid w:val="057C13DA"/>
    <w:multiLevelType w:val="hybridMultilevel"/>
    <w:tmpl w:val="3E2ED67C"/>
    <w:numStyleLink w:val="ImportedStyle4"/>
  </w:abstractNum>
  <w:abstractNum w:abstractNumId="2" w15:restartNumberingAfterBreak="0">
    <w:nsid w:val="0C152D62"/>
    <w:multiLevelType w:val="hybridMultilevel"/>
    <w:tmpl w:val="A30C81CE"/>
    <w:styleLink w:val="Bullets"/>
    <w:lvl w:ilvl="0" w:tplc="3E745204">
      <w:start w:val="1"/>
      <w:numFmt w:val="bullet"/>
      <w:lvlText w:val="-"/>
      <w:lvlJc w:val="left"/>
      <w:pPr>
        <w:tabs>
          <w:tab w:val="left" w:pos="720"/>
        </w:tabs>
        <w:ind w:left="53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B05CB6">
      <w:start w:val="1"/>
      <w:numFmt w:val="bullet"/>
      <w:lvlText w:val="-"/>
      <w:lvlJc w:val="left"/>
      <w:pPr>
        <w:tabs>
          <w:tab w:val="left" w:pos="720"/>
        </w:tabs>
        <w:ind w:left="113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08288">
      <w:start w:val="1"/>
      <w:numFmt w:val="bullet"/>
      <w:lvlText w:val="-"/>
      <w:lvlJc w:val="left"/>
      <w:pPr>
        <w:tabs>
          <w:tab w:val="left" w:pos="720"/>
        </w:tabs>
        <w:ind w:left="173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CE0374">
      <w:start w:val="1"/>
      <w:numFmt w:val="bullet"/>
      <w:lvlText w:val="-"/>
      <w:lvlJc w:val="left"/>
      <w:pPr>
        <w:tabs>
          <w:tab w:val="left" w:pos="720"/>
        </w:tabs>
        <w:ind w:left="233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004736">
      <w:start w:val="1"/>
      <w:numFmt w:val="bullet"/>
      <w:lvlText w:val="-"/>
      <w:lvlJc w:val="left"/>
      <w:pPr>
        <w:tabs>
          <w:tab w:val="left" w:pos="720"/>
        </w:tabs>
        <w:ind w:left="293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863A50">
      <w:start w:val="1"/>
      <w:numFmt w:val="bullet"/>
      <w:lvlText w:val="-"/>
      <w:lvlJc w:val="left"/>
      <w:pPr>
        <w:tabs>
          <w:tab w:val="left" w:pos="720"/>
        </w:tabs>
        <w:ind w:left="353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048D1E">
      <w:start w:val="1"/>
      <w:numFmt w:val="bullet"/>
      <w:lvlText w:val="-"/>
      <w:lvlJc w:val="left"/>
      <w:pPr>
        <w:tabs>
          <w:tab w:val="left" w:pos="720"/>
        </w:tabs>
        <w:ind w:left="413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525C7C">
      <w:start w:val="1"/>
      <w:numFmt w:val="bullet"/>
      <w:lvlText w:val="-"/>
      <w:lvlJc w:val="left"/>
      <w:pPr>
        <w:tabs>
          <w:tab w:val="left" w:pos="720"/>
        </w:tabs>
        <w:ind w:left="473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B21BCC">
      <w:start w:val="1"/>
      <w:numFmt w:val="bullet"/>
      <w:lvlText w:val="-"/>
      <w:lvlJc w:val="left"/>
      <w:pPr>
        <w:tabs>
          <w:tab w:val="left" w:pos="720"/>
        </w:tabs>
        <w:ind w:left="533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CF56CC"/>
    <w:multiLevelType w:val="hybridMultilevel"/>
    <w:tmpl w:val="1E8C634C"/>
    <w:lvl w:ilvl="0" w:tplc="C5F02E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2EE7C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820822">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CA92C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6036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74BA22">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985DF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C21CD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669C5A">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EB238F"/>
    <w:multiLevelType w:val="hybridMultilevel"/>
    <w:tmpl w:val="A5FC231E"/>
    <w:styleLink w:val="ImportedStyle5"/>
    <w:lvl w:ilvl="0" w:tplc="A008E4E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E6602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3EAA5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D6A780">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AA576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160320">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2883DC">
      <w:start w:val="1"/>
      <w:numFmt w:val="bullet"/>
      <w:lvlText w:val="·"/>
      <w:lvlJc w:val="left"/>
      <w:pPr>
        <w:ind w:left="68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7A3086">
      <w:start w:val="1"/>
      <w:numFmt w:val="bullet"/>
      <w:lvlText w:val="·"/>
      <w:lvlJc w:val="left"/>
      <w:pPr>
        <w:ind w:left="79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1A2E6E">
      <w:start w:val="1"/>
      <w:numFmt w:val="bullet"/>
      <w:lvlText w:val="·"/>
      <w:lvlJc w:val="left"/>
      <w:pPr>
        <w:ind w:left="90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A74973"/>
    <w:multiLevelType w:val="hybridMultilevel"/>
    <w:tmpl w:val="1576AB62"/>
    <w:lvl w:ilvl="0" w:tplc="3DE296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04AE4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E23068">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569B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6561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D6666E">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54E5D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FEA57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14BAF6">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69B5B05"/>
    <w:multiLevelType w:val="hybridMultilevel"/>
    <w:tmpl w:val="33907A18"/>
    <w:lvl w:ilvl="0" w:tplc="6E9E2E48">
      <w:start w:val="1"/>
      <w:numFmt w:val="decimal"/>
      <w:lvlText w:val="%1."/>
      <w:lvlJc w:val="left"/>
      <w:pPr>
        <w:ind w:left="39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4322A">
      <w:start w:val="1"/>
      <w:numFmt w:val="lowerLetter"/>
      <w:lvlText w:val="%2."/>
      <w:lvlJc w:val="left"/>
      <w:pPr>
        <w:ind w:left="111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181AD0">
      <w:start w:val="1"/>
      <w:numFmt w:val="lowerRoman"/>
      <w:lvlText w:val="%3."/>
      <w:lvlJc w:val="left"/>
      <w:pPr>
        <w:ind w:left="1830" w:hanging="3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BA531A">
      <w:start w:val="1"/>
      <w:numFmt w:val="decimal"/>
      <w:lvlText w:val="%4."/>
      <w:lvlJc w:val="left"/>
      <w:pPr>
        <w:ind w:left="25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3629FE">
      <w:start w:val="1"/>
      <w:numFmt w:val="lowerLetter"/>
      <w:lvlText w:val="%5."/>
      <w:lvlJc w:val="left"/>
      <w:pPr>
        <w:ind w:left="327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84728">
      <w:start w:val="1"/>
      <w:numFmt w:val="lowerRoman"/>
      <w:lvlText w:val="%6."/>
      <w:lvlJc w:val="left"/>
      <w:pPr>
        <w:ind w:left="3990" w:hanging="3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DA2624">
      <w:start w:val="1"/>
      <w:numFmt w:val="decimal"/>
      <w:lvlText w:val="%7."/>
      <w:lvlJc w:val="left"/>
      <w:pPr>
        <w:ind w:left="471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E2BCF8">
      <w:start w:val="1"/>
      <w:numFmt w:val="lowerLetter"/>
      <w:lvlText w:val="%8."/>
      <w:lvlJc w:val="left"/>
      <w:pPr>
        <w:ind w:left="543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38FE38">
      <w:start w:val="1"/>
      <w:numFmt w:val="lowerRoman"/>
      <w:lvlText w:val="%9."/>
      <w:lvlJc w:val="left"/>
      <w:pPr>
        <w:ind w:left="6150" w:hanging="3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AAF637B"/>
    <w:multiLevelType w:val="hybridMultilevel"/>
    <w:tmpl w:val="4800BA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A42D02"/>
    <w:multiLevelType w:val="hybridMultilevel"/>
    <w:tmpl w:val="AB5ED272"/>
    <w:lvl w:ilvl="0" w:tplc="E356E2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921D0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42E4CA">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AC6F0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5E0C8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7883D0">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D63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20D9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E056F6">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6B058F8"/>
    <w:multiLevelType w:val="hybridMultilevel"/>
    <w:tmpl w:val="2B408326"/>
    <w:numStyleLink w:val="ImportedStyle2"/>
  </w:abstractNum>
  <w:abstractNum w:abstractNumId="10" w15:restartNumberingAfterBreak="0">
    <w:nsid w:val="2B1C0497"/>
    <w:multiLevelType w:val="hybridMultilevel"/>
    <w:tmpl w:val="A3E2C3DA"/>
    <w:lvl w:ilvl="0" w:tplc="128E57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10D9B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28376">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E8533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8E542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564796">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D26B9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EF1F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6E36A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DC04F9B"/>
    <w:multiLevelType w:val="hybridMultilevel"/>
    <w:tmpl w:val="47286016"/>
    <w:styleLink w:val="ImportedStyle3"/>
    <w:lvl w:ilvl="0" w:tplc="BEBCDCAA">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DEE786">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263690">
      <w:start w:val="1"/>
      <w:numFmt w:val="lowerRoman"/>
      <w:lvlText w:val="%3."/>
      <w:lvlJc w:val="left"/>
      <w:pPr>
        <w:ind w:left="186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BCEC74">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A49D7E">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E63EE0">
      <w:start w:val="1"/>
      <w:numFmt w:val="lowerRoman"/>
      <w:lvlText w:val="%6."/>
      <w:lvlJc w:val="left"/>
      <w:pPr>
        <w:ind w:left="402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5A38F2">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7E79CA">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561B3A">
      <w:start w:val="1"/>
      <w:numFmt w:val="lowerRoman"/>
      <w:lvlText w:val="%9."/>
      <w:lvlJc w:val="left"/>
      <w:pPr>
        <w:ind w:left="618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1BF1660"/>
    <w:multiLevelType w:val="hybridMultilevel"/>
    <w:tmpl w:val="3E2ED67C"/>
    <w:styleLink w:val="ImportedStyle4"/>
    <w:lvl w:ilvl="0" w:tplc="D586F3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1C613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30B59E">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D0E68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C1D7C">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CC8326">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545D8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472CC">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24E214">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3FA2D2D"/>
    <w:multiLevelType w:val="hybridMultilevel"/>
    <w:tmpl w:val="B6F677BA"/>
    <w:lvl w:ilvl="0" w:tplc="8968E42A">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F4779E">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BA74C6">
      <w:start w:val="1"/>
      <w:numFmt w:val="lowerRoman"/>
      <w:lvlText w:val="%3."/>
      <w:lvlJc w:val="left"/>
      <w:pPr>
        <w:ind w:left="179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EA53DA">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5852B0">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B2B18A">
      <w:start w:val="1"/>
      <w:numFmt w:val="lowerRoman"/>
      <w:lvlText w:val="%6."/>
      <w:lvlJc w:val="left"/>
      <w:pPr>
        <w:ind w:left="3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3CE39A">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82692E">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1636EE">
      <w:start w:val="1"/>
      <w:numFmt w:val="lowerRoman"/>
      <w:lvlText w:val="%9."/>
      <w:lvlJc w:val="left"/>
      <w:pPr>
        <w:ind w:left="611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4667C58"/>
    <w:multiLevelType w:val="hybridMultilevel"/>
    <w:tmpl w:val="12A0DFCA"/>
    <w:lvl w:ilvl="0" w:tplc="F7900FC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4A85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200AFA">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F0F0E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A27F4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A801EA">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1AD2E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BECB5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54CE7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AD955FA"/>
    <w:multiLevelType w:val="hybridMultilevel"/>
    <w:tmpl w:val="36303DA6"/>
    <w:lvl w:ilvl="0" w:tplc="8E2EE02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A03CE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DA9AA2">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C2C43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DA65A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25128">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4A44D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EEF19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DA2FF0">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45C0463"/>
    <w:multiLevelType w:val="hybridMultilevel"/>
    <w:tmpl w:val="03484FD4"/>
    <w:lvl w:ilvl="0" w:tplc="E762451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4E2A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40AEF0">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04BB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CF17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C2AB3C">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5C211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E4460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5A7C84">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7F06922"/>
    <w:multiLevelType w:val="hybridMultilevel"/>
    <w:tmpl w:val="2B408326"/>
    <w:styleLink w:val="ImportedStyle2"/>
    <w:lvl w:ilvl="0" w:tplc="BE381BE6">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0284EA">
      <w:start w:val="1"/>
      <w:numFmt w:val="decimal"/>
      <w:lvlText w:val="%2."/>
      <w:lvlJc w:val="left"/>
      <w:pPr>
        <w:ind w:left="1146" w:hanging="3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E2C92">
      <w:start w:val="1"/>
      <w:numFmt w:val="lowerRoman"/>
      <w:lvlText w:val="%3."/>
      <w:lvlJc w:val="left"/>
      <w:pPr>
        <w:ind w:left="186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46643A">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9C14DC">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BA3944">
      <w:start w:val="1"/>
      <w:numFmt w:val="lowerRoman"/>
      <w:lvlText w:val="%6."/>
      <w:lvlJc w:val="left"/>
      <w:pPr>
        <w:ind w:left="402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4ED270">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3AE1F0">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3271E6">
      <w:start w:val="1"/>
      <w:numFmt w:val="lowerRoman"/>
      <w:lvlText w:val="%9."/>
      <w:lvlJc w:val="left"/>
      <w:pPr>
        <w:ind w:left="618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9A30A79"/>
    <w:multiLevelType w:val="hybridMultilevel"/>
    <w:tmpl w:val="FAFE98AA"/>
    <w:lvl w:ilvl="0" w:tplc="27CC2B4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CA929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9EA80C">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14EDE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2E5A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705FB8">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D8A15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298C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A2D00A">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13C02E2"/>
    <w:multiLevelType w:val="hybridMultilevel"/>
    <w:tmpl w:val="ABBE01F8"/>
    <w:lvl w:ilvl="0" w:tplc="E766D75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ACBD5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8AA312">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C3A8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BC2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7E8852">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F0810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56330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E6C6">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6307AC7"/>
    <w:multiLevelType w:val="hybridMultilevel"/>
    <w:tmpl w:val="F968BF74"/>
    <w:lvl w:ilvl="0" w:tplc="3B06CAD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7E661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B25B6E">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67B5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F0212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28AA80">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1EF9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00266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54159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671415B"/>
    <w:multiLevelType w:val="hybridMultilevel"/>
    <w:tmpl w:val="A5FC231E"/>
    <w:numStyleLink w:val="ImportedStyle5"/>
  </w:abstractNum>
  <w:abstractNum w:abstractNumId="22" w15:restartNumberingAfterBreak="0">
    <w:nsid w:val="66E06BB4"/>
    <w:multiLevelType w:val="hybridMultilevel"/>
    <w:tmpl w:val="2892D52A"/>
    <w:lvl w:ilvl="0" w:tplc="23EA1B4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F28BD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58E2FA">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74753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7A120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98A59A">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20E55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60DED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B2B2BC">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A034028"/>
    <w:multiLevelType w:val="hybridMultilevel"/>
    <w:tmpl w:val="E628381A"/>
    <w:lvl w:ilvl="0" w:tplc="C21671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68C4B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8E30AA">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1A43A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D4FF5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DE2800">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946E1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6954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EC6490">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E3F459E"/>
    <w:multiLevelType w:val="multilevel"/>
    <w:tmpl w:val="AEFED7B4"/>
    <w:lvl w:ilvl="0">
      <w:start w:val="9"/>
      <w:numFmt w:val="decimal"/>
      <w:lvlText w:val="%1."/>
      <w:lvlJc w:val="left"/>
      <w:pPr>
        <w:ind w:left="426" w:hanging="426"/>
      </w:pPr>
      <w:rPr>
        <w:rFonts w:ascii="Arial" w:hAnsi="Arial" w:cs="Aria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46" w:hanging="426"/>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66" w:hanging="368"/>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86" w:hanging="426"/>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306" w:hanging="426"/>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026" w:hanging="368"/>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746" w:hanging="426"/>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66" w:hanging="426"/>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86" w:hanging="368"/>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22"/>
  </w:num>
  <w:num w:numId="3">
    <w:abstractNumId w:val="22"/>
    <w:lvlOverride w:ilvl="0">
      <w:startOverride w:val="2"/>
    </w:lvlOverride>
  </w:num>
  <w:num w:numId="4">
    <w:abstractNumId w:val="8"/>
  </w:num>
  <w:num w:numId="5">
    <w:abstractNumId w:val="8"/>
    <w:lvlOverride w:ilvl="0">
      <w:startOverride w:val="3"/>
    </w:lvlOverride>
  </w:num>
  <w:num w:numId="6">
    <w:abstractNumId w:val="15"/>
  </w:num>
  <w:num w:numId="7">
    <w:abstractNumId w:val="15"/>
    <w:lvlOverride w:ilvl="0">
      <w:startOverride w:val="4"/>
    </w:lvlOverride>
  </w:num>
  <w:num w:numId="8">
    <w:abstractNumId w:val="13"/>
  </w:num>
  <w:num w:numId="9">
    <w:abstractNumId w:val="13"/>
    <w:lvlOverride w:ilvl="0">
      <w:startOverride w:val="5"/>
    </w:lvlOverride>
  </w:num>
  <w:num w:numId="10">
    <w:abstractNumId w:val="23"/>
  </w:num>
  <w:num w:numId="11">
    <w:abstractNumId w:val="23"/>
    <w:lvlOverride w:ilvl="0">
      <w:startOverride w:val="6"/>
    </w:lvlOverride>
  </w:num>
  <w:num w:numId="12">
    <w:abstractNumId w:val="14"/>
  </w:num>
  <w:num w:numId="13">
    <w:abstractNumId w:val="14"/>
    <w:lvlOverride w:ilvl="0">
      <w:startOverride w:val="7"/>
    </w:lvlOverride>
  </w:num>
  <w:num w:numId="14">
    <w:abstractNumId w:val="6"/>
  </w:num>
  <w:num w:numId="15">
    <w:abstractNumId w:val="6"/>
    <w:lvlOverride w:ilvl="0">
      <w:startOverride w:val="8"/>
    </w:lvlOverride>
  </w:num>
  <w:num w:numId="16">
    <w:abstractNumId w:val="10"/>
  </w:num>
  <w:num w:numId="17">
    <w:abstractNumId w:val="10"/>
    <w:lvlOverride w:ilvl="0">
      <w:startOverride w:val="9"/>
    </w:lvlOverride>
  </w:num>
  <w:num w:numId="18">
    <w:abstractNumId w:val="5"/>
  </w:num>
  <w:num w:numId="19">
    <w:abstractNumId w:val="5"/>
    <w:lvlOverride w:ilvl="0">
      <w:startOverride w:val="10"/>
    </w:lvlOverride>
  </w:num>
  <w:num w:numId="20">
    <w:abstractNumId w:val="3"/>
  </w:num>
  <w:num w:numId="21">
    <w:abstractNumId w:val="3"/>
    <w:lvlOverride w:ilvl="0">
      <w:startOverride w:val="11"/>
    </w:lvlOverride>
  </w:num>
  <w:num w:numId="22">
    <w:abstractNumId w:val="20"/>
  </w:num>
  <w:num w:numId="23">
    <w:abstractNumId w:val="20"/>
    <w:lvlOverride w:ilvl="0">
      <w:startOverride w:val="12"/>
    </w:lvlOverride>
  </w:num>
  <w:num w:numId="24">
    <w:abstractNumId w:val="18"/>
  </w:num>
  <w:num w:numId="25">
    <w:abstractNumId w:val="18"/>
    <w:lvlOverride w:ilvl="0">
      <w:startOverride w:val="13"/>
    </w:lvlOverride>
  </w:num>
  <w:num w:numId="26">
    <w:abstractNumId w:val="16"/>
  </w:num>
  <w:num w:numId="27">
    <w:abstractNumId w:val="16"/>
    <w:lvlOverride w:ilvl="0">
      <w:startOverride w:val="14"/>
    </w:lvlOverride>
  </w:num>
  <w:num w:numId="28">
    <w:abstractNumId w:val="17"/>
  </w:num>
  <w:num w:numId="29">
    <w:abstractNumId w:val="9"/>
  </w:num>
  <w:num w:numId="30">
    <w:abstractNumId w:val="2"/>
  </w:num>
  <w:num w:numId="31">
    <w:abstractNumId w:val="0"/>
  </w:num>
  <w:num w:numId="32">
    <w:abstractNumId w:val="11"/>
  </w:num>
  <w:num w:numId="33">
    <w:abstractNumId w:val="24"/>
  </w:num>
  <w:num w:numId="34">
    <w:abstractNumId w:val="12"/>
  </w:num>
  <w:num w:numId="35">
    <w:abstractNumId w:val="1"/>
  </w:num>
  <w:num w:numId="36">
    <w:abstractNumId w:val="24"/>
    <w:lvlOverride w:ilvl="0">
      <w:startOverride w:val="2"/>
    </w:lvlOverride>
  </w:num>
  <w:num w:numId="37">
    <w:abstractNumId w:val="4"/>
  </w:num>
  <w:num w:numId="38">
    <w:abstractNumId w:val="21"/>
  </w:num>
  <w:num w:numId="39">
    <w:abstractNumId w:val="24"/>
    <w:lvlOverride w:ilvl="0">
      <w:startOverride w:val="6"/>
    </w:lvlOverride>
  </w:num>
  <w:num w:numId="40">
    <w:abstractNumId w:val="24"/>
    <w:lvlOverride w:ilvl="0">
      <w:lvl w:ilvl="0">
        <w:start w:val="1"/>
        <w:numFmt w:val="decimal"/>
        <w:lvlText w:val="%1."/>
        <w:lvlJc w:val="left"/>
        <w:pPr>
          <w:tabs>
            <w:tab w:val="num" w:pos="426"/>
          </w:tabs>
          <w:ind w:left="53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num" w:pos="1146"/>
          </w:tabs>
          <w:ind w:left="12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num" w:pos="1866"/>
          </w:tabs>
          <w:ind w:left="1974" w:hanging="4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2586"/>
          </w:tabs>
          <w:ind w:left="269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3306"/>
          </w:tabs>
          <w:ind w:left="341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4026"/>
          </w:tabs>
          <w:ind w:left="4134" w:hanging="4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num" w:pos="4746"/>
          </w:tabs>
          <w:ind w:left="48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num" w:pos="5466"/>
          </w:tabs>
          <w:ind w:left="557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num" w:pos="6186"/>
          </w:tabs>
          <w:ind w:left="6294" w:hanging="4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4"/>
    <w:lvlOverride w:ilvl="0">
      <w:startOverride w:val="7"/>
    </w:lvlOverride>
  </w:num>
  <w:num w:numId="42">
    <w:abstractNumId w:val="24"/>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145"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865" w:hanging="3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585"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305"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025" w:hanging="3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745"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465"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185" w:hanging="3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3">
    <w:abstractNumId w:val="0"/>
    <w:lvlOverride w:ilvl="0">
      <w:lvl w:ilvl="0" w:tplc="C038998A">
        <w:start w:val="1"/>
        <w:numFmt w:val="bullet"/>
        <w:lvlText w:val="-"/>
        <w:lvlJc w:val="left"/>
        <w:pPr>
          <w:ind w:left="600"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74B696">
        <w:start w:val="1"/>
        <w:numFmt w:val="bullet"/>
        <w:lvlText w:val="-"/>
        <w:lvlJc w:val="left"/>
        <w:pPr>
          <w:ind w:left="1200"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82FDEC">
        <w:start w:val="1"/>
        <w:numFmt w:val="bullet"/>
        <w:lvlText w:val="-"/>
        <w:lvlJc w:val="left"/>
        <w:pPr>
          <w:ind w:left="1800"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B87BC0">
        <w:start w:val="1"/>
        <w:numFmt w:val="bullet"/>
        <w:lvlText w:val="-"/>
        <w:lvlJc w:val="left"/>
        <w:pPr>
          <w:ind w:left="2400"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8A25F8">
        <w:start w:val="1"/>
        <w:numFmt w:val="bullet"/>
        <w:lvlText w:val="-"/>
        <w:lvlJc w:val="left"/>
        <w:pPr>
          <w:ind w:left="3000"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FEAEE2">
        <w:start w:val="1"/>
        <w:numFmt w:val="bullet"/>
        <w:lvlText w:val="-"/>
        <w:lvlJc w:val="left"/>
        <w:pPr>
          <w:ind w:left="3600"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D0F10A">
        <w:start w:val="1"/>
        <w:numFmt w:val="bullet"/>
        <w:lvlText w:val="-"/>
        <w:lvlJc w:val="left"/>
        <w:pPr>
          <w:ind w:left="4200"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B85C9E">
        <w:start w:val="1"/>
        <w:numFmt w:val="bullet"/>
        <w:lvlText w:val="-"/>
        <w:lvlJc w:val="left"/>
        <w:pPr>
          <w:ind w:left="4800"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04632E">
        <w:start w:val="1"/>
        <w:numFmt w:val="bullet"/>
        <w:lvlText w:val="-"/>
        <w:lvlJc w:val="left"/>
        <w:pPr>
          <w:ind w:left="5400"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47"/>
    <w:rsid w:val="000907D2"/>
    <w:rsid w:val="000B4962"/>
    <w:rsid w:val="000C6A8F"/>
    <w:rsid w:val="0014118A"/>
    <w:rsid w:val="001741B4"/>
    <w:rsid w:val="0019149E"/>
    <w:rsid w:val="001D61D0"/>
    <w:rsid w:val="001E6FBF"/>
    <w:rsid w:val="00286D5A"/>
    <w:rsid w:val="002F6A07"/>
    <w:rsid w:val="00325F8F"/>
    <w:rsid w:val="00333DDF"/>
    <w:rsid w:val="00347ED5"/>
    <w:rsid w:val="003529A3"/>
    <w:rsid w:val="003810CB"/>
    <w:rsid w:val="003B58EA"/>
    <w:rsid w:val="003E0990"/>
    <w:rsid w:val="004019F6"/>
    <w:rsid w:val="004120FD"/>
    <w:rsid w:val="0047734D"/>
    <w:rsid w:val="0049592B"/>
    <w:rsid w:val="004B25B3"/>
    <w:rsid w:val="004F3B62"/>
    <w:rsid w:val="004F3C6F"/>
    <w:rsid w:val="004F7206"/>
    <w:rsid w:val="00542D91"/>
    <w:rsid w:val="00552579"/>
    <w:rsid w:val="005F6639"/>
    <w:rsid w:val="0061704A"/>
    <w:rsid w:val="006266CD"/>
    <w:rsid w:val="0064773A"/>
    <w:rsid w:val="00676D8D"/>
    <w:rsid w:val="006E769D"/>
    <w:rsid w:val="006F7691"/>
    <w:rsid w:val="00735D42"/>
    <w:rsid w:val="00742BB4"/>
    <w:rsid w:val="007909A5"/>
    <w:rsid w:val="00875C84"/>
    <w:rsid w:val="008C5B66"/>
    <w:rsid w:val="008D1F7C"/>
    <w:rsid w:val="008F079A"/>
    <w:rsid w:val="00906F01"/>
    <w:rsid w:val="00907468"/>
    <w:rsid w:val="00964B1F"/>
    <w:rsid w:val="009A4647"/>
    <w:rsid w:val="00A03773"/>
    <w:rsid w:val="00A950A3"/>
    <w:rsid w:val="00AC2241"/>
    <w:rsid w:val="00BF4D8C"/>
    <w:rsid w:val="00C03759"/>
    <w:rsid w:val="00D04CDB"/>
    <w:rsid w:val="00D318D2"/>
    <w:rsid w:val="00D80A4D"/>
    <w:rsid w:val="00E24678"/>
    <w:rsid w:val="00E7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0A2F"/>
  <w15:docId w15:val="{3F702E31-DD73-461B-A15C-473D0F4F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customStyle="1" w:styleId="Heading">
    <w:name w:val="Heading"/>
    <w:next w:val="Body"/>
    <w:pPr>
      <w:keepNext/>
      <w:jc w:val="center"/>
      <w:outlineLvl w:val="0"/>
    </w:pPr>
    <w:rPr>
      <w:rFonts w:ascii="Plantin" w:eastAsia="Plantin" w:hAnsi="Plantin" w:cs="Plantin"/>
      <w:b/>
      <w:bCs/>
      <w:color w:val="000000"/>
      <w:sz w:val="24"/>
      <w:szCs w:val="24"/>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PlainText">
    <w:name w:val="Plain Text"/>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aps w:val="0"/>
      <w:smallCaps w:val="0"/>
      <w:strike w:val="0"/>
      <w:dstrike w:val="0"/>
      <w:color w:val="000000"/>
      <w:spacing w:val="0"/>
      <w:kern w:val="0"/>
      <w:position w:val="0"/>
      <w:sz w:val="20"/>
      <w:szCs w:val="20"/>
      <w:u w:val="single" w:color="000000"/>
      <w:vertAlign w:val="baseline"/>
      <w:lang w:val="en-US"/>
      <w14:textOutline w14:w="0" w14:cap="rnd" w14:cmpd="sng" w14:algn="ctr">
        <w14:noFill/>
        <w14:prstDash w14:val="solid"/>
        <w14:bevel/>
      </w14:textOutline>
    </w:rPr>
  </w:style>
  <w:style w:type="numbering" w:customStyle="1" w:styleId="ImportedStyle2">
    <w:name w:val="Imported Style 2"/>
    <w:pPr>
      <w:numPr>
        <w:numId w:val="28"/>
      </w:numPr>
    </w:pPr>
  </w:style>
  <w:style w:type="numbering" w:customStyle="1" w:styleId="Bullets">
    <w:name w:val="Bullets"/>
    <w:pPr>
      <w:numPr>
        <w:numId w:val="30"/>
      </w:numPr>
    </w:pPr>
  </w:style>
  <w:style w:type="numbering" w:customStyle="1" w:styleId="ImportedStyle3">
    <w:name w:val="Imported Style 3"/>
    <w:pPr>
      <w:numPr>
        <w:numId w:val="32"/>
      </w:numPr>
    </w:pPr>
  </w:style>
  <w:style w:type="numbering" w:customStyle="1" w:styleId="ImportedStyle4">
    <w:name w:val="Imported Style 4"/>
    <w:pPr>
      <w:numPr>
        <w:numId w:val="34"/>
      </w:numPr>
    </w:pPr>
  </w:style>
  <w:style w:type="numbering" w:customStyle="1" w:styleId="ImportedStyle5">
    <w:name w:val="Imported Style 5"/>
    <w:pPr>
      <w:numPr>
        <w:numId w:val="37"/>
      </w:numPr>
    </w:pPr>
  </w:style>
  <w:style w:type="paragraph" w:styleId="BalloonText">
    <w:name w:val="Balloon Text"/>
    <w:basedOn w:val="Normal"/>
    <w:link w:val="BalloonTextChar"/>
    <w:uiPriority w:val="99"/>
    <w:semiHidden/>
    <w:unhideWhenUsed/>
    <w:rsid w:val="00E246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78"/>
    <w:rPr>
      <w:rFonts w:ascii="Segoe UI" w:hAnsi="Segoe UI" w:cs="Segoe UI"/>
      <w:sz w:val="18"/>
      <w:szCs w:val="18"/>
    </w:rPr>
  </w:style>
  <w:style w:type="paragraph" w:styleId="BodyText">
    <w:name w:val="Body Text"/>
    <w:basedOn w:val="Normal"/>
    <w:link w:val="BodyTextChar"/>
    <w:semiHidden/>
    <w:rsid w:val="007909A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val="it-IT" w:eastAsia="en-GB"/>
    </w:rPr>
  </w:style>
  <w:style w:type="character" w:customStyle="1" w:styleId="BodyTextChar">
    <w:name w:val="Body Text Char"/>
    <w:basedOn w:val="DefaultParagraphFont"/>
    <w:link w:val="BodyText"/>
    <w:semiHidden/>
    <w:rsid w:val="007909A5"/>
    <w:rPr>
      <w:rFonts w:eastAsia="Times New Roman"/>
      <w:sz w:val="24"/>
      <w:bdr w:val="none" w:sz="0" w:space="0" w:color="auto"/>
      <w:lang w:val="it-IT" w:eastAsia="en-GB"/>
    </w:rPr>
  </w:style>
  <w:style w:type="paragraph" w:customStyle="1" w:styleId="Default">
    <w:name w:val="Default"/>
    <w:rsid w:val="004120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EastAsia" w:hAnsi="Arial" w:cs="Arial"/>
      <w:color w:val="000000"/>
      <w:sz w:val="24"/>
      <w:szCs w:val="24"/>
      <w:bdr w:val="none" w:sz="0" w:space="0" w:color="auto"/>
      <w:lang w:val="en-GB" w:eastAsia="en-GB"/>
    </w:rPr>
  </w:style>
  <w:style w:type="character" w:styleId="CommentReference">
    <w:name w:val="annotation reference"/>
    <w:basedOn w:val="DefaultParagraphFont"/>
    <w:uiPriority w:val="99"/>
    <w:semiHidden/>
    <w:unhideWhenUsed/>
    <w:rsid w:val="00D04CDB"/>
    <w:rPr>
      <w:sz w:val="16"/>
      <w:szCs w:val="16"/>
    </w:rPr>
  </w:style>
  <w:style w:type="paragraph" w:styleId="CommentText">
    <w:name w:val="annotation text"/>
    <w:basedOn w:val="Normal"/>
    <w:link w:val="CommentTextChar"/>
    <w:uiPriority w:val="99"/>
    <w:semiHidden/>
    <w:unhideWhenUsed/>
    <w:rsid w:val="00D04CDB"/>
    <w:rPr>
      <w:sz w:val="20"/>
      <w:szCs w:val="20"/>
    </w:rPr>
  </w:style>
  <w:style w:type="character" w:customStyle="1" w:styleId="CommentTextChar">
    <w:name w:val="Comment Text Char"/>
    <w:basedOn w:val="DefaultParagraphFont"/>
    <w:link w:val="CommentText"/>
    <w:uiPriority w:val="99"/>
    <w:semiHidden/>
    <w:rsid w:val="00D04CDB"/>
  </w:style>
  <w:style w:type="paragraph" w:styleId="CommentSubject">
    <w:name w:val="annotation subject"/>
    <w:basedOn w:val="CommentText"/>
    <w:next w:val="CommentText"/>
    <w:link w:val="CommentSubjectChar"/>
    <w:uiPriority w:val="99"/>
    <w:semiHidden/>
    <w:unhideWhenUsed/>
    <w:rsid w:val="00D04CDB"/>
    <w:rPr>
      <w:b/>
      <w:bCs/>
    </w:rPr>
  </w:style>
  <w:style w:type="character" w:customStyle="1" w:styleId="CommentSubjectChar">
    <w:name w:val="Comment Subject Char"/>
    <w:basedOn w:val="CommentTextChar"/>
    <w:link w:val="CommentSubject"/>
    <w:uiPriority w:val="99"/>
    <w:semiHidden/>
    <w:rsid w:val="00D04CDB"/>
    <w:rPr>
      <w:b/>
      <w:bCs/>
    </w:rPr>
  </w:style>
  <w:style w:type="paragraph" w:styleId="Header">
    <w:name w:val="header"/>
    <w:basedOn w:val="Normal"/>
    <w:link w:val="HeaderChar"/>
    <w:uiPriority w:val="99"/>
    <w:unhideWhenUsed/>
    <w:rsid w:val="001E6FBF"/>
    <w:pPr>
      <w:tabs>
        <w:tab w:val="center" w:pos="4513"/>
        <w:tab w:val="right" w:pos="9026"/>
      </w:tabs>
    </w:pPr>
  </w:style>
  <w:style w:type="character" w:customStyle="1" w:styleId="HeaderChar">
    <w:name w:val="Header Char"/>
    <w:basedOn w:val="DefaultParagraphFont"/>
    <w:link w:val="Header"/>
    <w:uiPriority w:val="99"/>
    <w:rsid w:val="001E6F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A7171-D069-43C9-B9E3-FDEBF5F9B1DE}">
  <ds:schemaRefs>
    <ds:schemaRef ds:uri="http://schemas.microsoft.com/office/2006/documentManagement/types"/>
    <ds:schemaRef ds:uri="ef2b9e05-657a-4dc1-8c6c-679bdea18f38"/>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1128D26-D246-4C1B-9694-90E6A10AB749}">
  <ds:schemaRefs>
    <ds:schemaRef ds:uri="http://schemas.microsoft.com/sharepoint/events"/>
  </ds:schemaRefs>
</ds:datastoreItem>
</file>

<file path=customXml/itemProps3.xml><?xml version="1.0" encoding="utf-8"?>
<ds:datastoreItem xmlns:ds="http://schemas.openxmlformats.org/officeDocument/2006/customXml" ds:itemID="{E66CF69A-D17B-48CB-B6DB-B7C42A94761A}"/>
</file>

<file path=customXml/itemProps4.xml><?xml version="1.0" encoding="utf-8"?>
<ds:datastoreItem xmlns:ds="http://schemas.openxmlformats.org/officeDocument/2006/customXml" ds:itemID="{EFD7457B-45D4-4BB8-A3B8-DE28EFCD4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Brown</dc:creator>
  <cp:lastModifiedBy>R.G.Rowe</cp:lastModifiedBy>
  <cp:revision>2</cp:revision>
  <cp:lastPrinted>2017-10-19T13:16:00Z</cp:lastPrinted>
  <dcterms:created xsi:type="dcterms:W3CDTF">2018-05-15T10:55:00Z</dcterms:created>
  <dcterms:modified xsi:type="dcterms:W3CDTF">2018-05-15T10:55:00Z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eddf567d-0445-4ad5-95eb-d0e1ac5acbc9</vt:lpwstr>
  </property>
  <property fmtid="{D5CDD505-2E9C-101B-9397-08002B2CF9AE}" pid="3" name="ContentTypeId">
    <vt:lpwstr>0x01010042FF863D45A9CB4BA9540D2BC5DB9BE0</vt:lpwstr>
  </property>
</Properties>
</file>