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8A1E" w14:textId="77777777" w:rsidR="00683609" w:rsidRPr="00302082" w:rsidRDefault="00683609" w:rsidP="00683609">
      <w:pPr>
        <w:spacing w:after="0" w:line="240" w:lineRule="auto"/>
        <w:rPr>
          <w:rFonts w:ascii="Arial" w:hAnsi="Arial" w:cs="Arial"/>
        </w:rPr>
      </w:pPr>
    </w:p>
    <w:p w14:paraId="76115ED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3712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DC9517" w14:textId="77777777" w:rsidR="009A2D37" w:rsidRDefault="009D6E7E" w:rsidP="00696FF5">
      <w:pPr>
        <w:spacing w:after="120" w:line="240" w:lineRule="auto"/>
        <w:ind w:left="567" w:right="260"/>
        <w:jc w:val="both"/>
        <w:rPr>
          <w:rFonts w:ascii="Arial" w:hAnsi="Arial" w:cs="Arial"/>
          <w:iCs/>
        </w:rPr>
      </w:pPr>
      <w:bookmarkStart w:id="0" w:name="_GoBack"/>
      <w:bookmarkEnd w:id="0"/>
      <w:r w:rsidRPr="009D6E7E">
        <w:rPr>
          <w:rFonts w:ascii="Arial" w:hAnsi="Arial" w:cs="Arial"/>
        </w:rPr>
        <w:t xml:space="preserve">HIST8320 </w:t>
      </w:r>
      <w:r w:rsidR="00C57028" w:rsidRPr="009D6E7E">
        <w:rPr>
          <w:rFonts w:ascii="Arial" w:hAnsi="Arial" w:cs="Arial"/>
          <w:iCs/>
        </w:rPr>
        <w:t>(</w:t>
      </w:r>
      <w:r w:rsidR="00A95E03" w:rsidRPr="009D6E7E">
        <w:rPr>
          <w:rFonts w:ascii="Arial" w:hAnsi="Arial" w:cs="Arial"/>
          <w:iCs/>
        </w:rPr>
        <w:t>HI832</w:t>
      </w:r>
      <w:r w:rsidR="00C57028" w:rsidRPr="009D6E7E">
        <w:rPr>
          <w:rFonts w:ascii="Arial" w:hAnsi="Arial" w:cs="Arial"/>
          <w:iCs/>
        </w:rPr>
        <w:t>) -</w:t>
      </w:r>
      <w:r w:rsidR="009A2D37" w:rsidRPr="009D6E7E">
        <w:rPr>
          <w:rFonts w:ascii="Arial" w:hAnsi="Arial" w:cs="Arial"/>
          <w:iCs/>
        </w:rPr>
        <w:t xml:space="preserve"> </w:t>
      </w:r>
      <w:r w:rsidR="00A95E03" w:rsidRPr="009D6E7E">
        <w:rPr>
          <w:rFonts w:ascii="Arial" w:hAnsi="Arial" w:cs="Arial"/>
          <w:iCs/>
        </w:rPr>
        <w:t>Their Name Liveth For Evermore: the Imperial War Graves Commission and the imperial war dead, 1917-1939</w:t>
      </w:r>
    </w:p>
    <w:p w14:paraId="07507D9C" w14:textId="77777777" w:rsidR="009D6E7E" w:rsidRPr="009D6E7E" w:rsidRDefault="009D6E7E" w:rsidP="00696FF5">
      <w:pPr>
        <w:spacing w:after="120" w:line="240" w:lineRule="auto"/>
        <w:ind w:left="567" w:right="260"/>
        <w:jc w:val="both"/>
        <w:rPr>
          <w:rFonts w:ascii="Arial" w:hAnsi="Arial" w:cs="Arial"/>
          <w:iCs/>
        </w:rPr>
      </w:pPr>
      <w:r>
        <w:rPr>
          <w:rFonts w:ascii="Arial" w:hAnsi="Arial" w:cs="Arial"/>
          <w:iCs/>
        </w:rPr>
        <w:t>(</w:t>
      </w:r>
      <w:r w:rsidRPr="009D6E7E">
        <w:rPr>
          <w:rFonts w:ascii="Arial" w:hAnsi="Arial" w:cs="Arial"/>
          <w:iCs/>
        </w:rPr>
        <w:t>SDS truncated title: HI832 The Imperial War Graves Commission, 1917-1939</w:t>
      </w:r>
      <w:r>
        <w:rPr>
          <w:rFonts w:ascii="Arial" w:hAnsi="Arial" w:cs="Arial"/>
          <w:iCs/>
        </w:rPr>
        <w:t>)</w:t>
      </w:r>
    </w:p>
    <w:p w14:paraId="35EF6CAA" w14:textId="77777777" w:rsidR="009A2D37" w:rsidRPr="00302082" w:rsidRDefault="009A2D37" w:rsidP="00302082">
      <w:pPr>
        <w:spacing w:after="120" w:line="240" w:lineRule="auto"/>
        <w:ind w:left="426" w:right="260"/>
        <w:jc w:val="both"/>
        <w:rPr>
          <w:rFonts w:ascii="Arial" w:hAnsi="Arial" w:cs="Arial"/>
        </w:rPr>
      </w:pPr>
    </w:p>
    <w:p w14:paraId="3D2888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19DDC3" w14:textId="77777777" w:rsidR="009A2D37" w:rsidRPr="009D6E7E" w:rsidRDefault="009D6E7E" w:rsidP="00696FF5">
      <w:pPr>
        <w:spacing w:after="120" w:line="240" w:lineRule="auto"/>
        <w:ind w:left="567" w:right="260"/>
        <w:rPr>
          <w:rFonts w:ascii="Arial" w:hAnsi="Arial" w:cs="Arial"/>
          <w:iCs/>
        </w:rPr>
      </w:pPr>
      <w:r>
        <w:rPr>
          <w:rFonts w:ascii="Arial" w:hAnsi="Arial" w:cs="Arial"/>
          <w:iCs/>
        </w:rPr>
        <w:t>School of History</w:t>
      </w:r>
    </w:p>
    <w:p w14:paraId="165D70BD" w14:textId="77777777" w:rsidR="009A2D37" w:rsidRPr="00302082" w:rsidRDefault="009A2D37" w:rsidP="00302082">
      <w:pPr>
        <w:spacing w:after="120" w:line="240" w:lineRule="auto"/>
        <w:ind w:left="426" w:right="260"/>
        <w:rPr>
          <w:rFonts w:ascii="Arial" w:hAnsi="Arial" w:cs="Arial"/>
          <w:i/>
          <w:iCs/>
        </w:rPr>
      </w:pPr>
    </w:p>
    <w:p w14:paraId="19BAAF8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ED39C5" w14:textId="77777777" w:rsidR="009A2D37" w:rsidRPr="009D6E7E" w:rsidRDefault="009D6E7E" w:rsidP="00696FF5">
      <w:pPr>
        <w:spacing w:after="120" w:line="240" w:lineRule="auto"/>
        <w:ind w:left="567" w:right="260"/>
        <w:jc w:val="both"/>
        <w:rPr>
          <w:rFonts w:ascii="Arial" w:hAnsi="Arial" w:cs="Arial"/>
        </w:rPr>
      </w:pPr>
      <w:r>
        <w:rPr>
          <w:rFonts w:ascii="Arial" w:hAnsi="Arial" w:cs="Arial"/>
        </w:rPr>
        <w:t>Level 7</w:t>
      </w:r>
    </w:p>
    <w:p w14:paraId="0CCDFEFB" w14:textId="77777777" w:rsidR="009A2D37" w:rsidRPr="00302082" w:rsidRDefault="009A2D37" w:rsidP="00302082">
      <w:pPr>
        <w:spacing w:after="120" w:line="240" w:lineRule="auto"/>
        <w:ind w:left="426" w:right="260"/>
        <w:rPr>
          <w:rFonts w:ascii="Arial" w:hAnsi="Arial" w:cs="Arial"/>
          <w:i/>
          <w:iCs/>
        </w:rPr>
      </w:pPr>
    </w:p>
    <w:p w14:paraId="55BB90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A10DCE" w14:textId="77777777" w:rsidR="009A2D37" w:rsidRPr="00D72E8D" w:rsidRDefault="00D72E8D" w:rsidP="00696FF5">
      <w:pPr>
        <w:pStyle w:val="NormalWeb"/>
        <w:spacing w:before="0" w:beforeAutospacing="0" w:after="120" w:afterAutospacing="0"/>
        <w:ind w:left="567" w:right="260"/>
        <w:rPr>
          <w:rFonts w:ascii="Arial" w:hAnsi="Arial" w:cs="Arial"/>
          <w:sz w:val="22"/>
          <w:szCs w:val="22"/>
        </w:rPr>
      </w:pPr>
      <w:r w:rsidRPr="00D72E8D">
        <w:rPr>
          <w:rFonts w:ascii="Arial" w:hAnsi="Arial" w:cs="Arial"/>
          <w:sz w:val="22"/>
          <w:szCs w:val="22"/>
        </w:rPr>
        <w:t>30</w:t>
      </w:r>
      <w:r w:rsidR="009A2D37" w:rsidRPr="00D72E8D">
        <w:rPr>
          <w:rFonts w:ascii="Arial" w:hAnsi="Arial" w:cs="Arial"/>
          <w:sz w:val="22"/>
          <w:szCs w:val="22"/>
        </w:rPr>
        <w:t xml:space="preserve"> credits (</w:t>
      </w:r>
      <w:r w:rsidRPr="00D72E8D">
        <w:rPr>
          <w:rFonts w:ascii="Arial" w:hAnsi="Arial" w:cs="Arial"/>
          <w:sz w:val="22"/>
          <w:szCs w:val="22"/>
        </w:rPr>
        <w:t>1</w:t>
      </w:r>
      <w:r w:rsidR="009A2D37" w:rsidRPr="00D72E8D">
        <w:rPr>
          <w:rFonts w:ascii="Arial" w:hAnsi="Arial" w:cs="Arial"/>
          <w:sz w:val="22"/>
          <w:szCs w:val="22"/>
        </w:rPr>
        <w:t>5 ECTS)</w:t>
      </w:r>
    </w:p>
    <w:p w14:paraId="189B47A5" w14:textId="77777777" w:rsidR="009A2D37" w:rsidRPr="00302082" w:rsidRDefault="009A2D37" w:rsidP="00302082">
      <w:pPr>
        <w:spacing w:after="120" w:line="240" w:lineRule="auto"/>
        <w:ind w:left="426" w:right="260"/>
        <w:rPr>
          <w:rFonts w:ascii="Arial" w:hAnsi="Arial" w:cs="Arial"/>
          <w:i/>
        </w:rPr>
      </w:pPr>
    </w:p>
    <w:p w14:paraId="181834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927A0A" w14:textId="507B006D" w:rsidR="009A2D37" w:rsidRPr="00D72E8D" w:rsidRDefault="00D6486F" w:rsidP="00D72E8D">
      <w:pPr>
        <w:spacing w:after="120" w:line="240" w:lineRule="auto"/>
        <w:ind w:left="567" w:right="260"/>
        <w:jc w:val="both"/>
        <w:rPr>
          <w:rFonts w:ascii="Arial" w:hAnsi="Arial" w:cs="Arial"/>
          <w:iCs/>
        </w:rPr>
      </w:pPr>
      <w:r>
        <w:rPr>
          <w:rFonts w:ascii="Arial" w:hAnsi="Arial" w:cs="Arial"/>
          <w:iCs/>
        </w:rPr>
        <w:t xml:space="preserve">Autumn or </w:t>
      </w:r>
      <w:r w:rsidR="009A2D37" w:rsidRPr="00D72E8D">
        <w:rPr>
          <w:rFonts w:ascii="Arial" w:hAnsi="Arial" w:cs="Arial"/>
          <w:iCs/>
        </w:rPr>
        <w:t>Spring</w:t>
      </w:r>
    </w:p>
    <w:p w14:paraId="5560DA3A" w14:textId="77777777" w:rsidR="009A2D37" w:rsidRPr="00302082" w:rsidRDefault="009A2D37" w:rsidP="00302082">
      <w:pPr>
        <w:spacing w:after="120" w:line="240" w:lineRule="auto"/>
        <w:ind w:left="426" w:right="260"/>
        <w:rPr>
          <w:rFonts w:ascii="Arial" w:hAnsi="Arial" w:cs="Arial"/>
          <w:i/>
          <w:iCs/>
        </w:rPr>
      </w:pPr>
    </w:p>
    <w:p w14:paraId="7FA0C2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3F7F85" w14:textId="77777777" w:rsidR="009A2D37" w:rsidRPr="00B239F9" w:rsidRDefault="00B239F9" w:rsidP="00696FF5">
      <w:pPr>
        <w:spacing w:after="120" w:line="240" w:lineRule="auto"/>
        <w:ind w:left="567" w:right="260"/>
        <w:rPr>
          <w:rFonts w:ascii="Arial" w:hAnsi="Arial" w:cs="Arial"/>
          <w:iCs/>
        </w:rPr>
      </w:pPr>
      <w:r>
        <w:rPr>
          <w:rFonts w:ascii="Arial" w:hAnsi="Arial" w:cs="Arial"/>
          <w:iCs/>
        </w:rPr>
        <w:t>None</w:t>
      </w:r>
    </w:p>
    <w:p w14:paraId="000C0589" w14:textId="77777777" w:rsidR="009A2D37" w:rsidRPr="00302082" w:rsidRDefault="009A2D37" w:rsidP="00302082">
      <w:pPr>
        <w:spacing w:after="120" w:line="240" w:lineRule="auto"/>
        <w:ind w:left="426" w:right="260"/>
        <w:rPr>
          <w:rFonts w:ascii="Arial" w:hAnsi="Arial" w:cs="Arial"/>
          <w:i/>
          <w:iCs/>
        </w:rPr>
      </w:pPr>
    </w:p>
    <w:p w14:paraId="683D01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7650CC" w14:textId="77777777" w:rsidR="00B9109B" w:rsidRPr="00464B22" w:rsidRDefault="00464B22" w:rsidP="00696FF5">
      <w:pPr>
        <w:spacing w:after="120" w:line="240" w:lineRule="auto"/>
        <w:ind w:left="567" w:right="260"/>
        <w:rPr>
          <w:rFonts w:ascii="Arial" w:hAnsi="Arial" w:cs="Arial"/>
          <w:iCs/>
        </w:rPr>
      </w:pPr>
      <w:r w:rsidRPr="00464B22">
        <w:rPr>
          <w:rFonts w:ascii="Arial" w:hAnsi="Arial" w:cs="Arial"/>
          <w:iCs/>
        </w:rPr>
        <w:t>MA First World War Studies; Masters programmes in History</w:t>
      </w:r>
    </w:p>
    <w:p w14:paraId="61066864" w14:textId="77777777" w:rsidR="009A2D37" w:rsidRPr="00302082" w:rsidRDefault="009A2D37" w:rsidP="00302082">
      <w:pPr>
        <w:spacing w:after="120" w:line="240" w:lineRule="auto"/>
        <w:ind w:left="426" w:right="260"/>
        <w:rPr>
          <w:rFonts w:ascii="Arial" w:hAnsi="Arial" w:cs="Arial"/>
          <w:i/>
          <w:iCs/>
        </w:rPr>
      </w:pPr>
    </w:p>
    <w:p w14:paraId="4DDFACB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F15035" w14:textId="77777777" w:rsidR="008438A2" w:rsidRPr="008438A2" w:rsidRDefault="008438A2" w:rsidP="008438A2">
      <w:pPr>
        <w:spacing w:after="120" w:line="240" w:lineRule="auto"/>
        <w:ind w:left="1440" w:right="260" w:hanging="873"/>
        <w:rPr>
          <w:rFonts w:ascii="Arial" w:hAnsi="Arial" w:cs="Arial"/>
          <w:iCs/>
        </w:rPr>
      </w:pPr>
      <w:r w:rsidRPr="008438A2">
        <w:rPr>
          <w:rFonts w:ascii="Arial" w:hAnsi="Arial" w:cs="Arial"/>
          <w:iCs/>
        </w:rPr>
        <w:t>8.1</w:t>
      </w:r>
      <w:r w:rsidRPr="008438A2">
        <w:rPr>
          <w:rFonts w:ascii="Arial" w:hAnsi="Arial" w:cs="Arial"/>
          <w:iCs/>
        </w:rPr>
        <w:tab/>
        <w:t>Demonstrate a complex conceptual understanding surrounding the complex issues of death, burial and commemoration in the British Empire during and in the wake of the First World War.</w:t>
      </w:r>
    </w:p>
    <w:p w14:paraId="7C9EBA6C" w14:textId="77777777" w:rsidR="008438A2" w:rsidRPr="008438A2" w:rsidRDefault="008438A2" w:rsidP="008438A2">
      <w:pPr>
        <w:spacing w:after="120" w:line="240" w:lineRule="auto"/>
        <w:ind w:left="1440" w:right="260" w:hanging="873"/>
        <w:rPr>
          <w:rFonts w:ascii="Arial" w:hAnsi="Arial" w:cs="Arial"/>
          <w:iCs/>
        </w:rPr>
      </w:pPr>
      <w:r w:rsidRPr="008438A2">
        <w:rPr>
          <w:rFonts w:ascii="Arial" w:hAnsi="Arial" w:cs="Arial"/>
          <w:iCs/>
        </w:rPr>
        <w:t>8.2</w:t>
      </w:r>
      <w:r w:rsidRPr="008438A2">
        <w:rPr>
          <w:rFonts w:ascii="Arial" w:hAnsi="Arial" w:cs="Arial"/>
          <w:iCs/>
        </w:rPr>
        <w:tab/>
        <w:t>Demonstrate a comprehensive understanding of historiographical techniques and other methodologies.</w:t>
      </w:r>
    </w:p>
    <w:p w14:paraId="7062B1C6" w14:textId="77777777" w:rsidR="008438A2" w:rsidRPr="008438A2" w:rsidRDefault="008438A2" w:rsidP="008438A2">
      <w:pPr>
        <w:spacing w:after="120" w:line="240" w:lineRule="auto"/>
        <w:ind w:left="1440" w:right="260" w:hanging="873"/>
        <w:rPr>
          <w:rFonts w:ascii="Arial" w:hAnsi="Arial" w:cs="Arial"/>
          <w:iCs/>
        </w:rPr>
      </w:pPr>
      <w:r w:rsidRPr="008438A2">
        <w:rPr>
          <w:rFonts w:ascii="Arial" w:hAnsi="Arial" w:cs="Arial"/>
          <w:iCs/>
        </w:rPr>
        <w:t>8.3</w:t>
      </w:r>
      <w:r w:rsidRPr="008438A2">
        <w:rPr>
          <w:rFonts w:ascii="Arial" w:hAnsi="Arial" w:cs="Arial"/>
          <w:iCs/>
        </w:rPr>
        <w:tab/>
        <w:t>Deploy a systematic understanding of knowledge underpinned by knowledge of research at the forefront of the discipline of History in the form of debates about war, death and memorialisation.</w:t>
      </w:r>
    </w:p>
    <w:p w14:paraId="154AF28B" w14:textId="77777777" w:rsidR="008438A2" w:rsidRPr="008438A2" w:rsidRDefault="008438A2" w:rsidP="008438A2">
      <w:pPr>
        <w:spacing w:after="120" w:line="240" w:lineRule="auto"/>
        <w:ind w:left="1440" w:right="260" w:hanging="873"/>
        <w:rPr>
          <w:rFonts w:ascii="Arial" w:hAnsi="Arial" w:cs="Arial"/>
          <w:iCs/>
        </w:rPr>
      </w:pPr>
      <w:r w:rsidRPr="008438A2">
        <w:rPr>
          <w:rFonts w:ascii="Arial" w:hAnsi="Arial" w:cs="Arial"/>
          <w:iCs/>
        </w:rPr>
        <w:t>8.4</w:t>
      </w:r>
      <w:r w:rsidRPr="008438A2">
        <w:rPr>
          <w:rFonts w:ascii="Arial" w:hAnsi="Arial" w:cs="Arial"/>
          <w:iCs/>
        </w:rPr>
        <w:tab/>
        <w:t>Demonstrate the ability to read a landscape as a source demonstrating originality in the application of knowledge.</w:t>
      </w:r>
    </w:p>
    <w:p w14:paraId="77476A7A" w14:textId="77777777" w:rsidR="008438A2" w:rsidRPr="008438A2" w:rsidRDefault="008438A2" w:rsidP="008438A2">
      <w:pPr>
        <w:spacing w:after="120" w:line="240" w:lineRule="auto"/>
        <w:ind w:left="1440" w:right="260" w:hanging="873"/>
        <w:rPr>
          <w:rFonts w:ascii="Arial" w:hAnsi="Arial" w:cs="Arial"/>
          <w:iCs/>
        </w:rPr>
      </w:pPr>
      <w:r w:rsidRPr="008438A2">
        <w:rPr>
          <w:rFonts w:ascii="Arial" w:hAnsi="Arial" w:cs="Arial"/>
          <w:iCs/>
        </w:rPr>
        <w:t>8.5</w:t>
      </w:r>
      <w:r w:rsidRPr="008438A2">
        <w:rPr>
          <w:rFonts w:ascii="Arial" w:hAnsi="Arial" w:cs="Arial"/>
          <w:iCs/>
        </w:rPr>
        <w:tab/>
        <w:t>Demonstrate comprehensively originality in the application of knowledge to different kinds of outputs based upon a comprehensive understanding of techniques and understanding of core material.</w:t>
      </w:r>
    </w:p>
    <w:p w14:paraId="09CCBC11" w14:textId="77777777" w:rsidR="009A2D37" w:rsidRPr="008438A2" w:rsidRDefault="008438A2" w:rsidP="008438A2">
      <w:pPr>
        <w:spacing w:after="120" w:line="240" w:lineRule="auto"/>
        <w:ind w:left="1440" w:right="260" w:hanging="873"/>
        <w:rPr>
          <w:rFonts w:ascii="Arial" w:hAnsi="Arial" w:cs="Arial"/>
          <w:iCs/>
        </w:rPr>
      </w:pPr>
      <w:r w:rsidRPr="008438A2">
        <w:rPr>
          <w:rFonts w:ascii="Arial" w:hAnsi="Arial" w:cs="Arial"/>
          <w:iCs/>
        </w:rPr>
        <w:t>8.6</w:t>
      </w:r>
      <w:r w:rsidRPr="008438A2">
        <w:rPr>
          <w:rFonts w:ascii="Arial" w:hAnsi="Arial" w:cs="Arial"/>
          <w:iCs/>
        </w:rPr>
        <w:tab/>
        <w:t>Demonstrate, through study of materials, conceptual understanding of methodologies and methods of critique leading to new ideas and hypotheses</w:t>
      </w:r>
    </w:p>
    <w:p w14:paraId="0E578177" w14:textId="77777777" w:rsidR="008438A2" w:rsidRPr="00302082" w:rsidRDefault="008438A2" w:rsidP="00C57028">
      <w:pPr>
        <w:spacing w:after="120" w:line="240" w:lineRule="auto"/>
        <w:ind w:left="567" w:right="260"/>
        <w:rPr>
          <w:rFonts w:ascii="Arial" w:hAnsi="Arial" w:cs="Arial"/>
          <w:i/>
        </w:rPr>
      </w:pPr>
    </w:p>
    <w:p w14:paraId="4E0E68E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DC3CDE" w14:textId="77777777" w:rsidR="00D618DC" w:rsidRPr="00D618DC" w:rsidRDefault="00D618DC" w:rsidP="00D618DC">
      <w:pPr>
        <w:spacing w:after="120" w:line="240" w:lineRule="auto"/>
        <w:ind w:left="567" w:right="260"/>
        <w:jc w:val="both"/>
        <w:rPr>
          <w:rFonts w:ascii="Arial" w:hAnsi="Arial" w:cs="Arial"/>
        </w:rPr>
      </w:pPr>
      <w:r w:rsidRPr="00D618DC">
        <w:rPr>
          <w:rFonts w:ascii="Arial" w:hAnsi="Arial" w:cs="Arial"/>
        </w:rPr>
        <w:t>9.1</w:t>
      </w:r>
      <w:r w:rsidRPr="00D618DC">
        <w:rPr>
          <w:rFonts w:ascii="Arial" w:hAnsi="Arial" w:cs="Arial"/>
        </w:rPr>
        <w:tab/>
        <w:t>Show mental flexibility by making judgements systematically and creatively.</w:t>
      </w:r>
    </w:p>
    <w:p w14:paraId="3117D249" w14:textId="77777777" w:rsidR="00D618DC" w:rsidRPr="00D618DC" w:rsidRDefault="00D618DC" w:rsidP="00D618DC">
      <w:pPr>
        <w:spacing w:after="120" w:line="240" w:lineRule="auto"/>
        <w:ind w:left="1440" w:right="260" w:hanging="873"/>
        <w:jc w:val="both"/>
        <w:rPr>
          <w:rFonts w:ascii="Arial" w:hAnsi="Arial" w:cs="Arial"/>
        </w:rPr>
      </w:pPr>
      <w:r w:rsidRPr="00D618DC">
        <w:rPr>
          <w:rFonts w:ascii="Arial" w:hAnsi="Arial" w:cs="Arial"/>
        </w:rPr>
        <w:t>9.2</w:t>
      </w:r>
      <w:r w:rsidRPr="00D618DC">
        <w:rPr>
          <w:rFonts w:ascii="Arial" w:hAnsi="Arial" w:cs="Arial"/>
        </w:rPr>
        <w:tab/>
        <w:t>Sustain concentration and aim and think originally demonstrating self-direction and planning skills.</w:t>
      </w:r>
    </w:p>
    <w:p w14:paraId="79EB18DA" w14:textId="77777777" w:rsidR="00D618DC" w:rsidRPr="00D618DC" w:rsidRDefault="00D618DC" w:rsidP="00D618DC">
      <w:pPr>
        <w:spacing w:after="120" w:line="240" w:lineRule="auto"/>
        <w:ind w:left="567" w:right="260"/>
        <w:jc w:val="both"/>
        <w:rPr>
          <w:rFonts w:ascii="Arial" w:hAnsi="Arial" w:cs="Arial"/>
        </w:rPr>
      </w:pPr>
      <w:r w:rsidRPr="00D618DC">
        <w:rPr>
          <w:rFonts w:ascii="Arial" w:hAnsi="Arial" w:cs="Arial"/>
        </w:rPr>
        <w:t>9.3</w:t>
      </w:r>
      <w:r w:rsidRPr="00D618DC">
        <w:rPr>
          <w:rFonts w:ascii="Arial" w:hAnsi="Arial" w:cs="Arial"/>
        </w:rPr>
        <w:tab/>
        <w:t>Construct coherent written and oral arguments.</w:t>
      </w:r>
    </w:p>
    <w:p w14:paraId="4B255755" w14:textId="77777777" w:rsidR="00D618DC" w:rsidRPr="00D618DC" w:rsidRDefault="00D618DC" w:rsidP="00D618DC">
      <w:pPr>
        <w:spacing w:after="120" w:line="240" w:lineRule="auto"/>
        <w:ind w:left="567" w:right="260"/>
        <w:jc w:val="both"/>
        <w:rPr>
          <w:rFonts w:ascii="Arial" w:hAnsi="Arial" w:cs="Arial"/>
        </w:rPr>
      </w:pPr>
      <w:r w:rsidRPr="00D618DC">
        <w:rPr>
          <w:rFonts w:ascii="Arial" w:hAnsi="Arial" w:cs="Arial"/>
        </w:rPr>
        <w:t>9.4</w:t>
      </w:r>
      <w:r w:rsidRPr="00D618DC">
        <w:rPr>
          <w:rFonts w:ascii="Arial" w:hAnsi="Arial" w:cs="Arial"/>
        </w:rPr>
        <w:tab/>
        <w:t>Research different source types.</w:t>
      </w:r>
    </w:p>
    <w:p w14:paraId="729446B2" w14:textId="77777777" w:rsidR="009A2D37" w:rsidRPr="00D618DC" w:rsidRDefault="00D618DC" w:rsidP="00D618DC">
      <w:pPr>
        <w:spacing w:after="120" w:line="240" w:lineRule="auto"/>
        <w:ind w:left="567" w:right="260"/>
        <w:jc w:val="both"/>
        <w:rPr>
          <w:rFonts w:ascii="Arial" w:hAnsi="Arial" w:cs="Arial"/>
        </w:rPr>
      </w:pPr>
      <w:r w:rsidRPr="00D618DC">
        <w:rPr>
          <w:rFonts w:ascii="Arial" w:hAnsi="Arial" w:cs="Arial"/>
        </w:rPr>
        <w:t>9.5</w:t>
      </w:r>
      <w:r w:rsidRPr="00D618DC">
        <w:rPr>
          <w:rFonts w:ascii="Arial" w:hAnsi="Arial" w:cs="Arial"/>
        </w:rPr>
        <w:tab/>
        <w:t>Produce a variety of robust outputs.</w:t>
      </w:r>
    </w:p>
    <w:p w14:paraId="3D690D4E" w14:textId="77777777" w:rsidR="009A2D37" w:rsidRDefault="009A2D37" w:rsidP="00302082">
      <w:pPr>
        <w:pStyle w:val="Default"/>
        <w:spacing w:after="120"/>
        <w:ind w:left="720" w:right="260"/>
        <w:rPr>
          <w:color w:val="auto"/>
          <w:sz w:val="22"/>
          <w:szCs w:val="22"/>
        </w:rPr>
      </w:pPr>
    </w:p>
    <w:p w14:paraId="02303F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0F6CB7"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lastRenderedPageBreak/>
        <w:t>This module will provide students with a detailed study of the evolution and work of the IWGC during the first period of its existence. The module curriculum will consider the following issues:</w:t>
      </w:r>
    </w:p>
    <w:p w14:paraId="3ACA5105"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way in which the mass casualties of the war caused people, as individuals, as families, and as groups across the Empire, as well as the imperial authorities, to consider the issue of suitable commemoration of those who had given their lives in the service of the Empire.</w:t>
      </w:r>
    </w:p>
    <w:p w14:paraId="7E93018F"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competing demands and visions of the various ‘stakeholders’ throughout the period 1914-1939 including the post-war resistance to the IWGC and the continuation of alternative solutions provided by independent pressure groups.</w:t>
      </w:r>
    </w:p>
    <w:p w14:paraId="68AFB57F"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establishment and evolution of the authorities responsible for burial and graves registration in France and Belgium and the gradual expansion of powers and influence.</w:t>
      </w:r>
    </w:p>
    <w:p w14:paraId="37D2AE5E"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creation of the IWGC, its immediate tasks, the debates over its authority, reach and role, and its eventual triumph as the crucial agency.</w:t>
      </w:r>
    </w:p>
    <w:p w14:paraId="28780ED6"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issue of suitable commemoration of the missing.</w:t>
      </w:r>
    </w:p>
    <w:p w14:paraId="20DDF48C"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role and visions of the architects both at the consulting level and on the ground.</w:t>
      </w:r>
    </w:p>
    <w:p w14:paraId="7DFB594D"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process of constructing, making permanent and maintaining the cemeteries and memorials across the globe.</w:t>
      </w:r>
    </w:p>
    <w:p w14:paraId="2E9DD2E3"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experiences of visitors to the sites and the role of the IWGC as a mediator of that experience and the Commission’s interactions with other bodies.</w:t>
      </w:r>
    </w:p>
    <w:p w14:paraId="77B0284D" w14:textId="77777777" w:rsidR="00D618DC" w:rsidRPr="00D618DC" w:rsidRDefault="00D618DC" w:rsidP="00D618DC">
      <w:pPr>
        <w:spacing w:after="120" w:line="240" w:lineRule="auto"/>
        <w:ind w:left="567" w:right="260"/>
        <w:jc w:val="both"/>
        <w:rPr>
          <w:rFonts w:ascii="Arial" w:hAnsi="Arial" w:cs="Arial"/>
          <w:iCs/>
        </w:rPr>
      </w:pPr>
      <w:r w:rsidRPr="00D618DC">
        <w:rPr>
          <w:rFonts w:ascii="Arial" w:hAnsi="Arial" w:cs="Arial"/>
          <w:iCs/>
        </w:rPr>
        <w:t>The IWGC as a simultaneous medium for the harnessing of a central imperial message and distinctive statements about the component parts of the Empire.</w:t>
      </w:r>
    </w:p>
    <w:p w14:paraId="3C070A02" w14:textId="77777777" w:rsidR="00C57028" w:rsidRPr="00302082" w:rsidRDefault="00D618DC" w:rsidP="00D618DC">
      <w:pPr>
        <w:spacing w:after="120" w:line="240" w:lineRule="auto"/>
        <w:ind w:left="567" w:right="260"/>
        <w:jc w:val="both"/>
        <w:rPr>
          <w:rFonts w:ascii="Arial" w:hAnsi="Arial" w:cs="Arial"/>
          <w:i/>
          <w:iCs/>
        </w:rPr>
      </w:pPr>
      <w:r w:rsidRPr="00D618DC">
        <w:rPr>
          <w:rFonts w:ascii="Arial" w:hAnsi="Arial" w:cs="Arial"/>
          <w:iCs/>
        </w:rPr>
        <w:t>As a conclusion to consider the importance of the IWGC in influence conceptions of the conflict into the present.</w:t>
      </w:r>
      <w:r w:rsidR="00C57028">
        <w:rPr>
          <w:rFonts w:ascii="Arial" w:hAnsi="Arial" w:cs="Arial"/>
          <w:i/>
          <w:iCs/>
        </w:rPr>
        <w:t xml:space="preserve"> </w:t>
      </w:r>
    </w:p>
    <w:p w14:paraId="7517C843" w14:textId="77777777" w:rsidR="009A2D37" w:rsidRPr="00302082" w:rsidRDefault="009A2D37" w:rsidP="00302082">
      <w:pPr>
        <w:spacing w:after="120" w:line="240" w:lineRule="auto"/>
        <w:ind w:left="426" w:right="260"/>
        <w:rPr>
          <w:rFonts w:ascii="Arial" w:hAnsi="Arial" w:cs="Arial"/>
          <w:i/>
          <w:iCs/>
        </w:rPr>
      </w:pPr>
    </w:p>
    <w:p w14:paraId="2C6AB4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A96C50" w14:textId="77777777" w:rsidR="00B949F8" w:rsidRPr="00B949F8" w:rsidRDefault="00B949F8" w:rsidP="00B949F8">
      <w:pPr>
        <w:spacing w:after="120" w:line="240" w:lineRule="auto"/>
        <w:ind w:left="567" w:right="260"/>
        <w:jc w:val="both"/>
        <w:rPr>
          <w:rFonts w:ascii="Arial" w:hAnsi="Arial" w:cs="Arial"/>
        </w:rPr>
      </w:pPr>
      <w:r w:rsidRPr="00B949F8">
        <w:rPr>
          <w:rFonts w:ascii="Arial" w:hAnsi="Arial" w:cs="Arial"/>
        </w:rPr>
        <w:lastRenderedPageBreak/>
        <w:t>Barrett, M. (2007) 'Subalterns at War: First World War Colonial Forces and the Politics of the Imperial War Graves Commission', Interventions, Vol. 9, No. 3, pp. 451-474.</w:t>
      </w:r>
    </w:p>
    <w:p w14:paraId="42ACED5D" w14:textId="77777777" w:rsidR="00B949F8" w:rsidRPr="00B949F8" w:rsidRDefault="00B949F8" w:rsidP="00B949F8">
      <w:pPr>
        <w:spacing w:after="120" w:line="240" w:lineRule="auto"/>
        <w:ind w:left="567" w:right="260"/>
        <w:jc w:val="both"/>
        <w:rPr>
          <w:rFonts w:ascii="Arial" w:hAnsi="Arial" w:cs="Arial"/>
        </w:rPr>
      </w:pPr>
      <w:r w:rsidRPr="00B949F8">
        <w:rPr>
          <w:rFonts w:ascii="Arial" w:hAnsi="Arial" w:cs="Arial"/>
        </w:rPr>
        <w:t>Hucker, J. (2009) '"Battle and burial": Recapturing the cultural meaning of Canada's national memorial on Vimy Ridge', Public Historian, Vol. 31, No. 1, pp. 89-109.</w:t>
      </w:r>
    </w:p>
    <w:p w14:paraId="7F1ADA61" w14:textId="77777777" w:rsidR="00B949F8" w:rsidRPr="00B949F8" w:rsidRDefault="00B949F8" w:rsidP="00B949F8">
      <w:pPr>
        <w:spacing w:after="120" w:line="240" w:lineRule="auto"/>
        <w:ind w:left="567" w:right="260"/>
        <w:jc w:val="both"/>
        <w:rPr>
          <w:rFonts w:ascii="Arial" w:hAnsi="Arial" w:cs="Arial"/>
        </w:rPr>
      </w:pPr>
      <w:r w:rsidRPr="00B949F8">
        <w:rPr>
          <w:rFonts w:ascii="Arial" w:hAnsi="Arial" w:cs="Arial"/>
        </w:rPr>
        <w:t>Malvern, S. (2004) Modern Art, Britain and the Great War. Witnessing, testimony and remembrance. New Haven and London: Yale University Press/Paul Mellon Centre for Studies in British Art.</w:t>
      </w:r>
    </w:p>
    <w:p w14:paraId="4438B406" w14:textId="77777777" w:rsidR="00B949F8" w:rsidRPr="00B949F8" w:rsidRDefault="00B949F8" w:rsidP="00B949F8">
      <w:pPr>
        <w:spacing w:after="120" w:line="240" w:lineRule="auto"/>
        <w:ind w:left="567" w:right="260"/>
        <w:jc w:val="both"/>
        <w:rPr>
          <w:rFonts w:ascii="Arial" w:hAnsi="Arial" w:cs="Arial"/>
        </w:rPr>
      </w:pPr>
      <w:r w:rsidRPr="00B949F8">
        <w:rPr>
          <w:rFonts w:ascii="Arial" w:hAnsi="Arial" w:cs="Arial"/>
        </w:rPr>
        <w:t>Malvern, S. (2001) ‘War Tourisms: “Englishness”, Art, and the First World War’, Oxford Art Journal, Vol. 24, No. 1, pp. 45-66.</w:t>
      </w:r>
    </w:p>
    <w:p w14:paraId="4E5F1C86" w14:textId="77777777" w:rsidR="00B949F8" w:rsidRPr="00B949F8" w:rsidRDefault="00B949F8" w:rsidP="00B949F8">
      <w:pPr>
        <w:spacing w:after="120" w:line="240" w:lineRule="auto"/>
        <w:ind w:left="567" w:right="260"/>
        <w:jc w:val="both"/>
        <w:rPr>
          <w:rFonts w:ascii="Arial" w:hAnsi="Arial" w:cs="Arial"/>
        </w:rPr>
      </w:pPr>
      <w:r w:rsidRPr="00B949F8">
        <w:rPr>
          <w:rFonts w:ascii="Arial" w:hAnsi="Arial" w:cs="Arial"/>
        </w:rPr>
        <w:t>Winter, J. (2006) Remembering War. The Great War between memory and history in the twentieth century. New Haven and London: Yale University Press. Chapter 1, pp. 17-51.</w:t>
      </w:r>
    </w:p>
    <w:p w14:paraId="31D6326C" w14:textId="77777777" w:rsidR="009A2D37" w:rsidRPr="00B949F8" w:rsidRDefault="00B949F8" w:rsidP="00B949F8">
      <w:pPr>
        <w:spacing w:after="120" w:line="240" w:lineRule="auto"/>
        <w:ind w:left="567" w:right="260"/>
        <w:jc w:val="both"/>
        <w:rPr>
          <w:rFonts w:ascii="Arial" w:hAnsi="Arial" w:cs="Arial"/>
        </w:rPr>
      </w:pPr>
      <w:r w:rsidRPr="00B949F8">
        <w:rPr>
          <w:rFonts w:ascii="Arial" w:hAnsi="Arial" w:cs="Arial"/>
        </w:rPr>
        <w:t>Ziino, B. (2007) A Distant Grief. Australians, War Graves and the Great War. Cambridge: Cambridge University Press</w:t>
      </w:r>
    </w:p>
    <w:p w14:paraId="015928BD" w14:textId="77777777" w:rsidR="009A2D37" w:rsidRPr="00302082" w:rsidRDefault="009A2D37" w:rsidP="00302082">
      <w:pPr>
        <w:spacing w:after="120" w:line="240" w:lineRule="auto"/>
        <w:ind w:right="260"/>
        <w:jc w:val="both"/>
        <w:rPr>
          <w:rFonts w:ascii="Arial" w:hAnsi="Arial" w:cs="Arial"/>
          <w:b/>
        </w:rPr>
      </w:pPr>
    </w:p>
    <w:p w14:paraId="547C836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CA98E2" w14:textId="77777777" w:rsidR="009A2D37" w:rsidRPr="00546F81" w:rsidRDefault="00C57028" w:rsidP="00696FF5">
      <w:pPr>
        <w:spacing w:after="120" w:line="240" w:lineRule="auto"/>
        <w:ind w:left="567" w:right="260"/>
        <w:jc w:val="both"/>
        <w:rPr>
          <w:rFonts w:ascii="Arial" w:hAnsi="Arial" w:cs="Arial"/>
          <w:iCs/>
        </w:rPr>
      </w:pPr>
      <w:r w:rsidRPr="00546F81">
        <w:rPr>
          <w:rFonts w:ascii="Arial" w:hAnsi="Arial" w:cs="Arial"/>
          <w:iCs/>
        </w:rPr>
        <w:t>Total contact hours:</w:t>
      </w:r>
      <w:r w:rsidR="00546F81" w:rsidRPr="00546F81">
        <w:rPr>
          <w:rFonts w:ascii="Arial" w:hAnsi="Arial" w:cs="Arial"/>
          <w:iCs/>
        </w:rPr>
        <w:t xml:space="preserve"> 60</w:t>
      </w:r>
    </w:p>
    <w:p w14:paraId="4257E274" w14:textId="77777777" w:rsidR="00C57028" w:rsidRPr="00546F81" w:rsidRDefault="00C57028" w:rsidP="00C57028">
      <w:pPr>
        <w:spacing w:after="120" w:line="240" w:lineRule="auto"/>
        <w:ind w:left="567" w:right="260"/>
        <w:jc w:val="both"/>
        <w:rPr>
          <w:rFonts w:ascii="Arial" w:hAnsi="Arial" w:cs="Arial"/>
          <w:iCs/>
        </w:rPr>
      </w:pPr>
      <w:r w:rsidRPr="00546F81">
        <w:rPr>
          <w:rFonts w:ascii="Arial" w:hAnsi="Arial" w:cs="Arial"/>
          <w:iCs/>
        </w:rPr>
        <w:t>Private study hours:</w:t>
      </w:r>
      <w:r w:rsidR="00546F81">
        <w:rPr>
          <w:rFonts w:ascii="Arial" w:hAnsi="Arial" w:cs="Arial"/>
          <w:iCs/>
        </w:rPr>
        <w:t xml:space="preserve"> </w:t>
      </w:r>
      <w:r w:rsidR="00546F81" w:rsidRPr="00546F81">
        <w:rPr>
          <w:rFonts w:ascii="Arial" w:hAnsi="Arial" w:cs="Arial"/>
          <w:iCs/>
        </w:rPr>
        <w:t xml:space="preserve">240 </w:t>
      </w:r>
    </w:p>
    <w:p w14:paraId="40975980" w14:textId="77777777" w:rsidR="00C57028" w:rsidRPr="00546F81" w:rsidRDefault="00C57028" w:rsidP="00C57028">
      <w:pPr>
        <w:spacing w:after="120" w:line="240" w:lineRule="auto"/>
        <w:ind w:left="567" w:right="260"/>
        <w:jc w:val="both"/>
        <w:rPr>
          <w:rFonts w:ascii="Arial" w:hAnsi="Arial" w:cs="Arial"/>
          <w:iCs/>
        </w:rPr>
      </w:pPr>
      <w:r w:rsidRPr="00546F81">
        <w:rPr>
          <w:rFonts w:ascii="Arial" w:hAnsi="Arial" w:cs="Arial"/>
          <w:iCs/>
        </w:rPr>
        <w:t>Total study hours:</w:t>
      </w:r>
      <w:r w:rsidR="00546F81" w:rsidRPr="00546F81">
        <w:rPr>
          <w:rFonts w:ascii="Arial" w:hAnsi="Arial" w:cs="Arial"/>
          <w:iCs/>
        </w:rPr>
        <w:t xml:space="preserve"> 300</w:t>
      </w:r>
    </w:p>
    <w:p w14:paraId="095169C8" w14:textId="77777777" w:rsidR="009A2D37" w:rsidRPr="00302082" w:rsidRDefault="009A2D37" w:rsidP="00302082">
      <w:pPr>
        <w:spacing w:after="120" w:line="240" w:lineRule="auto"/>
        <w:ind w:left="426" w:right="260"/>
        <w:rPr>
          <w:rFonts w:ascii="Arial" w:hAnsi="Arial" w:cs="Arial"/>
          <w:i/>
          <w:iCs/>
        </w:rPr>
      </w:pPr>
    </w:p>
    <w:p w14:paraId="1353CED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31BB0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E107F6" w14:textId="77777777" w:rsidR="009E3C0B" w:rsidRPr="009E3C0B" w:rsidRDefault="009E3C0B" w:rsidP="009E3C0B">
      <w:pPr>
        <w:spacing w:after="120" w:line="240" w:lineRule="auto"/>
        <w:ind w:left="567" w:right="260"/>
        <w:jc w:val="both"/>
        <w:rPr>
          <w:rFonts w:ascii="Arial" w:hAnsi="Arial" w:cs="Arial"/>
          <w:iCs/>
        </w:rPr>
      </w:pPr>
      <w:r w:rsidRPr="009E3C0B">
        <w:rPr>
          <w:rFonts w:ascii="Arial" w:hAnsi="Arial" w:cs="Arial"/>
          <w:iCs/>
        </w:rPr>
        <w:t>Essay</w:t>
      </w:r>
      <w:r w:rsidR="001062CD">
        <w:rPr>
          <w:rFonts w:ascii="Arial" w:hAnsi="Arial" w:cs="Arial"/>
          <w:iCs/>
        </w:rPr>
        <w:tab/>
      </w:r>
      <w:r w:rsidR="00314C23">
        <w:rPr>
          <w:rFonts w:ascii="Arial" w:hAnsi="Arial" w:cs="Arial"/>
          <w:iCs/>
        </w:rPr>
        <w:tab/>
      </w:r>
      <w:r w:rsidR="00314C23">
        <w:rPr>
          <w:rFonts w:ascii="Arial" w:hAnsi="Arial" w:cs="Arial"/>
          <w:iCs/>
        </w:rPr>
        <w:tab/>
      </w:r>
      <w:r w:rsidR="00314C23">
        <w:rPr>
          <w:rFonts w:ascii="Arial" w:hAnsi="Arial" w:cs="Arial"/>
          <w:iCs/>
        </w:rPr>
        <w:tab/>
        <w:t>5000 words</w:t>
      </w:r>
      <w:r w:rsidR="00314C23">
        <w:rPr>
          <w:rFonts w:ascii="Arial" w:hAnsi="Arial" w:cs="Arial"/>
          <w:iCs/>
        </w:rPr>
        <w:tab/>
        <w:t>70%</w:t>
      </w:r>
    </w:p>
    <w:p w14:paraId="42FB2AFB" w14:textId="77777777" w:rsidR="009E3C0B" w:rsidRPr="009E3C0B" w:rsidRDefault="009E3C0B" w:rsidP="009E3C0B">
      <w:pPr>
        <w:spacing w:after="120" w:line="240" w:lineRule="auto"/>
        <w:ind w:left="567" w:right="260"/>
        <w:jc w:val="both"/>
        <w:rPr>
          <w:rFonts w:ascii="Arial" w:hAnsi="Arial" w:cs="Arial"/>
          <w:iCs/>
        </w:rPr>
      </w:pPr>
      <w:r w:rsidRPr="009E3C0B">
        <w:rPr>
          <w:rFonts w:ascii="Arial" w:hAnsi="Arial" w:cs="Arial"/>
          <w:iCs/>
        </w:rPr>
        <w:t>Individual Presentation</w:t>
      </w:r>
      <w:r w:rsidR="001062CD">
        <w:rPr>
          <w:rFonts w:ascii="Arial" w:hAnsi="Arial" w:cs="Arial"/>
          <w:iCs/>
        </w:rPr>
        <w:tab/>
      </w:r>
      <w:r w:rsidR="00314C23">
        <w:rPr>
          <w:rFonts w:ascii="Arial" w:hAnsi="Arial" w:cs="Arial"/>
          <w:iCs/>
        </w:rPr>
        <w:tab/>
        <w:t>1000 words</w:t>
      </w:r>
      <w:r w:rsidR="00314C23">
        <w:rPr>
          <w:rFonts w:ascii="Arial" w:hAnsi="Arial" w:cs="Arial"/>
          <w:iCs/>
        </w:rPr>
        <w:tab/>
        <w:t>10%</w:t>
      </w:r>
    </w:p>
    <w:p w14:paraId="38ACA504" w14:textId="2F6D3A26" w:rsidR="007A6245" w:rsidRPr="009E3C0B" w:rsidRDefault="009E3C0B" w:rsidP="009E3C0B">
      <w:pPr>
        <w:spacing w:after="120" w:line="240" w:lineRule="auto"/>
        <w:ind w:left="567" w:right="260"/>
        <w:jc w:val="both"/>
        <w:rPr>
          <w:rFonts w:ascii="Arial" w:hAnsi="Arial" w:cs="Arial"/>
          <w:b/>
          <w:iCs/>
        </w:rPr>
      </w:pPr>
      <w:r w:rsidRPr="009E3C0B">
        <w:rPr>
          <w:rFonts w:ascii="Arial" w:hAnsi="Arial" w:cs="Arial"/>
          <w:iCs/>
        </w:rPr>
        <w:t>Joint Presentation</w:t>
      </w:r>
      <w:r w:rsidR="001062CD">
        <w:rPr>
          <w:rFonts w:ascii="Arial" w:hAnsi="Arial" w:cs="Arial"/>
          <w:iCs/>
        </w:rPr>
        <w:tab/>
      </w:r>
      <w:r w:rsidR="00314C23">
        <w:rPr>
          <w:rFonts w:ascii="Arial" w:hAnsi="Arial" w:cs="Arial"/>
          <w:iCs/>
        </w:rPr>
        <w:tab/>
      </w:r>
      <w:r w:rsidR="00314C23">
        <w:rPr>
          <w:rFonts w:ascii="Arial" w:hAnsi="Arial" w:cs="Arial"/>
          <w:iCs/>
        </w:rPr>
        <w:tab/>
      </w:r>
      <w:r w:rsidR="00314C23">
        <w:rPr>
          <w:rFonts w:ascii="Arial" w:hAnsi="Arial" w:cs="Arial"/>
          <w:iCs/>
        </w:rPr>
        <w:tab/>
        <w:t>20%</w:t>
      </w:r>
    </w:p>
    <w:p w14:paraId="52436F61" w14:textId="77777777" w:rsidR="006043FC" w:rsidRDefault="006043FC" w:rsidP="00302082">
      <w:pPr>
        <w:spacing w:after="120" w:line="240" w:lineRule="auto"/>
        <w:ind w:left="426" w:right="260"/>
        <w:rPr>
          <w:rFonts w:ascii="Arial" w:hAnsi="Arial" w:cs="Arial"/>
          <w:b/>
          <w:i/>
          <w:iCs/>
        </w:rPr>
      </w:pPr>
    </w:p>
    <w:p w14:paraId="0014CF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73E294" w14:textId="77777777" w:rsidR="00C57028" w:rsidRPr="00314C23" w:rsidRDefault="00314C23" w:rsidP="00C57028">
      <w:pPr>
        <w:spacing w:after="120" w:line="240" w:lineRule="auto"/>
        <w:ind w:left="567" w:right="260"/>
        <w:jc w:val="both"/>
        <w:rPr>
          <w:rFonts w:ascii="Arial" w:hAnsi="Arial" w:cs="Arial"/>
          <w:b/>
          <w:iCs/>
        </w:rPr>
      </w:pPr>
      <w:r w:rsidRPr="00314C23">
        <w:rPr>
          <w:rFonts w:ascii="Arial" w:hAnsi="Arial" w:cs="Arial"/>
          <w:iCs/>
        </w:rPr>
        <w:lastRenderedPageBreak/>
        <w:t>Reassessment Instrument: 100% coursework</w:t>
      </w:r>
      <w:r w:rsidR="00C57028" w:rsidRPr="00314C23">
        <w:rPr>
          <w:rFonts w:ascii="Arial" w:hAnsi="Arial" w:cs="Arial"/>
          <w:iCs/>
        </w:rPr>
        <w:t xml:space="preserve"> </w:t>
      </w:r>
    </w:p>
    <w:p w14:paraId="2DC82714" w14:textId="77777777" w:rsidR="00696FF5" w:rsidRDefault="00696FF5" w:rsidP="00302082">
      <w:pPr>
        <w:spacing w:after="120" w:line="240" w:lineRule="auto"/>
        <w:ind w:left="426" w:right="260"/>
        <w:rPr>
          <w:rFonts w:ascii="Arial" w:hAnsi="Arial" w:cs="Arial"/>
          <w:b/>
          <w:i/>
          <w:iCs/>
        </w:rPr>
      </w:pPr>
    </w:p>
    <w:p w14:paraId="728FED2D" w14:textId="77777777" w:rsidR="00274ED7" w:rsidRPr="00962193" w:rsidRDefault="006F3F8B" w:rsidP="00696FF5">
      <w:pPr>
        <w:numPr>
          <w:ilvl w:val="0"/>
          <w:numId w:val="1"/>
        </w:numPr>
        <w:spacing w:after="120" w:line="240" w:lineRule="auto"/>
        <w:ind w:left="567" w:right="261" w:hanging="567"/>
        <w:jc w:val="both"/>
        <w:rPr>
          <w:rFonts w:ascii="Arial" w:hAnsi="Arial" w:cs="Arial"/>
          <w:b/>
          <w:iCs/>
        </w:rPr>
      </w:pPr>
      <w:r w:rsidRPr="00962193">
        <w:rPr>
          <w:rFonts w:ascii="Arial" w:hAnsi="Arial" w:cs="Arial"/>
          <w:b/>
          <w:iCs/>
        </w:rPr>
        <w:t xml:space="preserve">Map of </w:t>
      </w:r>
      <w:r w:rsidR="00883204" w:rsidRPr="00962193">
        <w:rPr>
          <w:rFonts w:ascii="Arial" w:hAnsi="Arial" w:cs="Arial"/>
          <w:b/>
          <w:iCs/>
        </w:rPr>
        <w:t xml:space="preserve">module learning outcomes </w:t>
      </w:r>
      <w:r w:rsidR="00B30E07" w:rsidRPr="00962193">
        <w:rPr>
          <w:rFonts w:ascii="Arial" w:hAnsi="Arial" w:cs="Arial"/>
          <w:b/>
          <w:iCs/>
        </w:rPr>
        <w:t>(sections 8 &amp; 9)</w:t>
      </w:r>
      <w:r w:rsidR="00883204" w:rsidRPr="00962193">
        <w:rPr>
          <w:rFonts w:ascii="Arial" w:hAnsi="Arial" w:cs="Arial"/>
          <w:b/>
          <w:iCs/>
        </w:rPr>
        <w:t xml:space="preserve"> to l</w:t>
      </w:r>
      <w:r w:rsidRPr="00962193">
        <w:rPr>
          <w:rFonts w:ascii="Arial" w:hAnsi="Arial" w:cs="Arial"/>
          <w:b/>
          <w:iCs/>
        </w:rPr>
        <w:t>earning</w:t>
      </w:r>
      <w:r w:rsidR="00B30E07" w:rsidRPr="00962193">
        <w:rPr>
          <w:rFonts w:ascii="Arial" w:hAnsi="Arial" w:cs="Arial"/>
          <w:b/>
          <w:iCs/>
        </w:rPr>
        <w:t xml:space="preserve"> and </w:t>
      </w:r>
      <w:r w:rsidR="00883204" w:rsidRPr="00962193">
        <w:rPr>
          <w:rFonts w:ascii="Arial" w:hAnsi="Arial" w:cs="Arial"/>
          <w:b/>
          <w:iCs/>
        </w:rPr>
        <w:t>teaching m</w:t>
      </w:r>
      <w:r w:rsidR="00B30E07" w:rsidRPr="00962193">
        <w:rPr>
          <w:rFonts w:ascii="Arial" w:hAnsi="Arial" w:cs="Arial"/>
          <w:b/>
          <w:iCs/>
        </w:rPr>
        <w:t>ethods (section12</w:t>
      </w:r>
      <w:r w:rsidRPr="00962193">
        <w:rPr>
          <w:rFonts w:ascii="Arial" w:hAnsi="Arial" w:cs="Arial"/>
          <w:b/>
          <w:iCs/>
        </w:rPr>
        <w:t>) and m</w:t>
      </w:r>
      <w:r w:rsidR="00883204" w:rsidRPr="00962193">
        <w:rPr>
          <w:rFonts w:ascii="Arial" w:hAnsi="Arial" w:cs="Arial"/>
          <w:b/>
          <w:iCs/>
        </w:rPr>
        <w:t>ethods of a</w:t>
      </w:r>
      <w:r w:rsidR="00B30E07" w:rsidRPr="00962193">
        <w:rPr>
          <w:rFonts w:ascii="Arial" w:hAnsi="Arial" w:cs="Arial"/>
          <w:b/>
          <w:iCs/>
        </w:rPr>
        <w:t>ssessment (section 13</w:t>
      </w:r>
      <w:r w:rsidR="00EF4933" w:rsidRPr="00962193">
        <w:rPr>
          <w:rFonts w:ascii="Arial" w:hAnsi="Arial" w:cs="Arial"/>
          <w:b/>
          <w:iCs/>
        </w:rPr>
        <w:t>)</w:t>
      </w:r>
    </w:p>
    <w:p w14:paraId="7F430C1A" w14:textId="31654682" w:rsidR="007A6245" w:rsidRDefault="007A6245" w:rsidP="00302082">
      <w:pPr>
        <w:spacing w:after="120" w:line="240" w:lineRule="auto"/>
        <w:ind w:left="426" w:right="260"/>
        <w:rPr>
          <w:rFonts w:ascii="Arial" w:hAnsi="Arial" w:cs="Arial"/>
          <w:b/>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962193" w:rsidRPr="00086971" w14:paraId="6F938F50" w14:textId="77777777" w:rsidTr="00962193">
        <w:tc>
          <w:tcPr>
            <w:tcW w:w="1730" w:type="dxa"/>
            <w:shd w:val="clear" w:color="auto" w:fill="D9D9D9" w:themeFill="background1" w:themeFillShade="D9"/>
          </w:tcPr>
          <w:p w14:paraId="52554AD6" w14:textId="77777777" w:rsidR="00962193" w:rsidRPr="00086971" w:rsidRDefault="00962193" w:rsidP="00F22777">
            <w:pPr>
              <w:spacing w:line="276" w:lineRule="auto"/>
              <w:ind w:left="33"/>
              <w:rPr>
                <w:rFonts w:ascii="Arial" w:hAnsi="Arial" w:cs="Arial"/>
                <w:b/>
              </w:rPr>
            </w:pPr>
            <w:r w:rsidRPr="00086971">
              <w:rPr>
                <w:rFonts w:ascii="Arial" w:hAnsi="Arial" w:cs="Arial"/>
                <w:b/>
              </w:rPr>
              <w:t>Module learning outcome</w:t>
            </w:r>
          </w:p>
        </w:tc>
        <w:tc>
          <w:tcPr>
            <w:tcW w:w="567" w:type="dxa"/>
          </w:tcPr>
          <w:p w14:paraId="79AD2AC1" w14:textId="77777777" w:rsidR="00962193" w:rsidRPr="00086971" w:rsidRDefault="00962193" w:rsidP="00F22777">
            <w:pPr>
              <w:spacing w:line="276" w:lineRule="auto"/>
              <w:rPr>
                <w:rFonts w:ascii="Arial" w:hAnsi="Arial" w:cs="Arial"/>
                <w:i/>
              </w:rPr>
            </w:pPr>
            <w:r w:rsidRPr="00086971">
              <w:rPr>
                <w:rFonts w:ascii="Arial" w:hAnsi="Arial" w:cs="Arial"/>
                <w:i/>
              </w:rPr>
              <w:t>8.1</w:t>
            </w:r>
          </w:p>
        </w:tc>
        <w:tc>
          <w:tcPr>
            <w:tcW w:w="567" w:type="dxa"/>
          </w:tcPr>
          <w:p w14:paraId="034E14EB" w14:textId="77777777" w:rsidR="00962193" w:rsidRPr="00086971" w:rsidRDefault="00962193" w:rsidP="00F22777">
            <w:pPr>
              <w:spacing w:line="276" w:lineRule="auto"/>
              <w:rPr>
                <w:rFonts w:ascii="Arial" w:hAnsi="Arial" w:cs="Arial"/>
                <w:i/>
              </w:rPr>
            </w:pPr>
            <w:r w:rsidRPr="00086971">
              <w:rPr>
                <w:rFonts w:ascii="Arial" w:hAnsi="Arial" w:cs="Arial"/>
                <w:i/>
              </w:rPr>
              <w:t>8.2</w:t>
            </w:r>
          </w:p>
        </w:tc>
        <w:tc>
          <w:tcPr>
            <w:tcW w:w="567" w:type="dxa"/>
          </w:tcPr>
          <w:p w14:paraId="658536F0" w14:textId="77777777" w:rsidR="00962193" w:rsidRPr="00086971" w:rsidRDefault="00962193" w:rsidP="00F22777">
            <w:pPr>
              <w:spacing w:line="276" w:lineRule="auto"/>
              <w:rPr>
                <w:rFonts w:ascii="Arial" w:hAnsi="Arial" w:cs="Arial"/>
                <w:i/>
              </w:rPr>
            </w:pPr>
            <w:r w:rsidRPr="00086971">
              <w:rPr>
                <w:rFonts w:ascii="Arial" w:hAnsi="Arial" w:cs="Arial"/>
                <w:i/>
              </w:rPr>
              <w:t>8.3</w:t>
            </w:r>
          </w:p>
        </w:tc>
        <w:tc>
          <w:tcPr>
            <w:tcW w:w="567" w:type="dxa"/>
          </w:tcPr>
          <w:p w14:paraId="42997E8A" w14:textId="77777777" w:rsidR="00962193" w:rsidRPr="00086971" w:rsidRDefault="00962193" w:rsidP="00F22777">
            <w:pPr>
              <w:spacing w:line="276" w:lineRule="auto"/>
              <w:rPr>
                <w:rFonts w:ascii="Arial" w:hAnsi="Arial" w:cs="Arial"/>
                <w:i/>
              </w:rPr>
            </w:pPr>
            <w:r w:rsidRPr="00086971">
              <w:rPr>
                <w:rFonts w:ascii="Arial" w:hAnsi="Arial" w:cs="Arial"/>
                <w:i/>
              </w:rPr>
              <w:t>8.4</w:t>
            </w:r>
          </w:p>
        </w:tc>
        <w:tc>
          <w:tcPr>
            <w:tcW w:w="567" w:type="dxa"/>
          </w:tcPr>
          <w:p w14:paraId="15984D73" w14:textId="77777777" w:rsidR="00962193" w:rsidRPr="00086971" w:rsidRDefault="00962193" w:rsidP="00F22777">
            <w:pPr>
              <w:spacing w:line="276" w:lineRule="auto"/>
              <w:rPr>
                <w:rFonts w:ascii="Arial" w:hAnsi="Arial" w:cs="Arial"/>
                <w:i/>
              </w:rPr>
            </w:pPr>
            <w:r w:rsidRPr="00086971">
              <w:rPr>
                <w:rFonts w:ascii="Arial" w:hAnsi="Arial" w:cs="Arial"/>
                <w:i/>
              </w:rPr>
              <w:t>8.5</w:t>
            </w:r>
          </w:p>
        </w:tc>
        <w:tc>
          <w:tcPr>
            <w:tcW w:w="567" w:type="dxa"/>
          </w:tcPr>
          <w:p w14:paraId="0EDFFC0A" w14:textId="77777777" w:rsidR="00962193" w:rsidRPr="00086971" w:rsidRDefault="00962193" w:rsidP="00F22777">
            <w:pPr>
              <w:spacing w:line="276" w:lineRule="auto"/>
              <w:rPr>
                <w:rFonts w:ascii="Arial" w:hAnsi="Arial" w:cs="Arial"/>
                <w:i/>
              </w:rPr>
            </w:pPr>
            <w:r w:rsidRPr="00086971">
              <w:rPr>
                <w:rFonts w:ascii="Arial" w:hAnsi="Arial" w:cs="Arial"/>
                <w:i/>
              </w:rPr>
              <w:t>8.6</w:t>
            </w:r>
          </w:p>
        </w:tc>
        <w:tc>
          <w:tcPr>
            <w:tcW w:w="567" w:type="dxa"/>
          </w:tcPr>
          <w:p w14:paraId="41D4B525" w14:textId="77777777" w:rsidR="00962193" w:rsidRPr="00086971" w:rsidRDefault="00962193" w:rsidP="00F22777">
            <w:pPr>
              <w:spacing w:line="276" w:lineRule="auto"/>
              <w:rPr>
                <w:rFonts w:ascii="Arial" w:hAnsi="Arial" w:cs="Arial"/>
                <w:i/>
              </w:rPr>
            </w:pPr>
            <w:r w:rsidRPr="00086971">
              <w:rPr>
                <w:rFonts w:ascii="Arial" w:hAnsi="Arial" w:cs="Arial"/>
                <w:i/>
              </w:rPr>
              <w:t>9.1</w:t>
            </w:r>
          </w:p>
        </w:tc>
        <w:tc>
          <w:tcPr>
            <w:tcW w:w="567" w:type="dxa"/>
          </w:tcPr>
          <w:p w14:paraId="1836180C" w14:textId="77777777" w:rsidR="00962193" w:rsidRPr="00086971" w:rsidRDefault="00962193" w:rsidP="00F22777">
            <w:pPr>
              <w:spacing w:line="276" w:lineRule="auto"/>
              <w:rPr>
                <w:rFonts w:ascii="Arial" w:hAnsi="Arial" w:cs="Arial"/>
                <w:i/>
              </w:rPr>
            </w:pPr>
            <w:r w:rsidRPr="00086971">
              <w:rPr>
                <w:rFonts w:ascii="Arial" w:hAnsi="Arial" w:cs="Arial"/>
                <w:i/>
              </w:rPr>
              <w:t>9.2</w:t>
            </w:r>
          </w:p>
        </w:tc>
        <w:tc>
          <w:tcPr>
            <w:tcW w:w="567" w:type="dxa"/>
          </w:tcPr>
          <w:p w14:paraId="6E454266" w14:textId="77777777" w:rsidR="00962193" w:rsidRPr="00086971" w:rsidRDefault="00962193" w:rsidP="00F22777">
            <w:pPr>
              <w:spacing w:line="276" w:lineRule="auto"/>
              <w:rPr>
                <w:rFonts w:ascii="Arial" w:hAnsi="Arial" w:cs="Arial"/>
                <w:i/>
              </w:rPr>
            </w:pPr>
            <w:r w:rsidRPr="00086971">
              <w:rPr>
                <w:rFonts w:ascii="Arial" w:hAnsi="Arial" w:cs="Arial"/>
                <w:i/>
              </w:rPr>
              <w:t>9.3</w:t>
            </w:r>
          </w:p>
        </w:tc>
        <w:tc>
          <w:tcPr>
            <w:tcW w:w="567" w:type="dxa"/>
          </w:tcPr>
          <w:p w14:paraId="72112C2D" w14:textId="77777777" w:rsidR="00962193" w:rsidRPr="00086971" w:rsidRDefault="00962193" w:rsidP="00F22777">
            <w:pPr>
              <w:spacing w:line="276" w:lineRule="auto"/>
              <w:rPr>
                <w:rFonts w:ascii="Arial" w:hAnsi="Arial" w:cs="Arial"/>
                <w:i/>
              </w:rPr>
            </w:pPr>
            <w:r w:rsidRPr="00086971">
              <w:rPr>
                <w:rFonts w:ascii="Arial" w:hAnsi="Arial" w:cs="Arial"/>
                <w:i/>
              </w:rPr>
              <w:t>9.4</w:t>
            </w:r>
          </w:p>
        </w:tc>
        <w:tc>
          <w:tcPr>
            <w:tcW w:w="567" w:type="dxa"/>
          </w:tcPr>
          <w:p w14:paraId="17D8B48F" w14:textId="77777777" w:rsidR="00962193" w:rsidRPr="00086971" w:rsidRDefault="00962193" w:rsidP="00F22777">
            <w:pPr>
              <w:spacing w:line="276" w:lineRule="auto"/>
              <w:rPr>
                <w:rFonts w:ascii="Arial" w:hAnsi="Arial" w:cs="Arial"/>
                <w:i/>
              </w:rPr>
            </w:pPr>
            <w:r w:rsidRPr="00086971">
              <w:rPr>
                <w:rFonts w:ascii="Arial" w:hAnsi="Arial" w:cs="Arial"/>
                <w:i/>
              </w:rPr>
              <w:t>9.5</w:t>
            </w:r>
          </w:p>
        </w:tc>
      </w:tr>
      <w:tr w:rsidR="00962193" w:rsidRPr="00086971" w14:paraId="5672E09E" w14:textId="77777777" w:rsidTr="00962193">
        <w:tc>
          <w:tcPr>
            <w:tcW w:w="1730" w:type="dxa"/>
            <w:shd w:val="clear" w:color="auto" w:fill="D9D9D9" w:themeFill="background1" w:themeFillShade="D9"/>
          </w:tcPr>
          <w:p w14:paraId="0AEDE734" w14:textId="77777777" w:rsidR="00962193" w:rsidRPr="00086971" w:rsidRDefault="00962193" w:rsidP="00F22777">
            <w:pPr>
              <w:spacing w:line="276" w:lineRule="auto"/>
              <w:rPr>
                <w:rFonts w:ascii="Arial" w:hAnsi="Arial" w:cs="Arial"/>
                <w:b/>
              </w:rPr>
            </w:pPr>
            <w:r w:rsidRPr="00086971">
              <w:rPr>
                <w:rFonts w:ascii="Arial" w:hAnsi="Arial" w:cs="Arial"/>
                <w:b/>
              </w:rPr>
              <w:t>Learning/ teaching method</w:t>
            </w:r>
          </w:p>
        </w:tc>
        <w:tc>
          <w:tcPr>
            <w:tcW w:w="567" w:type="dxa"/>
          </w:tcPr>
          <w:p w14:paraId="0C82193D" w14:textId="77777777" w:rsidR="00962193" w:rsidRPr="00086971" w:rsidRDefault="00962193" w:rsidP="00F22777">
            <w:pPr>
              <w:spacing w:line="276" w:lineRule="auto"/>
              <w:rPr>
                <w:rFonts w:ascii="Arial" w:hAnsi="Arial" w:cs="Arial"/>
                <w:b/>
              </w:rPr>
            </w:pPr>
          </w:p>
        </w:tc>
        <w:tc>
          <w:tcPr>
            <w:tcW w:w="567" w:type="dxa"/>
          </w:tcPr>
          <w:p w14:paraId="760EF82C" w14:textId="77777777" w:rsidR="00962193" w:rsidRPr="00086971" w:rsidRDefault="00962193" w:rsidP="00F22777">
            <w:pPr>
              <w:spacing w:line="276" w:lineRule="auto"/>
              <w:rPr>
                <w:rFonts w:ascii="Arial" w:hAnsi="Arial" w:cs="Arial"/>
                <w:b/>
              </w:rPr>
            </w:pPr>
          </w:p>
        </w:tc>
        <w:tc>
          <w:tcPr>
            <w:tcW w:w="567" w:type="dxa"/>
          </w:tcPr>
          <w:p w14:paraId="3753A6F9" w14:textId="77777777" w:rsidR="00962193" w:rsidRPr="00086971" w:rsidRDefault="00962193" w:rsidP="00F22777">
            <w:pPr>
              <w:spacing w:line="276" w:lineRule="auto"/>
              <w:rPr>
                <w:rFonts w:ascii="Arial" w:hAnsi="Arial" w:cs="Arial"/>
                <w:b/>
              </w:rPr>
            </w:pPr>
          </w:p>
        </w:tc>
        <w:tc>
          <w:tcPr>
            <w:tcW w:w="567" w:type="dxa"/>
          </w:tcPr>
          <w:p w14:paraId="1F396305" w14:textId="77777777" w:rsidR="00962193" w:rsidRPr="00086971" w:rsidRDefault="00962193" w:rsidP="00F22777">
            <w:pPr>
              <w:spacing w:line="276" w:lineRule="auto"/>
              <w:rPr>
                <w:rFonts w:ascii="Arial" w:hAnsi="Arial" w:cs="Arial"/>
                <w:b/>
              </w:rPr>
            </w:pPr>
          </w:p>
        </w:tc>
        <w:tc>
          <w:tcPr>
            <w:tcW w:w="567" w:type="dxa"/>
          </w:tcPr>
          <w:p w14:paraId="77987202" w14:textId="77777777" w:rsidR="00962193" w:rsidRPr="00086971" w:rsidRDefault="00962193" w:rsidP="00F22777">
            <w:pPr>
              <w:spacing w:line="276" w:lineRule="auto"/>
              <w:rPr>
                <w:rFonts w:ascii="Arial" w:hAnsi="Arial" w:cs="Arial"/>
                <w:b/>
              </w:rPr>
            </w:pPr>
          </w:p>
        </w:tc>
        <w:tc>
          <w:tcPr>
            <w:tcW w:w="567" w:type="dxa"/>
          </w:tcPr>
          <w:p w14:paraId="2E5AA399" w14:textId="77777777" w:rsidR="00962193" w:rsidRPr="00086971" w:rsidRDefault="00962193" w:rsidP="00F22777">
            <w:pPr>
              <w:spacing w:line="276" w:lineRule="auto"/>
              <w:rPr>
                <w:rFonts w:ascii="Arial" w:hAnsi="Arial" w:cs="Arial"/>
                <w:b/>
              </w:rPr>
            </w:pPr>
          </w:p>
        </w:tc>
        <w:tc>
          <w:tcPr>
            <w:tcW w:w="567" w:type="dxa"/>
          </w:tcPr>
          <w:p w14:paraId="6642FB92" w14:textId="77777777" w:rsidR="00962193" w:rsidRPr="00086971" w:rsidRDefault="00962193" w:rsidP="00F22777">
            <w:pPr>
              <w:spacing w:line="276" w:lineRule="auto"/>
              <w:rPr>
                <w:rFonts w:ascii="Arial" w:hAnsi="Arial" w:cs="Arial"/>
                <w:b/>
              </w:rPr>
            </w:pPr>
          </w:p>
        </w:tc>
        <w:tc>
          <w:tcPr>
            <w:tcW w:w="567" w:type="dxa"/>
          </w:tcPr>
          <w:p w14:paraId="32BA0BD2" w14:textId="77777777" w:rsidR="00962193" w:rsidRPr="00086971" w:rsidRDefault="00962193" w:rsidP="00F22777">
            <w:pPr>
              <w:spacing w:line="276" w:lineRule="auto"/>
              <w:rPr>
                <w:rFonts w:ascii="Arial" w:hAnsi="Arial" w:cs="Arial"/>
                <w:b/>
              </w:rPr>
            </w:pPr>
          </w:p>
        </w:tc>
        <w:tc>
          <w:tcPr>
            <w:tcW w:w="567" w:type="dxa"/>
          </w:tcPr>
          <w:p w14:paraId="266453D4" w14:textId="77777777" w:rsidR="00962193" w:rsidRPr="00086971" w:rsidRDefault="00962193" w:rsidP="00F22777">
            <w:pPr>
              <w:spacing w:line="276" w:lineRule="auto"/>
              <w:rPr>
                <w:rFonts w:ascii="Arial" w:hAnsi="Arial" w:cs="Arial"/>
                <w:b/>
              </w:rPr>
            </w:pPr>
          </w:p>
        </w:tc>
        <w:tc>
          <w:tcPr>
            <w:tcW w:w="567" w:type="dxa"/>
          </w:tcPr>
          <w:p w14:paraId="71F0AC00" w14:textId="77777777" w:rsidR="00962193" w:rsidRPr="00086971" w:rsidRDefault="00962193" w:rsidP="00F22777">
            <w:pPr>
              <w:spacing w:line="276" w:lineRule="auto"/>
              <w:rPr>
                <w:rFonts w:ascii="Arial" w:hAnsi="Arial" w:cs="Arial"/>
                <w:b/>
              </w:rPr>
            </w:pPr>
          </w:p>
        </w:tc>
        <w:tc>
          <w:tcPr>
            <w:tcW w:w="567" w:type="dxa"/>
          </w:tcPr>
          <w:p w14:paraId="390380D9" w14:textId="77777777" w:rsidR="00962193" w:rsidRPr="00086971" w:rsidRDefault="00962193" w:rsidP="00F22777">
            <w:pPr>
              <w:spacing w:line="276" w:lineRule="auto"/>
              <w:rPr>
                <w:rFonts w:ascii="Arial" w:hAnsi="Arial" w:cs="Arial"/>
                <w:b/>
              </w:rPr>
            </w:pPr>
          </w:p>
        </w:tc>
      </w:tr>
      <w:tr w:rsidR="00962193" w:rsidRPr="00086971" w14:paraId="24ED3F82" w14:textId="77777777" w:rsidTr="00962193">
        <w:tc>
          <w:tcPr>
            <w:tcW w:w="1730" w:type="dxa"/>
          </w:tcPr>
          <w:p w14:paraId="101FFACC" w14:textId="77777777" w:rsidR="00962193" w:rsidRPr="00086971" w:rsidRDefault="00962193" w:rsidP="00F22777">
            <w:pPr>
              <w:spacing w:line="276" w:lineRule="auto"/>
              <w:rPr>
                <w:rFonts w:ascii="Arial" w:hAnsi="Arial" w:cs="Arial"/>
                <w:b/>
              </w:rPr>
            </w:pPr>
            <w:r w:rsidRPr="00086971">
              <w:rPr>
                <w:rFonts w:ascii="Arial" w:hAnsi="Arial" w:cs="Arial"/>
                <w:b/>
              </w:rPr>
              <w:t>Private Study</w:t>
            </w:r>
          </w:p>
        </w:tc>
        <w:tc>
          <w:tcPr>
            <w:tcW w:w="567" w:type="dxa"/>
          </w:tcPr>
          <w:p w14:paraId="31E61A3C"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3892CB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208535C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16E0B0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5AB1584"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F65455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B21F30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074ED8C"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20C9C87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781C1DF9"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9B6CD42"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r w:rsidR="00962193" w:rsidRPr="00086971" w14:paraId="66B21864" w14:textId="77777777" w:rsidTr="00962193">
        <w:tc>
          <w:tcPr>
            <w:tcW w:w="1730" w:type="dxa"/>
          </w:tcPr>
          <w:p w14:paraId="3CAA3299" w14:textId="77777777" w:rsidR="00962193" w:rsidRPr="00086971" w:rsidRDefault="00962193" w:rsidP="00F22777">
            <w:pPr>
              <w:spacing w:line="276" w:lineRule="auto"/>
              <w:rPr>
                <w:rFonts w:ascii="Arial" w:hAnsi="Arial" w:cs="Arial"/>
                <w:i/>
              </w:rPr>
            </w:pPr>
            <w:r w:rsidRPr="00086971">
              <w:rPr>
                <w:rFonts w:ascii="Arial" w:hAnsi="Arial" w:cs="Arial"/>
                <w:i/>
              </w:rPr>
              <w:t>Seminar</w:t>
            </w:r>
          </w:p>
        </w:tc>
        <w:tc>
          <w:tcPr>
            <w:tcW w:w="567" w:type="dxa"/>
          </w:tcPr>
          <w:p w14:paraId="5A79ED34"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28DBD22"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29D81A3"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F834492"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79EA86A1"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53BB66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ED1D7F3"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3565E24"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3667541"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CAD00D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406748C"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r w:rsidR="00962193" w:rsidRPr="00086971" w14:paraId="4645197C" w14:textId="77777777" w:rsidTr="00962193">
        <w:tc>
          <w:tcPr>
            <w:tcW w:w="1730" w:type="dxa"/>
          </w:tcPr>
          <w:p w14:paraId="595EA5FE" w14:textId="77777777" w:rsidR="00962193" w:rsidRPr="00086971" w:rsidRDefault="00962193" w:rsidP="00F22777">
            <w:pPr>
              <w:spacing w:line="276" w:lineRule="auto"/>
              <w:rPr>
                <w:rFonts w:ascii="Arial" w:hAnsi="Arial" w:cs="Arial"/>
                <w:i/>
              </w:rPr>
            </w:pPr>
            <w:r w:rsidRPr="00086971">
              <w:rPr>
                <w:rFonts w:ascii="Arial" w:hAnsi="Arial" w:cs="Arial"/>
                <w:i/>
              </w:rPr>
              <w:t>Archive visit</w:t>
            </w:r>
          </w:p>
        </w:tc>
        <w:tc>
          <w:tcPr>
            <w:tcW w:w="567" w:type="dxa"/>
          </w:tcPr>
          <w:p w14:paraId="349474DE"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E543AEC"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0653425"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58E4311"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DAF8B90"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289E97C"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FCEE92D"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FD446D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DAEFB6E"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5CF06375"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D2457B3"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r w:rsidR="00962193" w:rsidRPr="00086971" w14:paraId="5FD51250" w14:textId="77777777" w:rsidTr="00962193">
        <w:tc>
          <w:tcPr>
            <w:tcW w:w="1730" w:type="dxa"/>
          </w:tcPr>
          <w:p w14:paraId="63EF915F" w14:textId="77777777" w:rsidR="00962193" w:rsidRPr="00086971" w:rsidRDefault="00962193" w:rsidP="00F22777">
            <w:pPr>
              <w:spacing w:line="276" w:lineRule="auto"/>
              <w:rPr>
                <w:rFonts w:ascii="Arial" w:hAnsi="Arial" w:cs="Arial"/>
                <w:i/>
              </w:rPr>
            </w:pPr>
            <w:r w:rsidRPr="00086971">
              <w:rPr>
                <w:rFonts w:ascii="Arial" w:hAnsi="Arial" w:cs="Arial"/>
                <w:i/>
              </w:rPr>
              <w:t>Field Trip</w:t>
            </w:r>
          </w:p>
        </w:tc>
        <w:tc>
          <w:tcPr>
            <w:tcW w:w="567" w:type="dxa"/>
          </w:tcPr>
          <w:p w14:paraId="0021256E"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2A58B9C"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73E99E50"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46B4593"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258F4A5"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29AE020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391C20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59CE844D"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2B6696B"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AF719D9"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4A7437E"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r w:rsidR="00962193" w:rsidRPr="00086971" w14:paraId="18A22DE0" w14:textId="77777777" w:rsidTr="00962193">
        <w:tc>
          <w:tcPr>
            <w:tcW w:w="1730" w:type="dxa"/>
            <w:shd w:val="clear" w:color="auto" w:fill="D9D9D9" w:themeFill="background1" w:themeFillShade="D9"/>
          </w:tcPr>
          <w:p w14:paraId="0C2C633A" w14:textId="77777777" w:rsidR="00962193" w:rsidRPr="00086971" w:rsidRDefault="00962193" w:rsidP="00F22777">
            <w:pPr>
              <w:spacing w:line="276" w:lineRule="auto"/>
              <w:rPr>
                <w:rFonts w:ascii="Arial" w:hAnsi="Arial" w:cs="Arial"/>
                <w:b/>
              </w:rPr>
            </w:pPr>
            <w:r w:rsidRPr="00086971">
              <w:rPr>
                <w:rFonts w:ascii="Arial" w:hAnsi="Arial" w:cs="Arial"/>
                <w:b/>
              </w:rPr>
              <w:t>Assessment method</w:t>
            </w:r>
          </w:p>
        </w:tc>
        <w:tc>
          <w:tcPr>
            <w:tcW w:w="567" w:type="dxa"/>
          </w:tcPr>
          <w:p w14:paraId="5216FFDB" w14:textId="77777777" w:rsidR="00962193" w:rsidRPr="00086971" w:rsidRDefault="00962193" w:rsidP="00F22777">
            <w:pPr>
              <w:spacing w:line="276" w:lineRule="auto"/>
              <w:rPr>
                <w:rFonts w:ascii="Arial" w:hAnsi="Arial" w:cs="Arial"/>
                <w:b/>
              </w:rPr>
            </w:pPr>
          </w:p>
        </w:tc>
        <w:tc>
          <w:tcPr>
            <w:tcW w:w="567" w:type="dxa"/>
          </w:tcPr>
          <w:p w14:paraId="57624E66" w14:textId="77777777" w:rsidR="00962193" w:rsidRPr="00086971" w:rsidRDefault="00962193" w:rsidP="00F22777">
            <w:pPr>
              <w:spacing w:line="276" w:lineRule="auto"/>
              <w:rPr>
                <w:rFonts w:ascii="Arial" w:hAnsi="Arial" w:cs="Arial"/>
                <w:b/>
              </w:rPr>
            </w:pPr>
          </w:p>
        </w:tc>
        <w:tc>
          <w:tcPr>
            <w:tcW w:w="567" w:type="dxa"/>
          </w:tcPr>
          <w:p w14:paraId="716670B9" w14:textId="77777777" w:rsidR="00962193" w:rsidRPr="00086971" w:rsidRDefault="00962193" w:rsidP="00F22777">
            <w:pPr>
              <w:spacing w:line="276" w:lineRule="auto"/>
              <w:rPr>
                <w:rFonts w:ascii="Arial" w:hAnsi="Arial" w:cs="Arial"/>
                <w:b/>
              </w:rPr>
            </w:pPr>
          </w:p>
        </w:tc>
        <w:tc>
          <w:tcPr>
            <w:tcW w:w="567" w:type="dxa"/>
          </w:tcPr>
          <w:p w14:paraId="01FF68F7" w14:textId="77777777" w:rsidR="00962193" w:rsidRPr="00086971" w:rsidRDefault="00962193" w:rsidP="00F22777">
            <w:pPr>
              <w:spacing w:line="276" w:lineRule="auto"/>
              <w:rPr>
                <w:rFonts w:ascii="Arial" w:hAnsi="Arial" w:cs="Arial"/>
                <w:b/>
              </w:rPr>
            </w:pPr>
          </w:p>
        </w:tc>
        <w:tc>
          <w:tcPr>
            <w:tcW w:w="567" w:type="dxa"/>
          </w:tcPr>
          <w:p w14:paraId="3E6A73AB" w14:textId="77777777" w:rsidR="00962193" w:rsidRPr="00086971" w:rsidRDefault="00962193" w:rsidP="00F22777">
            <w:pPr>
              <w:spacing w:line="276" w:lineRule="auto"/>
              <w:rPr>
                <w:rFonts w:ascii="Arial" w:hAnsi="Arial" w:cs="Arial"/>
                <w:b/>
              </w:rPr>
            </w:pPr>
          </w:p>
        </w:tc>
        <w:tc>
          <w:tcPr>
            <w:tcW w:w="567" w:type="dxa"/>
          </w:tcPr>
          <w:p w14:paraId="14E439D9" w14:textId="77777777" w:rsidR="00962193" w:rsidRPr="00086971" w:rsidRDefault="00962193" w:rsidP="00F22777">
            <w:pPr>
              <w:spacing w:line="276" w:lineRule="auto"/>
              <w:rPr>
                <w:rFonts w:ascii="Arial" w:hAnsi="Arial" w:cs="Arial"/>
                <w:b/>
              </w:rPr>
            </w:pPr>
          </w:p>
        </w:tc>
        <w:tc>
          <w:tcPr>
            <w:tcW w:w="567" w:type="dxa"/>
          </w:tcPr>
          <w:p w14:paraId="128BF255" w14:textId="77777777" w:rsidR="00962193" w:rsidRPr="00086971" w:rsidRDefault="00962193" w:rsidP="00F22777">
            <w:pPr>
              <w:spacing w:line="276" w:lineRule="auto"/>
              <w:rPr>
                <w:rFonts w:ascii="Arial" w:hAnsi="Arial" w:cs="Arial"/>
                <w:b/>
              </w:rPr>
            </w:pPr>
          </w:p>
        </w:tc>
        <w:tc>
          <w:tcPr>
            <w:tcW w:w="567" w:type="dxa"/>
          </w:tcPr>
          <w:p w14:paraId="1DDC58B5" w14:textId="77777777" w:rsidR="00962193" w:rsidRPr="00086971" w:rsidRDefault="00962193" w:rsidP="00F22777">
            <w:pPr>
              <w:spacing w:line="276" w:lineRule="auto"/>
              <w:rPr>
                <w:rFonts w:ascii="Arial" w:hAnsi="Arial" w:cs="Arial"/>
                <w:b/>
              </w:rPr>
            </w:pPr>
          </w:p>
        </w:tc>
        <w:tc>
          <w:tcPr>
            <w:tcW w:w="567" w:type="dxa"/>
          </w:tcPr>
          <w:p w14:paraId="2943E994" w14:textId="77777777" w:rsidR="00962193" w:rsidRPr="00086971" w:rsidRDefault="00962193" w:rsidP="00F22777">
            <w:pPr>
              <w:spacing w:line="276" w:lineRule="auto"/>
              <w:rPr>
                <w:rFonts w:ascii="Arial" w:hAnsi="Arial" w:cs="Arial"/>
                <w:b/>
              </w:rPr>
            </w:pPr>
          </w:p>
        </w:tc>
        <w:tc>
          <w:tcPr>
            <w:tcW w:w="567" w:type="dxa"/>
          </w:tcPr>
          <w:p w14:paraId="2D6493BB" w14:textId="77777777" w:rsidR="00962193" w:rsidRPr="00086971" w:rsidRDefault="00962193" w:rsidP="00F22777">
            <w:pPr>
              <w:spacing w:line="276" w:lineRule="auto"/>
              <w:rPr>
                <w:rFonts w:ascii="Arial" w:hAnsi="Arial" w:cs="Arial"/>
                <w:b/>
              </w:rPr>
            </w:pPr>
          </w:p>
        </w:tc>
        <w:tc>
          <w:tcPr>
            <w:tcW w:w="567" w:type="dxa"/>
          </w:tcPr>
          <w:p w14:paraId="068432EC" w14:textId="77777777" w:rsidR="00962193" w:rsidRPr="00086971" w:rsidRDefault="00962193" w:rsidP="00F22777">
            <w:pPr>
              <w:spacing w:line="276" w:lineRule="auto"/>
              <w:rPr>
                <w:rFonts w:ascii="Arial" w:hAnsi="Arial" w:cs="Arial"/>
                <w:b/>
              </w:rPr>
            </w:pPr>
          </w:p>
        </w:tc>
      </w:tr>
      <w:tr w:rsidR="00962193" w:rsidRPr="00086971" w14:paraId="461B9CEA" w14:textId="77777777" w:rsidTr="00962193">
        <w:tc>
          <w:tcPr>
            <w:tcW w:w="1730" w:type="dxa"/>
          </w:tcPr>
          <w:p w14:paraId="20C6AF50" w14:textId="77777777" w:rsidR="00962193" w:rsidRPr="00086971" w:rsidRDefault="00962193" w:rsidP="00F22777">
            <w:pPr>
              <w:spacing w:line="276" w:lineRule="auto"/>
              <w:rPr>
                <w:rFonts w:ascii="Arial" w:hAnsi="Arial" w:cs="Arial"/>
                <w:i/>
              </w:rPr>
            </w:pPr>
            <w:r w:rsidRPr="00086971">
              <w:rPr>
                <w:rFonts w:ascii="Arial" w:hAnsi="Arial" w:cs="Arial"/>
                <w:i/>
              </w:rPr>
              <w:t>Presentation and seminar contribution</w:t>
            </w:r>
          </w:p>
        </w:tc>
        <w:tc>
          <w:tcPr>
            <w:tcW w:w="567" w:type="dxa"/>
          </w:tcPr>
          <w:p w14:paraId="1A0CCF91"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7883A01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CA1F42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C205137"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ED864C1"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E9DF54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CD8D68E"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5ABCCFE"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AE40A1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963B15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097AEDA"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r w:rsidR="00962193" w:rsidRPr="00086971" w14:paraId="7469CC62" w14:textId="77777777" w:rsidTr="00962193">
        <w:tc>
          <w:tcPr>
            <w:tcW w:w="1730" w:type="dxa"/>
          </w:tcPr>
          <w:p w14:paraId="2C5F8DEF" w14:textId="77777777" w:rsidR="00962193" w:rsidRPr="00086971" w:rsidRDefault="00962193" w:rsidP="00F22777">
            <w:pPr>
              <w:spacing w:line="276" w:lineRule="auto"/>
              <w:rPr>
                <w:rFonts w:ascii="Arial" w:hAnsi="Arial" w:cs="Arial"/>
                <w:i/>
              </w:rPr>
            </w:pPr>
            <w:r w:rsidRPr="00086971">
              <w:rPr>
                <w:rFonts w:ascii="Arial" w:hAnsi="Arial" w:cs="Arial"/>
                <w:i/>
              </w:rPr>
              <w:t>Essay</w:t>
            </w:r>
          </w:p>
        </w:tc>
        <w:tc>
          <w:tcPr>
            <w:tcW w:w="567" w:type="dxa"/>
          </w:tcPr>
          <w:p w14:paraId="456BF944"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5A466DB5"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5AEBA7F2"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D96DE09"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FD0C10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68B225B"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2B1E8F4"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5E42C80F"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301C51C"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5F39EF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5E260A66"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r w:rsidR="00962193" w:rsidRPr="00086971" w14:paraId="7BD9BC17" w14:textId="77777777" w:rsidTr="00962193">
        <w:tc>
          <w:tcPr>
            <w:tcW w:w="1730" w:type="dxa"/>
          </w:tcPr>
          <w:p w14:paraId="19D2C9EF" w14:textId="77777777" w:rsidR="00962193" w:rsidRPr="00086971" w:rsidRDefault="00962193" w:rsidP="00F22777">
            <w:pPr>
              <w:spacing w:line="276" w:lineRule="auto"/>
              <w:rPr>
                <w:rFonts w:ascii="Arial" w:hAnsi="Arial" w:cs="Arial"/>
                <w:i/>
              </w:rPr>
            </w:pPr>
            <w:r w:rsidRPr="00086971">
              <w:rPr>
                <w:rFonts w:ascii="Arial" w:hAnsi="Arial" w:cs="Arial"/>
                <w:i/>
              </w:rPr>
              <w:t>Joint presentation</w:t>
            </w:r>
          </w:p>
        </w:tc>
        <w:tc>
          <w:tcPr>
            <w:tcW w:w="567" w:type="dxa"/>
          </w:tcPr>
          <w:p w14:paraId="0CA51018"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3672556"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7102C10"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627710C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CCC1151"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BC1148A"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093DA9E2"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DAAFBF9"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43915420"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39553335" w14:textId="77777777" w:rsidR="00962193" w:rsidRPr="00086971" w:rsidRDefault="00962193" w:rsidP="00F22777">
            <w:pPr>
              <w:spacing w:line="276" w:lineRule="auto"/>
              <w:rPr>
                <w:rFonts w:ascii="Arial" w:hAnsi="Arial" w:cs="Arial"/>
                <w:b/>
              </w:rPr>
            </w:pPr>
            <w:r w:rsidRPr="00086971">
              <w:rPr>
                <w:rFonts w:ascii="Arial" w:hAnsi="Arial" w:cs="Arial"/>
                <w:b/>
              </w:rPr>
              <w:t>X</w:t>
            </w:r>
          </w:p>
        </w:tc>
        <w:tc>
          <w:tcPr>
            <w:tcW w:w="567" w:type="dxa"/>
          </w:tcPr>
          <w:p w14:paraId="149A3B18" w14:textId="77777777" w:rsidR="00962193" w:rsidRPr="00086971" w:rsidRDefault="00962193" w:rsidP="00F22777">
            <w:pPr>
              <w:spacing w:line="276" w:lineRule="auto"/>
              <w:rPr>
                <w:rFonts w:ascii="Arial" w:hAnsi="Arial" w:cs="Arial"/>
                <w:b/>
              </w:rPr>
            </w:pPr>
            <w:r w:rsidRPr="00086971">
              <w:rPr>
                <w:rFonts w:ascii="Arial" w:hAnsi="Arial" w:cs="Arial"/>
                <w:b/>
              </w:rPr>
              <w:t>X</w:t>
            </w:r>
          </w:p>
        </w:tc>
      </w:tr>
    </w:tbl>
    <w:p w14:paraId="154EB701" w14:textId="43A51396" w:rsidR="00962193" w:rsidRDefault="00962193" w:rsidP="00302082">
      <w:pPr>
        <w:spacing w:after="120" w:line="240" w:lineRule="auto"/>
        <w:ind w:left="426" w:right="260"/>
        <w:rPr>
          <w:rFonts w:ascii="Arial" w:hAnsi="Arial" w:cs="Arial"/>
          <w:b/>
          <w:iCs/>
        </w:rPr>
      </w:pPr>
    </w:p>
    <w:p w14:paraId="2EED3590" w14:textId="77777777" w:rsidR="00962193" w:rsidRDefault="00962193" w:rsidP="00302082">
      <w:pPr>
        <w:spacing w:after="120" w:line="240" w:lineRule="auto"/>
        <w:ind w:left="426" w:right="260"/>
        <w:rPr>
          <w:rFonts w:ascii="Arial" w:hAnsi="Arial" w:cs="Arial"/>
          <w:b/>
          <w:iCs/>
        </w:rPr>
      </w:pPr>
    </w:p>
    <w:p w14:paraId="4A34422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DB6E38" w14:textId="04EAFA0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277E4">
        <w:rPr>
          <w:rFonts w:ascii="Arial" w:hAnsi="Arial" w:cs="Arial"/>
        </w:rPr>
        <w:t xml:space="preserve">The </w:t>
      </w:r>
      <w:r w:rsidR="00962193" w:rsidRPr="005277E4">
        <w:rPr>
          <w:rFonts w:ascii="Arial" w:hAnsi="Arial" w:cs="Arial"/>
        </w:rPr>
        <w:t>School</w:t>
      </w:r>
      <w:r w:rsidRPr="005277E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204B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F139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82635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D426C5" w14:textId="77777777" w:rsidR="00096DA4" w:rsidRPr="00302082" w:rsidRDefault="00096DA4" w:rsidP="00302082">
      <w:pPr>
        <w:spacing w:after="120" w:line="240" w:lineRule="auto"/>
        <w:ind w:left="426" w:right="260"/>
        <w:rPr>
          <w:rFonts w:ascii="Arial" w:hAnsi="Arial" w:cs="Arial"/>
          <w:i/>
          <w:iCs/>
        </w:rPr>
      </w:pPr>
    </w:p>
    <w:p w14:paraId="31E018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D1304CA" w14:textId="580D25C5" w:rsidR="009A2D37" w:rsidRPr="005277E4" w:rsidRDefault="005277E4" w:rsidP="00696FF5">
      <w:pPr>
        <w:spacing w:after="120" w:line="240" w:lineRule="auto"/>
        <w:ind w:left="567" w:right="260"/>
        <w:jc w:val="both"/>
        <w:rPr>
          <w:rFonts w:ascii="Arial" w:hAnsi="Arial" w:cs="Arial"/>
          <w:b/>
        </w:rPr>
      </w:pPr>
      <w:r>
        <w:rPr>
          <w:rFonts w:ascii="Arial" w:hAnsi="Arial" w:cs="Arial"/>
        </w:rPr>
        <w:t>Canterbury</w:t>
      </w:r>
    </w:p>
    <w:p w14:paraId="5DABC041" w14:textId="77777777" w:rsidR="009A2D37" w:rsidRDefault="009A2D37" w:rsidP="00302082">
      <w:pPr>
        <w:spacing w:after="120" w:line="240" w:lineRule="auto"/>
        <w:ind w:left="426" w:right="260"/>
        <w:rPr>
          <w:rFonts w:ascii="Arial" w:hAnsi="Arial" w:cs="Arial"/>
          <w:i/>
          <w:iCs/>
        </w:rPr>
      </w:pPr>
    </w:p>
    <w:p w14:paraId="20FB55A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DD0C01" w14:textId="40798674" w:rsidR="00883204" w:rsidRPr="00612B9D" w:rsidRDefault="003B7FB5" w:rsidP="00696FF5">
      <w:pPr>
        <w:autoSpaceDE w:val="0"/>
        <w:autoSpaceDN w:val="0"/>
        <w:adjustRightInd w:val="0"/>
        <w:spacing w:after="120" w:line="240" w:lineRule="auto"/>
        <w:ind w:left="567" w:right="261"/>
        <w:jc w:val="both"/>
        <w:rPr>
          <w:rFonts w:ascii="Arial" w:hAnsi="Arial" w:cs="Arial"/>
          <w:highlight w:val="yellow"/>
        </w:rPr>
      </w:pPr>
      <w:r w:rsidRPr="003B7FB5">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17222F8C" w14:textId="77777777" w:rsidR="00883204" w:rsidRPr="00612B9D" w:rsidRDefault="00883204" w:rsidP="00696FF5">
      <w:pPr>
        <w:spacing w:after="120" w:line="240" w:lineRule="auto"/>
        <w:ind w:left="567" w:right="260"/>
        <w:rPr>
          <w:rFonts w:ascii="Arial" w:hAnsi="Arial" w:cs="Arial"/>
          <w:i/>
          <w:iCs/>
          <w:highlight w:val="yellow"/>
        </w:rPr>
      </w:pPr>
    </w:p>
    <w:p w14:paraId="70BECEDD" w14:textId="77777777" w:rsidR="00922E9E" w:rsidRDefault="00922E9E" w:rsidP="00302082">
      <w:pPr>
        <w:spacing w:after="120" w:line="240" w:lineRule="auto"/>
        <w:ind w:left="426" w:right="260"/>
        <w:rPr>
          <w:rFonts w:ascii="Arial" w:hAnsi="Arial" w:cs="Arial"/>
          <w:i/>
          <w:iCs/>
        </w:rPr>
      </w:pPr>
    </w:p>
    <w:p w14:paraId="1E954082" w14:textId="77777777" w:rsidR="00641D6D" w:rsidRPr="00302082" w:rsidRDefault="00641D6D" w:rsidP="00302082">
      <w:pPr>
        <w:pBdr>
          <w:bottom w:val="single" w:sz="6" w:space="1" w:color="auto"/>
        </w:pBdr>
        <w:spacing w:after="120" w:line="240" w:lineRule="auto"/>
        <w:ind w:right="260"/>
        <w:rPr>
          <w:rFonts w:ascii="Arial" w:hAnsi="Arial" w:cs="Arial"/>
        </w:rPr>
      </w:pPr>
    </w:p>
    <w:p w14:paraId="5ED871C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919BC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1151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1051169" w14:textId="77777777" w:rsidTr="00694309">
        <w:trPr>
          <w:trHeight w:val="317"/>
        </w:trPr>
        <w:tc>
          <w:tcPr>
            <w:tcW w:w="1526" w:type="dxa"/>
          </w:tcPr>
          <w:p w14:paraId="7C78DD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D399C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F58D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BEDE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5D800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8878AA" w14:textId="77777777" w:rsidTr="00694309">
        <w:trPr>
          <w:trHeight w:val="305"/>
        </w:trPr>
        <w:tc>
          <w:tcPr>
            <w:tcW w:w="1526" w:type="dxa"/>
          </w:tcPr>
          <w:p w14:paraId="1A79E1EE" w14:textId="6FFD4217" w:rsidR="00422B69" w:rsidRPr="00302082" w:rsidRDefault="00D50705" w:rsidP="00302082">
            <w:pPr>
              <w:spacing w:after="120"/>
              <w:ind w:right="-330"/>
              <w:rPr>
                <w:rFonts w:ascii="Arial" w:hAnsi="Arial" w:cs="Arial"/>
              </w:rPr>
            </w:pPr>
            <w:r>
              <w:rPr>
                <w:rFonts w:ascii="Arial" w:hAnsi="Arial" w:cs="Arial"/>
              </w:rPr>
              <w:t>08/02/2019</w:t>
            </w:r>
          </w:p>
        </w:tc>
        <w:tc>
          <w:tcPr>
            <w:tcW w:w="1701" w:type="dxa"/>
          </w:tcPr>
          <w:p w14:paraId="50DD39CE" w14:textId="17941ADA" w:rsidR="00422B69" w:rsidRPr="00302082" w:rsidRDefault="00D50705" w:rsidP="00302082">
            <w:pPr>
              <w:spacing w:after="120"/>
              <w:ind w:right="-330"/>
              <w:rPr>
                <w:rFonts w:ascii="Arial" w:hAnsi="Arial" w:cs="Arial"/>
              </w:rPr>
            </w:pPr>
            <w:r>
              <w:rPr>
                <w:rFonts w:ascii="Arial" w:hAnsi="Arial" w:cs="Arial"/>
              </w:rPr>
              <w:t>Minor</w:t>
            </w:r>
          </w:p>
        </w:tc>
        <w:tc>
          <w:tcPr>
            <w:tcW w:w="2410" w:type="dxa"/>
          </w:tcPr>
          <w:p w14:paraId="51FF8594" w14:textId="38C6901C" w:rsidR="00422B69" w:rsidRPr="00302082" w:rsidRDefault="00D50705" w:rsidP="00302082">
            <w:pPr>
              <w:spacing w:after="120"/>
              <w:ind w:right="-330"/>
              <w:rPr>
                <w:rFonts w:ascii="Arial" w:hAnsi="Arial" w:cs="Arial"/>
              </w:rPr>
            </w:pPr>
            <w:r>
              <w:rPr>
                <w:rFonts w:ascii="Arial" w:hAnsi="Arial" w:cs="Arial"/>
              </w:rPr>
              <w:t>September 2019</w:t>
            </w:r>
          </w:p>
        </w:tc>
        <w:tc>
          <w:tcPr>
            <w:tcW w:w="2448" w:type="dxa"/>
          </w:tcPr>
          <w:p w14:paraId="52B44E44" w14:textId="0E4C0E67" w:rsidR="00422B69" w:rsidRPr="00302082" w:rsidRDefault="00D50705" w:rsidP="00302082">
            <w:pPr>
              <w:spacing w:after="120"/>
              <w:ind w:right="-330"/>
              <w:rPr>
                <w:rFonts w:ascii="Arial" w:hAnsi="Arial" w:cs="Arial"/>
              </w:rPr>
            </w:pPr>
            <w:r>
              <w:rPr>
                <w:rFonts w:ascii="Arial" w:hAnsi="Arial" w:cs="Arial"/>
              </w:rPr>
              <w:t>5</w:t>
            </w:r>
          </w:p>
        </w:tc>
        <w:tc>
          <w:tcPr>
            <w:tcW w:w="2597" w:type="dxa"/>
          </w:tcPr>
          <w:p w14:paraId="6A2B55D3" w14:textId="22D45056" w:rsidR="00422B69" w:rsidRPr="00302082" w:rsidRDefault="00D50705" w:rsidP="00302082">
            <w:pPr>
              <w:spacing w:after="120"/>
              <w:ind w:right="-330"/>
              <w:rPr>
                <w:rFonts w:ascii="Arial" w:hAnsi="Arial" w:cs="Arial"/>
              </w:rPr>
            </w:pPr>
            <w:r>
              <w:rPr>
                <w:rFonts w:ascii="Arial" w:hAnsi="Arial" w:cs="Arial"/>
              </w:rPr>
              <w:t>No</w:t>
            </w:r>
          </w:p>
        </w:tc>
      </w:tr>
      <w:tr w:rsidR="00302082" w:rsidRPr="00302082" w14:paraId="0D0B45C1" w14:textId="77777777" w:rsidTr="00694309">
        <w:trPr>
          <w:trHeight w:val="305"/>
        </w:trPr>
        <w:tc>
          <w:tcPr>
            <w:tcW w:w="1526" w:type="dxa"/>
          </w:tcPr>
          <w:p w14:paraId="5D89D2A5" w14:textId="77777777" w:rsidR="00422B69" w:rsidRPr="00302082" w:rsidRDefault="00422B69" w:rsidP="00302082">
            <w:pPr>
              <w:spacing w:after="120"/>
              <w:ind w:right="-330"/>
              <w:rPr>
                <w:rFonts w:ascii="Arial" w:hAnsi="Arial" w:cs="Arial"/>
              </w:rPr>
            </w:pPr>
          </w:p>
        </w:tc>
        <w:tc>
          <w:tcPr>
            <w:tcW w:w="1701" w:type="dxa"/>
          </w:tcPr>
          <w:p w14:paraId="0B62E953" w14:textId="77777777" w:rsidR="00422B69" w:rsidRPr="00302082" w:rsidRDefault="00422B69" w:rsidP="00302082">
            <w:pPr>
              <w:spacing w:after="120"/>
              <w:ind w:right="-330"/>
              <w:rPr>
                <w:rFonts w:ascii="Arial" w:hAnsi="Arial" w:cs="Arial"/>
              </w:rPr>
            </w:pPr>
          </w:p>
        </w:tc>
        <w:tc>
          <w:tcPr>
            <w:tcW w:w="2410" w:type="dxa"/>
          </w:tcPr>
          <w:p w14:paraId="6C9DBF69" w14:textId="77777777" w:rsidR="00422B69" w:rsidRPr="00302082" w:rsidRDefault="00422B69" w:rsidP="00302082">
            <w:pPr>
              <w:spacing w:after="120"/>
              <w:ind w:right="-330"/>
              <w:rPr>
                <w:rFonts w:ascii="Arial" w:hAnsi="Arial" w:cs="Arial"/>
              </w:rPr>
            </w:pPr>
          </w:p>
        </w:tc>
        <w:tc>
          <w:tcPr>
            <w:tcW w:w="2448" w:type="dxa"/>
          </w:tcPr>
          <w:p w14:paraId="7AC50A10" w14:textId="77777777" w:rsidR="00422B69" w:rsidRPr="00302082" w:rsidRDefault="00422B69" w:rsidP="00302082">
            <w:pPr>
              <w:spacing w:after="120"/>
              <w:ind w:right="-330"/>
              <w:rPr>
                <w:rFonts w:ascii="Arial" w:hAnsi="Arial" w:cs="Arial"/>
              </w:rPr>
            </w:pPr>
          </w:p>
        </w:tc>
        <w:tc>
          <w:tcPr>
            <w:tcW w:w="2597" w:type="dxa"/>
          </w:tcPr>
          <w:p w14:paraId="74200FCE" w14:textId="77777777" w:rsidR="00422B69" w:rsidRPr="00302082" w:rsidRDefault="00422B69" w:rsidP="00302082">
            <w:pPr>
              <w:spacing w:after="120"/>
              <w:ind w:right="-330"/>
              <w:rPr>
                <w:rFonts w:ascii="Arial" w:hAnsi="Arial" w:cs="Arial"/>
              </w:rPr>
            </w:pPr>
          </w:p>
        </w:tc>
      </w:tr>
    </w:tbl>
    <w:p w14:paraId="047FB098" w14:textId="77777777" w:rsidR="00D83563" w:rsidRDefault="00D83563" w:rsidP="00302082">
      <w:pPr>
        <w:spacing w:after="120" w:line="240" w:lineRule="auto"/>
        <w:ind w:right="-330"/>
        <w:rPr>
          <w:rFonts w:ascii="Arial" w:hAnsi="Arial" w:cs="Arial"/>
        </w:rPr>
      </w:pPr>
    </w:p>
    <w:p w14:paraId="31A6628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04A4" w14:textId="77777777" w:rsidR="00F22777" w:rsidRDefault="00F22777" w:rsidP="009A2D37">
      <w:pPr>
        <w:spacing w:after="0" w:line="240" w:lineRule="auto"/>
      </w:pPr>
      <w:r>
        <w:separator/>
      </w:r>
    </w:p>
  </w:endnote>
  <w:endnote w:type="continuationSeparator" w:id="0">
    <w:p w14:paraId="736DE428" w14:textId="77777777" w:rsidR="00F22777" w:rsidRDefault="00F22777" w:rsidP="009A2D37">
      <w:pPr>
        <w:spacing w:after="0" w:line="240" w:lineRule="auto"/>
      </w:pPr>
      <w:r>
        <w:continuationSeparator/>
      </w:r>
    </w:p>
  </w:endnote>
  <w:endnote w:type="continuationNotice" w:id="1">
    <w:p w14:paraId="21AA04AF" w14:textId="77777777" w:rsidR="00F22777" w:rsidRDefault="00F22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E38C0C" w14:textId="3032F6BC" w:rsidR="008B2543" w:rsidRDefault="0019787E" w:rsidP="009A2D37">
        <w:pPr>
          <w:pStyle w:val="Footer"/>
          <w:jc w:val="center"/>
        </w:pPr>
        <w:r>
          <w:fldChar w:fldCharType="begin"/>
        </w:r>
        <w:r>
          <w:instrText xml:space="preserve"> PAGE   \* MERGEFORMAT </w:instrText>
        </w:r>
        <w:r>
          <w:fldChar w:fldCharType="separate"/>
        </w:r>
        <w:r w:rsidR="00D50705">
          <w:rPr>
            <w:noProof/>
          </w:rPr>
          <w:t>2</w:t>
        </w:r>
        <w:r>
          <w:rPr>
            <w:noProof/>
          </w:rPr>
          <w:fldChar w:fldCharType="end"/>
        </w:r>
      </w:p>
    </w:sdtContent>
  </w:sdt>
  <w:p w14:paraId="3180695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2AD3" w14:textId="77777777" w:rsidR="00F22777" w:rsidRDefault="00F22777" w:rsidP="009A2D37">
      <w:pPr>
        <w:spacing w:after="0" w:line="240" w:lineRule="auto"/>
      </w:pPr>
      <w:r>
        <w:separator/>
      </w:r>
    </w:p>
  </w:footnote>
  <w:footnote w:type="continuationSeparator" w:id="0">
    <w:p w14:paraId="7C3219D2" w14:textId="77777777" w:rsidR="00F22777" w:rsidRDefault="00F22777" w:rsidP="009A2D37">
      <w:pPr>
        <w:spacing w:after="0" w:line="240" w:lineRule="auto"/>
      </w:pPr>
      <w:r>
        <w:continuationSeparator/>
      </w:r>
    </w:p>
  </w:footnote>
  <w:footnote w:type="continuationNotice" w:id="1">
    <w:p w14:paraId="37FC4DE3" w14:textId="77777777" w:rsidR="00F22777" w:rsidRDefault="00F22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73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BEFBF3" wp14:editId="7DD45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9533F0" w14:textId="77777777" w:rsidR="008B2543" w:rsidRPr="008C00F8" w:rsidRDefault="008B2543" w:rsidP="005E6D38">
    <w:pPr>
      <w:pStyle w:val="Heading1"/>
      <w:spacing w:before="60" w:after="60"/>
      <w:rPr>
        <w:rFonts w:ascii="Arial" w:hAnsi="Arial" w:cs="Arial"/>
      </w:rPr>
    </w:pPr>
  </w:p>
  <w:p w14:paraId="07F65D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1A3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F8A99E" wp14:editId="3F9001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789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03"/>
    <w:rsid w:val="00000C8C"/>
    <w:rsid w:val="000017F2"/>
    <w:rsid w:val="0000456B"/>
    <w:rsid w:val="00005661"/>
    <w:rsid w:val="00010A16"/>
    <w:rsid w:val="0001243F"/>
    <w:rsid w:val="00021EA0"/>
    <w:rsid w:val="00025992"/>
    <w:rsid w:val="00027937"/>
    <w:rsid w:val="00030C9E"/>
    <w:rsid w:val="00031E67"/>
    <w:rsid w:val="000408CC"/>
    <w:rsid w:val="00045373"/>
    <w:rsid w:val="00060E24"/>
    <w:rsid w:val="00063A2F"/>
    <w:rsid w:val="000678D3"/>
    <w:rsid w:val="00094810"/>
    <w:rsid w:val="00096DA4"/>
    <w:rsid w:val="000C0294"/>
    <w:rsid w:val="000C7A1C"/>
    <w:rsid w:val="000D2A8A"/>
    <w:rsid w:val="000D32AC"/>
    <w:rsid w:val="000E20C1"/>
    <w:rsid w:val="000E3B73"/>
    <w:rsid w:val="000F6C56"/>
    <w:rsid w:val="000F7FBF"/>
    <w:rsid w:val="001062CD"/>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4C2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B7FB5"/>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22"/>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7E4"/>
    <w:rsid w:val="0053059E"/>
    <w:rsid w:val="00532F6F"/>
    <w:rsid w:val="00533663"/>
    <w:rsid w:val="005460C2"/>
    <w:rsid w:val="00546F8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38A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19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E7E"/>
    <w:rsid w:val="009E3C0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E03"/>
    <w:rsid w:val="00A97038"/>
    <w:rsid w:val="00AA3C15"/>
    <w:rsid w:val="00AA6330"/>
    <w:rsid w:val="00AC7501"/>
    <w:rsid w:val="00AD748B"/>
    <w:rsid w:val="00AE4865"/>
    <w:rsid w:val="00AF50EE"/>
    <w:rsid w:val="00B0591D"/>
    <w:rsid w:val="00B13402"/>
    <w:rsid w:val="00B14BC2"/>
    <w:rsid w:val="00B17024"/>
    <w:rsid w:val="00B17CD2"/>
    <w:rsid w:val="00B213D2"/>
    <w:rsid w:val="00B239F9"/>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9F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011"/>
    <w:rsid w:val="00CC25A2"/>
    <w:rsid w:val="00CD7F07"/>
    <w:rsid w:val="00CE04F3"/>
    <w:rsid w:val="00CE12D8"/>
    <w:rsid w:val="00CE4574"/>
    <w:rsid w:val="00CE70E6"/>
    <w:rsid w:val="00CF2E1E"/>
    <w:rsid w:val="00D02E99"/>
    <w:rsid w:val="00D13357"/>
    <w:rsid w:val="00D13A13"/>
    <w:rsid w:val="00D2689A"/>
    <w:rsid w:val="00D50705"/>
    <w:rsid w:val="00D618DC"/>
    <w:rsid w:val="00D6486F"/>
    <w:rsid w:val="00D65506"/>
    <w:rsid w:val="00D72E8D"/>
    <w:rsid w:val="00D773CF"/>
    <w:rsid w:val="00D83563"/>
    <w:rsid w:val="00D8448F"/>
    <w:rsid w:val="00DA64B6"/>
    <w:rsid w:val="00DB575F"/>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365"/>
    <w:rsid w:val="00EB1C2D"/>
    <w:rsid w:val="00EC1810"/>
    <w:rsid w:val="00EC3FCC"/>
    <w:rsid w:val="00ED32FF"/>
    <w:rsid w:val="00EF039B"/>
    <w:rsid w:val="00EF4933"/>
    <w:rsid w:val="00EF5044"/>
    <w:rsid w:val="00F01956"/>
    <w:rsid w:val="00F116CE"/>
    <w:rsid w:val="00F176DE"/>
    <w:rsid w:val="00F21C47"/>
    <w:rsid w:val="00F2277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0F83249"/>
  <w15:docId w15:val="{493B2A51-0759-4476-B5A2-09A01BC1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DB0D-344F-444A-93B1-04A5E88BF76F}"/>
</file>

<file path=customXml/itemProps2.xml><?xml version="1.0" encoding="utf-8"?>
<ds:datastoreItem xmlns:ds="http://schemas.openxmlformats.org/officeDocument/2006/customXml" ds:itemID="{F106A6CB-02DB-481B-9167-E3FF08C7FCC3}">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0308B7-97D6-4227-81CF-46E476EA3CEB}">
  <ds:schemaRefs>
    <ds:schemaRef ds:uri="http://schemas.microsoft.com/sharepoint/v3/contenttype/forms"/>
  </ds:schemaRefs>
</ds:datastoreItem>
</file>

<file path=customXml/itemProps4.xml><?xml version="1.0" encoding="utf-8"?>
<ds:datastoreItem xmlns:ds="http://schemas.openxmlformats.org/officeDocument/2006/customXml" ds:itemID="{F0688AB3-0D3B-4735-AB4E-D3B10D369BB9}">
  <ds:schemaRefs>
    <ds:schemaRef ds:uri="http://schemas.microsoft.com/sharepoint/events"/>
  </ds:schemaRefs>
</ds:datastoreItem>
</file>

<file path=customXml/itemProps5.xml><?xml version="1.0" encoding="utf-8"?>
<ds:datastoreItem xmlns:ds="http://schemas.openxmlformats.org/officeDocument/2006/customXml" ds:itemID="{46E580C3-D692-42D6-9661-46DABAD0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Rosalind Rowe</cp:lastModifiedBy>
  <cp:revision>2</cp:revision>
  <cp:lastPrinted>2015-09-09T08:37:00Z</cp:lastPrinted>
  <dcterms:created xsi:type="dcterms:W3CDTF">2019-02-08T14:49:00Z</dcterms:created>
  <dcterms:modified xsi:type="dcterms:W3CDTF">2019-02-08T14:49:00Z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c5562e10-8dc7-4adf-9862-548bfaf20bb0</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