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14" w:rsidRPr="00302082" w:rsidRDefault="00A77C14"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A77C14" w:rsidP="00154D48">
      <w:pPr>
        <w:spacing w:after="120" w:line="240" w:lineRule="auto"/>
        <w:ind w:left="567" w:right="260"/>
        <w:jc w:val="both"/>
        <w:rPr>
          <w:rFonts w:ascii="Arial" w:hAnsi="Arial" w:cs="Arial"/>
        </w:rPr>
      </w:pPr>
      <w:r w:rsidRPr="00A77C14">
        <w:rPr>
          <w:rFonts w:ascii="Arial" w:hAnsi="Arial" w:cs="Arial"/>
        </w:rPr>
        <w:t>Gandhi: Myth of the Mahatma, 1893-1948</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A77C14" w:rsidP="00154D48">
      <w:pPr>
        <w:spacing w:after="120" w:line="240" w:lineRule="auto"/>
        <w:ind w:left="567" w:right="260"/>
        <w:rPr>
          <w:rFonts w:ascii="Arial" w:hAnsi="Arial" w:cs="Arial"/>
          <w:iCs/>
        </w:rPr>
      </w:pPr>
      <w:r>
        <w:rPr>
          <w:rFonts w:ascii="Arial" w:hAnsi="Arial" w:cs="Arial"/>
          <w:iCs/>
        </w:rPr>
        <w:t>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A77C14"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A77C14" w:rsidP="00154D48">
      <w:pPr>
        <w:spacing w:after="120" w:line="240" w:lineRule="auto"/>
        <w:ind w:left="567" w:right="260"/>
        <w:rPr>
          <w:rFonts w:ascii="Arial" w:hAnsi="Arial" w:cs="Arial"/>
        </w:rPr>
      </w:pPr>
      <w:r>
        <w:rPr>
          <w:rFonts w:ascii="Arial" w:hAnsi="Arial" w:cs="Arial"/>
        </w:rPr>
        <w:t>60 credits (30ECTS)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A77C14"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A77C14"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A77C14" w:rsidP="00154D48">
      <w:pPr>
        <w:spacing w:after="120" w:line="240" w:lineRule="auto"/>
        <w:ind w:left="567" w:right="260"/>
        <w:rPr>
          <w:rFonts w:ascii="Arial" w:hAnsi="Arial" w:cs="Arial"/>
          <w:iCs/>
        </w:rPr>
      </w:pPr>
      <w:r w:rsidRPr="00A77C14">
        <w:rPr>
          <w:rFonts w:ascii="Arial" w:hAnsi="Arial" w:cs="Arial"/>
          <w:iCs/>
        </w:rPr>
        <w:t>BA History (Joint and Single Honours)</w:t>
      </w:r>
      <w:r>
        <w:rPr>
          <w:rFonts w:ascii="Arial" w:hAnsi="Arial" w:cs="Arial"/>
          <w:iCs/>
        </w:rPr>
        <w:t>; BA Military History</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77C14" w:rsidRPr="00A77C14" w:rsidRDefault="00A77C14" w:rsidP="00A77C14">
      <w:pPr>
        <w:spacing w:after="120" w:line="240" w:lineRule="auto"/>
        <w:ind w:left="567" w:right="260"/>
        <w:rPr>
          <w:rFonts w:ascii="Arial" w:hAnsi="Arial" w:cs="Arial"/>
        </w:rPr>
      </w:pPr>
      <w:r w:rsidRPr="00A77C14">
        <w:rPr>
          <w:rFonts w:ascii="Arial" w:hAnsi="Arial" w:cs="Arial"/>
        </w:rPr>
        <w:t xml:space="preserve">8.1 </w:t>
      </w:r>
      <w:r w:rsidRPr="00A77C14">
        <w:rPr>
          <w:rFonts w:ascii="Arial" w:hAnsi="Arial" w:cs="Arial"/>
        </w:rPr>
        <w:tab/>
        <w:t xml:space="preserve">Demonstrate a systematic understanding of British Imperial History and a detailed knowledge of political, economic social and cultural milieu in colonial South Asia and Southern Africa. </w:t>
      </w:r>
    </w:p>
    <w:p w:rsidR="00A77C14" w:rsidRPr="00A77C14" w:rsidRDefault="00A77C14" w:rsidP="00A77C14">
      <w:pPr>
        <w:spacing w:after="120" w:line="240" w:lineRule="auto"/>
        <w:ind w:left="567" w:right="260"/>
        <w:rPr>
          <w:rFonts w:ascii="Arial" w:hAnsi="Arial" w:cs="Arial"/>
        </w:rPr>
      </w:pPr>
      <w:r w:rsidRPr="00A77C14">
        <w:rPr>
          <w:rFonts w:ascii="Arial" w:hAnsi="Arial" w:cs="Arial"/>
        </w:rPr>
        <w:t>8.2</w:t>
      </w:r>
      <w:r w:rsidRPr="00A77C14">
        <w:rPr>
          <w:rFonts w:ascii="Arial" w:hAnsi="Arial" w:cs="Arial"/>
        </w:rPr>
        <w:tab/>
        <w:t xml:space="preserve">Accurately deploy a variety of methodological techniques in the analysis of a range of written documents and visual evidence from 19th and 20th centuries, but also appreciate the limitations and ambiguity of this evidence and issues pertaining to ‘colonial archive’. </w:t>
      </w:r>
    </w:p>
    <w:p w:rsidR="00A77C14" w:rsidRPr="00A77C14" w:rsidRDefault="00A77C14" w:rsidP="00A77C14">
      <w:pPr>
        <w:spacing w:after="120" w:line="240" w:lineRule="auto"/>
        <w:ind w:left="567" w:right="260"/>
        <w:rPr>
          <w:rFonts w:ascii="Arial" w:hAnsi="Arial" w:cs="Arial"/>
        </w:rPr>
      </w:pPr>
      <w:r w:rsidRPr="00A77C14">
        <w:rPr>
          <w:rFonts w:ascii="Arial" w:hAnsi="Arial" w:cs="Arial"/>
        </w:rPr>
        <w:t>8.3</w:t>
      </w:r>
      <w:r w:rsidRPr="00A77C14">
        <w:rPr>
          <w:rFonts w:ascii="Arial" w:hAnsi="Arial" w:cs="Arial"/>
        </w:rPr>
        <w:tab/>
        <w:t xml:space="preserve">Demonstrate a critical awareness of the problems and possibilities of studying imperial history, particularly in comparative spatial framework. </w:t>
      </w:r>
    </w:p>
    <w:p w:rsidR="00273CF0" w:rsidRPr="00154D48" w:rsidRDefault="00A77C14" w:rsidP="00A77C14">
      <w:pPr>
        <w:spacing w:after="120" w:line="240" w:lineRule="auto"/>
        <w:ind w:left="567" w:right="260"/>
        <w:rPr>
          <w:rFonts w:ascii="Arial" w:hAnsi="Arial" w:cs="Arial"/>
        </w:rPr>
      </w:pPr>
      <w:r w:rsidRPr="00A77C14">
        <w:rPr>
          <w:rFonts w:ascii="Arial" w:hAnsi="Arial" w:cs="Arial"/>
        </w:rPr>
        <w:t>8.4</w:t>
      </w:r>
      <w:r w:rsidRPr="00A77C14">
        <w:rPr>
          <w:rFonts w:ascii="Arial" w:hAnsi="Arial" w:cs="Arial"/>
        </w:rPr>
        <w:tab/>
        <w:t xml:space="preserve">Critically evaluate historiographical notions of Colonialism, Imperialism, Nationalism, </w:t>
      </w:r>
      <w:proofErr w:type="gramStart"/>
      <w:r w:rsidRPr="00A77C14">
        <w:rPr>
          <w:rFonts w:ascii="Arial" w:hAnsi="Arial" w:cs="Arial"/>
        </w:rPr>
        <w:t>Sovereignty</w:t>
      </w:r>
      <w:proofErr w:type="gramEnd"/>
      <w:r w:rsidRPr="00A77C14">
        <w:rPr>
          <w:rFonts w:ascii="Arial" w:hAnsi="Arial" w:cs="Arial"/>
        </w:rPr>
        <w:t xml:space="preserve"> and describe how these contribute to an overall assessment of imperial history in 19th and 20th century.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77C14" w:rsidRPr="00A77C14" w:rsidRDefault="00A77C14" w:rsidP="00A77C14">
      <w:pPr>
        <w:pStyle w:val="Default"/>
        <w:spacing w:after="120"/>
        <w:ind w:left="567" w:right="260"/>
        <w:rPr>
          <w:color w:val="auto"/>
          <w:sz w:val="22"/>
          <w:szCs w:val="22"/>
        </w:rPr>
      </w:pPr>
      <w:r w:rsidRPr="00A77C14">
        <w:rPr>
          <w:color w:val="auto"/>
          <w:sz w:val="22"/>
          <w:szCs w:val="22"/>
        </w:rPr>
        <w:t>9.1</w:t>
      </w:r>
      <w:r w:rsidRPr="00A77C14">
        <w:rPr>
          <w:color w:val="auto"/>
          <w:sz w:val="22"/>
          <w:szCs w:val="22"/>
        </w:rPr>
        <w:tab/>
        <w:t xml:space="preserve">Formulate detailed arguments based on critical evaluation of scholarly reviews and primary sources, and then communicate </w:t>
      </w:r>
      <w:r w:rsidR="00383BA4">
        <w:rPr>
          <w:color w:val="262626"/>
          <w:sz w:val="21"/>
          <w:szCs w:val="21"/>
          <w:shd w:val="clear" w:color="auto" w:fill="FFFFFF"/>
        </w:rPr>
        <w:t>effectively to a variety of audiences and/or using a variety of methods</w:t>
      </w:r>
      <w:r w:rsidRPr="00A77C14">
        <w:rPr>
          <w:color w:val="auto"/>
          <w:sz w:val="22"/>
          <w:szCs w:val="22"/>
        </w:rPr>
        <w:t>.</w:t>
      </w:r>
    </w:p>
    <w:p w:rsidR="00A77C14" w:rsidRPr="00A77C14" w:rsidRDefault="00A77C14" w:rsidP="00A77C14">
      <w:pPr>
        <w:pStyle w:val="Default"/>
        <w:spacing w:after="120"/>
        <w:ind w:left="567" w:right="260"/>
        <w:rPr>
          <w:color w:val="auto"/>
          <w:sz w:val="22"/>
          <w:szCs w:val="22"/>
        </w:rPr>
      </w:pPr>
      <w:r w:rsidRPr="00A77C14">
        <w:rPr>
          <w:color w:val="auto"/>
          <w:sz w:val="22"/>
          <w:szCs w:val="22"/>
        </w:rPr>
        <w:lastRenderedPageBreak/>
        <w:t>9.2</w:t>
      </w:r>
      <w:r w:rsidRPr="00A77C14">
        <w:rPr>
          <w:color w:val="auto"/>
          <w:sz w:val="22"/>
          <w:szCs w:val="22"/>
        </w:rPr>
        <w:tab/>
        <w:t>Manage their own learning and exercise both initiative and personal responsibility by identifying the most relevant research materials and carrying out substantial independent research.</w:t>
      </w:r>
    </w:p>
    <w:p w:rsidR="00A77C14" w:rsidRPr="00A77C14" w:rsidRDefault="00A77C14" w:rsidP="00A77C14">
      <w:pPr>
        <w:pStyle w:val="Default"/>
        <w:spacing w:after="120"/>
        <w:ind w:left="567" w:right="260"/>
        <w:rPr>
          <w:color w:val="auto"/>
          <w:sz w:val="22"/>
          <w:szCs w:val="22"/>
        </w:rPr>
      </w:pPr>
      <w:r w:rsidRPr="00A77C14">
        <w:rPr>
          <w:color w:val="auto"/>
          <w:sz w:val="22"/>
          <w:szCs w:val="22"/>
        </w:rPr>
        <w:t>9.3</w:t>
      </w:r>
      <w:r w:rsidRPr="00A77C14">
        <w:rPr>
          <w:color w:val="auto"/>
          <w:sz w:val="22"/>
          <w:szCs w:val="22"/>
        </w:rPr>
        <w:tab/>
        <w:t>Identify a range of solutions involving different types of evidence and abstract concepts in order to make decisions about complex problems in a variety of contexts.</w:t>
      </w:r>
    </w:p>
    <w:p w:rsidR="00A77C14" w:rsidRPr="00A77C14" w:rsidRDefault="00A77C14" w:rsidP="00A77C14">
      <w:pPr>
        <w:pStyle w:val="Default"/>
        <w:spacing w:after="120"/>
        <w:ind w:left="567" w:right="260"/>
        <w:rPr>
          <w:color w:val="auto"/>
          <w:sz w:val="22"/>
          <w:szCs w:val="22"/>
        </w:rPr>
      </w:pPr>
      <w:r w:rsidRPr="00A77C14">
        <w:rPr>
          <w:color w:val="auto"/>
          <w:sz w:val="22"/>
          <w:szCs w:val="22"/>
        </w:rPr>
        <w:t>9.4</w:t>
      </w:r>
      <w:r w:rsidRPr="00A77C14">
        <w:rPr>
          <w:color w:val="auto"/>
          <w:sz w:val="22"/>
          <w:szCs w:val="22"/>
        </w:rPr>
        <w:tab/>
        <w:t>Analyse and assimilate large quantities of data at a high level which enables them to undertake appropriate further training of a professional or equivalent nature.</w:t>
      </w:r>
    </w:p>
    <w:p w:rsidR="009A2D37" w:rsidRDefault="00A77C14" w:rsidP="00A77C14">
      <w:pPr>
        <w:pStyle w:val="Default"/>
        <w:spacing w:after="120"/>
        <w:ind w:left="567" w:right="260"/>
        <w:rPr>
          <w:color w:val="auto"/>
          <w:sz w:val="22"/>
          <w:szCs w:val="22"/>
        </w:rPr>
      </w:pPr>
      <w:r w:rsidRPr="00A77C14">
        <w:rPr>
          <w:color w:val="auto"/>
          <w:sz w:val="22"/>
          <w:szCs w:val="22"/>
        </w:rPr>
        <w:t>9.5</w:t>
      </w:r>
      <w:r w:rsidRPr="00A77C14">
        <w:rPr>
          <w:color w:val="auto"/>
          <w:sz w:val="22"/>
          <w:szCs w:val="22"/>
        </w:rPr>
        <w:tab/>
        <w:t>Demonstrate an awareness of the importance of communicating historical research and understanding to non-specialist audiences and the wider public.</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 xml:space="preserve">This module will address the dynamic interactions between the British Empire and arguably its most significant colony India by examining the political life of Mohandas </w:t>
      </w:r>
      <w:proofErr w:type="spellStart"/>
      <w:r w:rsidRPr="00A77C14">
        <w:rPr>
          <w:rFonts w:ascii="Arial" w:hAnsi="Arial" w:cs="Arial"/>
          <w:iCs/>
        </w:rPr>
        <w:t>Karamchand</w:t>
      </w:r>
      <w:proofErr w:type="spellEnd"/>
      <w:r w:rsidRPr="00A77C14">
        <w:rPr>
          <w:rFonts w:ascii="Arial" w:hAnsi="Arial" w:cs="Arial"/>
          <w:iCs/>
        </w:rPr>
        <w:t xml:space="preserve"> Gandhi, popularly known as the Mahatma (the great soul). </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 xml:space="preserve">The focus on Gandhi, often considered as the person who successfully commanded the nationalist movement against the British Raj will allow an exploration the history of the politics of anti-colonial movement in the British Empire, especially around issues of colonial control; role of violence; citizenship; subject hood and sovereignty. More specifically, as M.K. Gandhi spent a significant amount of time in London – the metropole as well as in South Africa – a white settler colony; an investigation of his political life will provide productive ways to engage with the British Empire beyond South Asia. A comparative framework including the metropole and different kinds of colonies also has the vantage of underlining the ways in which imperial/anti-imperial politics was shaped by forces (intellectual, socio-cultural) more complex and nuanced than perhaps hitherto assumed. </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 xml:space="preserve">In the first term the module will introduce students to British Imperial history, with a focus on colonisation of South Asia and Southern Africa. Themes discussed in the seminars will include, but not limited to: East India Companies and settlement of India and Southern Africa; imperial networks (people; commodities, ideas. administrators) between India, Southern Africa and Britain; M.K. Gandhi in London and his life and experiences in South Africa; Boer Wars and the beginnings of anti-colonial movement in India. </w:t>
      </w:r>
    </w:p>
    <w:p w:rsidR="009A2D37" w:rsidRPr="00154D48" w:rsidRDefault="00A77C14" w:rsidP="00A77C14">
      <w:pPr>
        <w:spacing w:after="120" w:line="240" w:lineRule="auto"/>
        <w:ind w:left="567" w:right="260"/>
        <w:rPr>
          <w:rFonts w:ascii="Arial" w:hAnsi="Arial" w:cs="Arial"/>
          <w:iCs/>
        </w:rPr>
      </w:pPr>
      <w:r w:rsidRPr="00A77C14">
        <w:rPr>
          <w:rFonts w:ascii="Arial" w:hAnsi="Arial" w:cs="Arial"/>
          <w:iCs/>
        </w:rPr>
        <w:t>In the second term, the module will look at how M.K. Gandhi developed his political strategies, especially ideas of non-violent civil disobedience and Satyagraha; major Gandhi lead anti-colonial mass movements in India; Gandhi’s engagement with imperial politics in terms of Round Table Conferences and visits to UK and India’s independence and partition. These themes will also explore the ways in which the politics of M.K. Gandhi was imbricated with his personality and its consequent dissonances which continue to reverberate even today.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M.K. Gandhi, Hind </w:t>
      </w:r>
      <w:proofErr w:type="spellStart"/>
      <w:r w:rsidRPr="00A77C14">
        <w:rPr>
          <w:rFonts w:ascii="Arial" w:hAnsi="Arial" w:cs="Arial"/>
        </w:rPr>
        <w:t>Swaraj</w:t>
      </w:r>
      <w:proofErr w:type="spellEnd"/>
      <w:r w:rsidRPr="00A77C14">
        <w:rPr>
          <w:rFonts w:ascii="Arial" w:hAnsi="Arial" w:cs="Arial"/>
        </w:rPr>
        <w:t xml:space="preserve"> or Indian Home Rule (Ahmedabad, 1909)</w:t>
      </w:r>
    </w:p>
    <w:p w:rsidR="00A77C14" w:rsidRPr="00A77C14" w:rsidRDefault="00A77C14" w:rsidP="00A77C14">
      <w:pPr>
        <w:spacing w:after="120" w:line="240" w:lineRule="auto"/>
        <w:ind w:right="260" w:firstLine="567"/>
        <w:jc w:val="both"/>
        <w:rPr>
          <w:rFonts w:ascii="Arial" w:hAnsi="Arial" w:cs="Arial"/>
        </w:rPr>
      </w:pPr>
      <w:r>
        <w:rPr>
          <w:rFonts w:ascii="Arial" w:hAnsi="Arial" w:cs="Arial"/>
        </w:rPr>
        <w:t>M</w:t>
      </w:r>
      <w:r w:rsidRPr="00A77C14">
        <w:rPr>
          <w:rFonts w:ascii="Arial" w:hAnsi="Arial" w:cs="Arial"/>
        </w:rPr>
        <w:t>.K. Gandhi, The Story of my experiments with truth (Ahmedabad, 1927)</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M.K. Gandhi, </w:t>
      </w:r>
      <w:proofErr w:type="gramStart"/>
      <w:r w:rsidRPr="00A77C14">
        <w:rPr>
          <w:rFonts w:ascii="Arial" w:hAnsi="Arial" w:cs="Arial"/>
        </w:rPr>
        <w:t>The</w:t>
      </w:r>
      <w:proofErr w:type="gramEnd"/>
      <w:r w:rsidRPr="00A77C14">
        <w:rPr>
          <w:rFonts w:ascii="Arial" w:hAnsi="Arial" w:cs="Arial"/>
        </w:rPr>
        <w:t xml:space="preserve"> Collected Works of Mahatma Gandhi [Relevant Volumes] (New Delhi, 1960)</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M.K. Gandhi, Satyagraha in South Africa (Ahmedabad, 1928) </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R. </w:t>
      </w:r>
      <w:proofErr w:type="spellStart"/>
      <w:r w:rsidRPr="00A77C14">
        <w:rPr>
          <w:rFonts w:ascii="Arial" w:hAnsi="Arial" w:cs="Arial"/>
        </w:rPr>
        <w:t>Guha</w:t>
      </w:r>
      <w:proofErr w:type="spellEnd"/>
      <w:r w:rsidRPr="00A77C14">
        <w:rPr>
          <w:rFonts w:ascii="Arial" w:hAnsi="Arial" w:cs="Arial"/>
        </w:rPr>
        <w:t>, Gandhi, 1914-1948: The Years that Changed the World (New York, 2018)</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R. </w:t>
      </w:r>
      <w:proofErr w:type="spellStart"/>
      <w:r w:rsidRPr="00A77C14">
        <w:rPr>
          <w:rFonts w:ascii="Arial" w:hAnsi="Arial" w:cs="Arial"/>
        </w:rPr>
        <w:t>Guha</w:t>
      </w:r>
      <w:proofErr w:type="spellEnd"/>
      <w:r w:rsidRPr="00A77C14">
        <w:rPr>
          <w:rFonts w:ascii="Arial" w:hAnsi="Arial" w:cs="Arial"/>
        </w:rPr>
        <w:t xml:space="preserve">, Gandhi </w:t>
      </w:r>
      <w:proofErr w:type="gramStart"/>
      <w:r w:rsidRPr="00A77C14">
        <w:rPr>
          <w:rFonts w:ascii="Arial" w:hAnsi="Arial" w:cs="Arial"/>
        </w:rPr>
        <w:t>Before</w:t>
      </w:r>
      <w:proofErr w:type="gramEnd"/>
      <w:r w:rsidRPr="00A77C14">
        <w:rPr>
          <w:rFonts w:ascii="Arial" w:hAnsi="Arial" w:cs="Arial"/>
        </w:rPr>
        <w:t xml:space="preserve"> India (New York, 2014)</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J. Brown, Gandhi: Prisoner of Hope (Yale, 1990) </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lastRenderedPageBreak/>
        <w:t xml:space="preserve">N. R. </w:t>
      </w:r>
      <w:proofErr w:type="spellStart"/>
      <w:r w:rsidRPr="00A77C14">
        <w:rPr>
          <w:rFonts w:ascii="Arial" w:hAnsi="Arial" w:cs="Arial"/>
        </w:rPr>
        <w:t>Godse</w:t>
      </w:r>
      <w:proofErr w:type="spellEnd"/>
      <w:r w:rsidRPr="00A77C14">
        <w:rPr>
          <w:rFonts w:ascii="Arial" w:hAnsi="Arial" w:cs="Arial"/>
        </w:rPr>
        <w:t>, Why I assassinated Gandhi (Delhi, 2016)</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Desai and G. </w:t>
      </w:r>
      <w:proofErr w:type="spellStart"/>
      <w:r w:rsidRPr="00A77C14">
        <w:rPr>
          <w:rFonts w:ascii="Arial" w:hAnsi="Arial" w:cs="Arial"/>
        </w:rPr>
        <w:t>Vahed</w:t>
      </w:r>
      <w:proofErr w:type="spellEnd"/>
      <w:r w:rsidRPr="00A77C14">
        <w:rPr>
          <w:rFonts w:ascii="Arial" w:hAnsi="Arial" w:cs="Arial"/>
        </w:rPr>
        <w:t xml:space="preserve"> (Ed), </w:t>
      </w:r>
      <w:proofErr w:type="gramStart"/>
      <w:r w:rsidRPr="00A77C14">
        <w:rPr>
          <w:rFonts w:ascii="Arial" w:hAnsi="Arial" w:cs="Arial"/>
        </w:rPr>
        <w:t>The</w:t>
      </w:r>
      <w:proofErr w:type="gramEnd"/>
      <w:r w:rsidRPr="00A77C14">
        <w:rPr>
          <w:rFonts w:ascii="Arial" w:hAnsi="Arial" w:cs="Arial"/>
        </w:rPr>
        <w:t xml:space="preserve"> South African Gandhi: Stretcher Bearer of Empire (Stanford, 2015) </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F. </w:t>
      </w:r>
      <w:proofErr w:type="spellStart"/>
      <w:r w:rsidRPr="00A77C14">
        <w:rPr>
          <w:rFonts w:ascii="Arial" w:hAnsi="Arial" w:cs="Arial"/>
        </w:rPr>
        <w:t>Devji</w:t>
      </w:r>
      <w:proofErr w:type="spellEnd"/>
      <w:r w:rsidRPr="00A77C14">
        <w:rPr>
          <w:rFonts w:ascii="Arial" w:hAnsi="Arial" w:cs="Arial"/>
        </w:rPr>
        <w:t xml:space="preserve">, </w:t>
      </w:r>
      <w:proofErr w:type="gramStart"/>
      <w:r w:rsidRPr="00A77C14">
        <w:rPr>
          <w:rFonts w:ascii="Arial" w:hAnsi="Arial" w:cs="Arial"/>
        </w:rPr>
        <w:t>The</w:t>
      </w:r>
      <w:proofErr w:type="gramEnd"/>
      <w:r w:rsidRPr="00A77C14">
        <w:rPr>
          <w:rFonts w:ascii="Arial" w:hAnsi="Arial" w:cs="Arial"/>
        </w:rPr>
        <w:t xml:space="preserve"> Impossible Indian: Gandhi and the Temptation of Violence (Harvard, 2012) </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J. </w:t>
      </w:r>
      <w:proofErr w:type="spellStart"/>
      <w:r w:rsidRPr="00A77C14">
        <w:rPr>
          <w:rFonts w:ascii="Arial" w:hAnsi="Arial" w:cs="Arial"/>
        </w:rPr>
        <w:t>Lelyveld</w:t>
      </w:r>
      <w:proofErr w:type="spellEnd"/>
      <w:r w:rsidRPr="00A77C14">
        <w:rPr>
          <w:rFonts w:ascii="Arial" w:hAnsi="Arial" w:cs="Arial"/>
        </w:rPr>
        <w:t xml:space="preserve">, Great Soul: Mahatma Gandhi and His Struggle with India (London, 2012) </w:t>
      </w:r>
    </w:p>
    <w:p w:rsidR="00A77C14" w:rsidRPr="00A77C14" w:rsidRDefault="00A77C14" w:rsidP="00A77C14">
      <w:pPr>
        <w:spacing w:after="120" w:line="240" w:lineRule="auto"/>
        <w:ind w:right="260" w:firstLine="567"/>
        <w:jc w:val="both"/>
        <w:rPr>
          <w:rFonts w:ascii="Arial" w:hAnsi="Arial" w:cs="Arial"/>
        </w:rPr>
      </w:pPr>
      <w:r w:rsidRPr="00A77C14">
        <w:rPr>
          <w:rFonts w:ascii="Arial" w:hAnsi="Arial" w:cs="Arial"/>
        </w:rPr>
        <w:t xml:space="preserve">A, </w:t>
      </w:r>
      <w:proofErr w:type="spellStart"/>
      <w:r w:rsidRPr="00A77C14">
        <w:rPr>
          <w:rFonts w:ascii="Arial" w:hAnsi="Arial" w:cs="Arial"/>
        </w:rPr>
        <w:t>Nandy</w:t>
      </w:r>
      <w:proofErr w:type="spellEnd"/>
      <w:r w:rsidRPr="00A77C14">
        <w:rPr>
          <w:rFonts w:ascii="Arial" w:hAnsi="Arial" w:cs="Arial"/>
        </w:rPr>
        <w:t>, At the Edge of Psychology: Essays in Politics and Culture (Oxford; New Delhi, 1991)</w:t>
      </w:r>
    </w:p>
    <w:p w:rsidR="009A2D37" w:rsidRPr="00A77C14" w:rsidRDefault="00A77C14" w:rsidP="00A77C14">
      <w:pPr>
        <w:spacing w:after="120" w:line="240" w:lineRule="auto"/>
        <w:ind w:right="260" w:firstLine="567"/>
        <w:jc w:val="both"/>
        <w:rPr>
          <w:rFonts w:ascii="Arial" w:hAnsi="Arial" w:cs="Arial"/>
        </w:rPr>
      </w:pPr>
      <w:r w:rsidRPr="00A77C14">
        <w:rPr>
          <w:rFonts w:ascii="Arial" w:hAnsi="Arial" w:cs="Arial"/>
        </w:rPr>
        <w:t>D. Arnold, Gandhi: Profiles in Power (London, 2001).</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 xml:space="preserve">Total contact hours: 60 </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 xml:space="preserve">Private study hours: 540 </w:t>
      </w:r>
    </w:p>
    <w:p w:rsidR="009A2D37" w:rsidRPr="00154D48" w:rsidRDefault="00A77C14" w:rsidP="00A77C14">
      <w:pPr>
        <w:spacing w:after="120" w:line="240" w:lineRule="auto"/>
        <w:ind w:left="567" w:right="260"/>
        <w:rPr>
          <w:rFonts w:ascii="Arial" w:hAnsi="Arial" w:cs="Arial"/>
          <w:iCs/>
        </w:rPr>
      </w:pPr>
      <w:r w:rsidRPr="00A77C14">
        <w:rPr>
          <w:rFonts w:ascii="Arial" w:hAnsi="Arial" w:cs="Arial"/>
          <w:iCs/>
        </w:rPr>
        <w:t>Total study hours: 600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w:t>
      </w:r>
      <w:r w:rsidRPr="00A77C14">
        <w:rPr>
          <w:rFonts w:ascii="Arial" w:hAnsi="Arial" w:cs="Arial"/>
          <w:iCs/>
        </w:rPr>
        <w:tab/>
        <w:t>Essay 1 (3,000-words</w:t>
      </w:r>
      <w:proofErr w:type="gramStart"/>
      <w:r w:rsidRPr="00A77C14">
        <w:rPr>
          <w:rFonts w:ascii="Arial" w:hAnsi="Arial" w:cs="Arial"/>
          <w:iCs/>
        </w:rPr>
        <w:t>)  15</w:t>
      </w:r>
      <w:proofErr w:type="gramEnd"/>
      <w:r w:rsidRPr="00A77C14">
        <w:rPr>
          <w:rFonts w:ascii="Arial" w:hAnsi="Arial" w:cs="Arial"/>
          <w:iCs/>
        </w:rPr>
        <w:t>%</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w:t>
      </w:r>
      <w:r w:rsidRPr="00A77C14">
        <w:rPr>
          <w:rFonts w:ascii="Arial" w:hAnsi="Arial" w:cs="Arial"/>
          <w:iCs/>
        </w:rPr>
        <w:tab/>
        <w:t>Essay 2 (3,000 words) 15%</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w:t>
      </w:r>
      <w:r w:rsidRPr="00A77C14">
        <w:rPr>
          <w:rFonts w:ascii="Arial" w:hAnsi="Arial" w:cs="Arial"/>
          <w:iCs/>
        </w:rPr>
        <w:tab/>
        <w:t>Presentation 1 (15-minutes) 5%</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w:t>
      </w:r>
      <w:r w:rsidRPr="00A77C14">
        <w:rPr>
          <w:rFonts w:ascii="Arial" w:hAnsi="Arial" w:cs="Arial"/>
          <w:iCs/>
        </w:rPr>
        <w:tab/>
        <w:t>Presentation 2 (15-minutes) 5%</w:t>
      </w:r>
    </w:p>
    <w:p w:rsidR="00A77C14" w:rsidRPr="00A77C14" w:rsidRDefault="00A77C14" w:rsidP="00A77C14">
      <w:pPr>
        <w:spacing w:after="120" w:line="240" w:lineRule="auto"/>
        <w:ind w:left="567" w:right="260"/>
        <w:rPr>
          <w:rFonts w:ascii="Arial" w:hAnsi="Arial" w:cs="Arial"/>
          <w:iCs/>
        </w:rPr>
      </w:pPr>
      <w:r w:rsidRPr="00A77C14">
        <w:rPr>
          <w:rFonts w:ascii="Arial" w:hAnsi="Arial" w:cs="Arial"/>
          <w:iCs/>
        </w:rPr>
        <w:t>-</w:t>
      </w:r>
      <w:r w:rsidRPr="00A77C14">
        <w:rPr>
          <w:rFonts w:ascii="Arial" w:hAnsi="Arial" w:cs="Arial"/>
          <w:iCs/>
        </w:rPr>
        <w:tab/>
        <w:t>Examination 1 (2-hours) 30%</w:t>
      </w:r>
    </w:p>
    <w:p w:rsidR="003F3578" w:rsidRPr="00154D48" w:rsidRDefault="00A77C14" w:rsidP="00A77C14">
      <w:pPr>
        <w:spacing w:after="120" w:line="240" w:lineRule="auto"/>
        <w:ind w:left="567" w:right="260"/>
        <w:rPr>
          <w:rFonts w:ascii="Arial" w:hAnsi="Arial" w:cs="Arial"/>
          <w:iCs/>
        </w:rPr>
      </w:pPr>
      <w:r w:rsidRPr="00A77C14">
        <w:rPr>
          <w:rFonts w:ascii="Arial" w:hAnsi="Arial" w:cs="Arial"/>
          <w:iCs/>
        </w:rPr>
        <w:t>-</w:t>
      </w:r>
      <w:r w:rsidRPr="00A77C14">
        <w:rPr>
          <w:rFonts w:ascii="Arial" w:hAnsi="Arial" w:cs="Arial"/>
          <w:iCs/>
        </w:rPr>
        <w:tab/>
        <w:t>Examination 2 (2-hours) 30%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77C14" w:rsidRPr="00154D48" w:rsidRDefault="00A77C14" w:rsidP="00A77C14">
      <w:pPr>
        <w:spacing w:after="120" w:line="240" w:lineRule="auto"/>
        <w:ind w:left="567" w:right="260"/>
        <w:rPr>
          <w:rFonts w:ascii="Arial" w:hAnsi="Arial" w:cs="Arial"/>
          <w:iCs/>
        </w:rPr>
      </w:pPr>
      <w:r w:rsidRPr="007D2477">
        <w:rPr>
          <w:rFonts w:ascii="Arial" w:hAnsi="Arial" w:cs="Arial"/>
          <w:iCs/>
        </w:rPr>
        <w:t>Reassessment Instrument: 100%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77C14" w:rsidRPr="00302082" w:rsidTr="00A77C14">
        <w:tc>
          <w:tcPr>
            <w:tcW w:w="2439" w:type="dxa"/>
            <w:shd w:val="clear" w:color="auto" w:fill="D9D9D9" w:themeFill="background1" w:themeFillShade="D9"/>
          </w:tcPr>
          <w:p w:rsidR="00A77C14" w:rsidRPr="00302082" w:rsidRDefault="00A77C14" w:rsidP="00302082">
            <w:pPr>
              <w:spacing w:after="120"/>
              <w:ind w:left="33"/>
              <w:rPr>
                <w:rFonts w:ascii="Arial" w:hAnsi="Arial" w:cs="Arial"/>
                <w:b/>
              </w:rPr>
            </w:pPr>
            <w:r w:rsidRPr="00302082">
              <w:rPr>
                <w:rFonts w:ascii="Arial" w:hAnsi="Arial" w:cs="Arial"/>
                <w:b/>
              </w:rPr>
              <w:t>Module learning outcome</w:t>
            </w:r>
          </w:p>
        </w:tc>
        <w:tc>
          <w:tcPr>
            <w:tcW w:w="567" w:type="dxa"/>
          </w:tcPr>
          <w:p w:rsidR="00A77C14" w:rsidRPr="002302FD" w:rsidRDefault="00A77C14" w:rsidP="00302082">
            <w:pPr>
              <w:spacing w:after="120"/>
              <w:rPr>
                <w:rFonts w:ascii="Arial" w:hAnsi="Arial" w:cs="Arial"/>
              </w:rPr>
            </w:pPr>
            <w:r w:rsidRPr="002302FD">
              <w:rPr>
                <w:rFonts w:ascii="Arial" w:hAnsi="Arial" w:cs="Arial"/>
              </w:rPr>
              <w:t>8.1</w:t>
            </w:r>
          </w:p>
        </w:tc>
        <w:tc>
          <w:tcPr>
            <w:tcW w:w="567" w:type="dxa"/>
          </w:tcPr>
          <w:p w:rsidR="00A77C14" w:rsidRPr="002302FD" w:rsidRDefault="00A77C14" w:rsidP="00302082">
            <w:pPr>
              <w:spacing w:after="120"/>
              <w:rPr>
                <w:rFonts w:ascii="Arial" w:hAnsi="Arial" w:cs="Arial"/>
              </w:rPr>
            </w:pPr>
            <w:r w:rsidRPr="002302FD">
              <w:rPr>
                <w:rFonts w:ascii="Arial" w:hAnsi="Arial" w:cs="Arial"/>
              </w:rPr>
              <w:t>8.2</w:t>
            </w:r>
          </w:p>
        </w:tc>
        <w:tc>
          <w:tcPr>
            <w:tcW w:w="567" w:type="dxa"/>
          </w:tcPr>
          <w:p w:rsidR="00A77C14" w:rsidRPr="002302FD" w:rsidRDefault="00A77C14" w:rsidP="00302082">
            <w:pPr>
              <w:spacing w:after="120"/>
              <w:rPr>
                <w:rFonts w:ascii="Arial" w:hAnsi="Arial" w:cs="Arial"/>
              </w:rPr>
            </w:pPr>
            <w:r w:rsidRPr="002302FD">
              <w:rPr>
                <w:rFonts w:ascii="Arial" w:hAnsi="Arial" w:cs="Arial"/>
              </w:rPr>
              <w:t>8.3</w:t>
            </w:r>
          </w:p>
        </w:tc>
        <w:tc>
          <w:tcPr>
            <w:tcW w:w="567" w:type="dxa"/>
          </w:tcPr>
          <w:p w:rsidR="00A77C14" w:rsidRPr="002302FD" w:rsidRDefault="00A77C14" w:rsidP="00302082">
            <w:pPr>
              <w:spacing w:after="120"/>
              <w:rPr>
                <w:rFonts w:ascii="Arial" w:hAnsi="Arial" w:cs="Arial"/>
              </w:rPr>
            </w:pPr>
            <w:r w:rsidRPr="002302FD">
              <w:rPr>
                <w:rFonts w:ascii="Arial" w:hAnsi="Arial" w:cs="Arial"/>
              </w:rPr>
              <w:t>8.4</w:t>
            </w:r>
          </w:p>
        </w:tc>
        <w:tc>
          <w:tcPr>
            <w:tcW w:w="567" w:type="dxa"/>
          </w:tcPr>
          <w:p w:rsidR="00A77C14" w:rsidRPr="002302FD" w:rsidRDefault="00A77C14" w:rsidP="00302082">
            <w:pPr>
              <w:spacing w:after="120"/>
              <w:rPr>
                <w:rFonts w:ascii="Arial" w:hAnsi="Arial" w:cs="Arial"/>
              </w:rPr>
            </w:pPr>
            <w:r>
              <w:rPr>
                <w:rFonts w:ascii="Arial" w:hAnsi="Arial" w:cs="Arial"/>
              </w:rPr>
              <w:t>9.1</w:t>
            </w:r>
          </w:p>
        </w:tc>
        <w:tc>
          <w:tcPr>
            <w:tcW w:w="567" w:type="dxa"/>
          </w:tcPr>
          <w:p w:rsidR="00A77C14" w:rsidRPr="002302FD" w:rsidRDefault="00A77C14" w:rsidP="00302082">
            <w:pPr>
              <w:spacing w:after="120"/>
              <w:rPr>
                <w:rFonts w:ascii="Arial" w:hAnsi="Arial" w:cs="Arial"/>
              </w:rPr>
            </w:pPr>
            <w:r>
              <w:rPr>
                <w:rFonts w:ascii="Arial" w:hAnsi="Arial" w:cs="Arial"/>
              </w:rPr>
              <w:t>9.2</w:t>
            </w:r>
          </w:p>
        </w:tc>
        <w:tc>
          <w:tcPr>
            <w:tcW w:w="567" w:type="dxa"/>
          </w:tcPr>
          <w:p w:rsidR="00A77C14" w:rsidRPr="002302FD" w:rsidRDefault="00A77C14" w:rsidP="00302082">
            <w:pPr>
              <w:spacing w:after="120"/>
              <w:rPr>
                <w:rFonts w:ascii="Arial" w:hAnsi="Arial" w:cs="Arial"/>
              </w:rPr>
            </w:pPr>
            <w:r>
              <w:rPr>
                <w:rFonts w:ascii="Arial" w:hAnsi="Arial" w:cs="Arial"/>
              </w:rPr>
              <w:t>9.3</w:t>
            </w:r>
          </w:p>
        </w:tc>
        <w:tc>
          <w:tcPr>
            <w:tcW w:w="567" w:type="dxa"/>
          </w:tcPr>
          <w:p w:rsidR="00A77C14" w:rsidRPr="002302FD" w:rsidRDefault="00A77C14" w:rsidP="00302082">
            <w:pPr>
              <w:spacing w:after="120"/>
              <w:rPr>
                <w:rFonts w:ascii="Arial" w:hAnsi="Arial" w:cs="Arial"/>
              </w:rPr>
            </w:pPr>
            <w:r>
              <w:rPr>
                <w:rFonts w:ascii="Arial" w:hAnsi="Arial" w:cs="Arial"/>
              </w:rPr>
              <w:t>9.4</w:t>
            </w:r>
          </w:p>
        </w:tc>
        <w:tc>
          <w:tcPr>
            <w:tcW w:w="567" w:type="dxa"/>
          </w:tcPr>
          <w:p w:rsidR="00A77C14" w:rsidRPr="002302FD" w:rsidRDefault="00A77C14" w:rsidP="00302082">
            <w:pPr>
              <w:spacing w:after="120"/>
              <w:rPr>
                <w:rFonts w:ascii="Arial" w:hAnsi="Arial" w:cs="Arial"/>
              </w:rPr>
            </w:pPr>
            <w:r>
              <w:rPr>
                <w:rFonts w:ascii="Arial" w:hAnsi="Arial" w:cs="Arial"/>
              </w:rPr>
              <w:t>9.5</w:t>
            </w:r>
          </w:p>
        </w:tc>
      </w:tr>
      <w:tr w:rsidR="00A77C14" w:rsidRPr="00302082" w:rsidTr="00A77C14">
        <w:tc>
          <w:tcPr>
            <w:tcW w:w="2439" w:type="dxa"/>
            <w:shd w:val="clear" w:color="auto" w:fill="D9D9D9" w:themeFill="background1" w:themeFillShade="D9"/>
          </w:tcPr>
          <w:p w:rsidR="00A77C14" w:rsidRPr="00302082" w:rsidRDefault="00A77C14" w:rsidP="00302082">
            <w:pPr>
              <w:spacing w:after="120"/>
              <w:rPr>
                <w:rFonts w:ascii="Arial" w:hAnsi="Arial" w:cs="Arial"/>
                <w:b/>
              </w:rPr>
            </w:pPr>
            <w:r w:rsidRPr="00302082">
              <w:rPr>
                <w:rFonts w:ascii="Arial" w:hAnsi="Arial" w:cs="Arial"/>
                <w:b/>
              </w:rPr>
              <w:t>Learning/ teaching method</w:t>
            </w: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r>
      <w:tr w:rsidR="00A77C14" w:rsidRPr="00302082" w:rsidTr="00A77C14">
        <w:tc>
          <w:tcPr>
            <w:tcW w:w="2439" w:type="dxa"/>
          </w:tcPr>
          <w:p w:rsidR="00A77C14" w:rsidRPr="007F3D49" w:rsidRDefault="00A77C14" w:rsidP="00A77C14">
            <w:pPr>
              <w:spacing w:after="120"/>
              <w:rPr>
                <w:rFonts w:ascii="Arial" w:hAnsi="Arial" w:cs="Arial"/>
              </w:rPr>
            </w:pPr>
            <w:r w:rsidRPr="007F3D49">
              <w:rPr>
                <w:rFonts w:ascii="Arial" w:hAnsi="Arial" w:cs="Arial"/>
              </w:rPr>
              <w:t>Private Study</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r>
      <w:tr w:rsidR="00A77C14" w:rsidRPr="00302082" w:rsidTr="00A77C14">
        <w:tc>
          <w:tcPr>
            <w:tcW w:w="2439" w:type="dxa"/>
          </w:tcPr>
          <w:p w:rsidR="00A77C14" w:rsidRPr="00154D48" w:rsidRDefault="00A77C14" w:rsidP="00A77C14">
            <w:pPr>
              <w:spacing w:after="120"/>
              <w:rPr>
                <w:rFonts w:ascii="Arial" w:hAnsi="Arial" w:cs="Arial"/>
              </w:rPr>
            </w:pPr>
            <w:r>
              <w:rPr>
                <w:rFonts w:ascii="Arial" w:hAnsi="Arial" w:cs="Arial"/>
              </w:rPr>
              <w:t>Lectures</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p>
        </w:tc>
      </w:tr>
      <w:tr w:rsidR="00A77C14" w:rsidRPr="00302082" w:rsidTr="00A77C14">
        <w:tc>
          <w:tcPr>
            <w:tcW w:w="2439" w:type="dxa"/>
          </w:tcPr>
          <w:p w:rsidR="00A77C14" w:rsidRPr="00154D48" w:rsidRDefault="00A77C14" w:rsidP="00A77C14">
            <w:pPr>
              <w:spacing w:after="120"/>
              <w:rPr>
                <w:rFonts w:ascii="Arial" w:hAnsi="Arial" w:cs="Arial"/>
              </w:rPr>
            </w:pPr>
            <w:r>
              <w:rPr>
                <w:rFonts w:ascii="Arial" w:hAnsi="Arial" w:cs="Arial"/>
              </w:rPr>
              <w:t>Seminars</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r>
      <w:tr w:rsidR="00A77C14" w:rsidRPr="00302082" w:rsidTr="00A77C14">
        <w:tc>
          <w:tcPr>
            <w:tcW w:w="2439" w:type="dxa"/>
            <w:shd w:val="clear" w:color="auto" w:fill="D9D9D9" w:themeFill="background1" w:themeFillShade="D9"/>
          </w:tcPr>
          <w:p w:rsidR="00A77C14" w:rsidRPr="00302082" w:rsidRDefault="00A77C14" w:rsidP="00302082">
            <w:pPr>
              <w:spacing w:after="120"/>
              <w:rPr>
                <w:rFonts w:ascii="Arial" w:hAnsi="Arial" w:cs="Arial"/>
                <w:b/>
              </w:rPr>
            </w:pPr>
            <w:r w:rsidRPr="00302082">
              <w:rPr>
                <w:rFonts w:ascii="Arial" w:hAnsi="Arial" w:cs="Arial"/>
                <w:b/>
              </w:rPr>
              <w:t>Assessment method</w:t>
            </w: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c>
          <w:tcPr>
            <w:tcW w:w="567" w:type="dxa"/>
          </w:tcPr>
          <w:p w:rsidR="00A77C14" w:rsidRPr="00302082" w:rsidRDefault="00A77C14" w:rsidP="00302082">
            <w:pPr>
              <w:spacing w:after="120"/>
              <w:rPr>
                <w:rFonts w:ascii="Arial" w:hAnsi="Arial" w:cs="Arial"/>
                <w:b/>
              </w:rPr>
            </w:pPr>
          </w:p>
        </w:tc>
      </w:tr>
      <w:tr w:rsidR="00A77C14" w:rsidRPr="00302082" w:rsidTr="00A77C14">
        <w:tc>
          <w:tcPr>
            <w:tcW w:w="2439" w:type="dxa"/>
          </w:tcPr>
          <w:p w:rsidR="00A77C14" w:rsidRPr="00154D48" w:rsidRDefault="00A77C14" w:rsidP="00A77C14">
            <w:pPr>
              <w:spacing w:after="120"/>
              <w:rPr>
                <w:rFonts w:ascii="Arial" w:hAnsi="Arial" w:cs="Arial"/>
              </w:rPr>
            </w:pPr>
            <w:r>
              <w:rPr>
                <w:rFonts w:ascii="Arial" w:hAnsi="Arial" w:cs="Arial"/>
              </w:rPr>
              <w:t>Essay 1</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p>
        </w:tc>
      </w:tr>
      <w:tr w:rsidR="00A77C14" w:rsidRPr="00302082" w:rsidTr="00A77C14">
        <w:tc>
          <w:tcPr>
            <w:tcW w:w="2439" w:type="dxa"/>
          </w:tcPr>
          <w:p w:rsidR="00A77C14" w:rsidDel="005F1E57" w:rsidRDefault="00A77C14" w:rsidP="00A77C14">
            <w:pPr>
              <w:spacing w:after="120"/>
              <w:rPr>
                <w:rFonts w:ascii="Arial" w:hAnsi="Arial" w:cs="Arial"/>
              </w:rPr>
            </w:pPr>
            <w:r>
              <w:rPr>
                <w:rFonts w:ascii="Arial" w:hAnsi="Arial" w:cs="Arial"/>
              </w:rPr>
              <w:t>Essay 2</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p>
        </w:tc>
      </w:tr>
      <w:tr w:rsidR="00A77C14" w:rsidRPr="00302082" w:rsidTr="00A77C14">
        <w:tc>
          <w:tcPr>
            <w:tcW w:w="2439" w:type="dxa"/>
          </w:tcPr>
          <w:p w:rsidR="00A77C14" w:rsidRPr="00154D48" w:rsidRDefault="00A77C14" w:rsidP="00A77C14">
            <w:pPr>
              <w:spacing w:after="120"/>
              <w:rPr>
                <w:rFonts w:ascii="Arial" w:hAnsi="Arial" w:cs="Arial"/>
              </w:rPr>
            </w:pPr>
            <w:r>
              <w:rPr>
                <w:rFonts w:ascii="Arial" w:hAnsi="Arial" w:cs="Arial"/>
              </w:rPr>
              <w:lastRenderedPageBreak/>
              <w:t>Presentation 1</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r>
      <w:tr w:rsidR="00A77C14" w:rsidRPr="00302082" w:rsidTr="00A77C14">
        <w:tc>
          <w:tcPr>
            <w:tcW w:w="2439" w:type="dxa"/>
          </w:tcPr>
          <w:p w:rsidR="00A77C14" w:rsidDel="005F1E57" w:rsidRDefault="00A77C14" w:rsidP="00A77C14">
            <w:pPr>
              <w:spacing w:after="120"/>
              <w:rPr>
                <w:rFonts w:ascii="Arial" w:hAnsi="Arial" w:cs="Arial"/>
              </w:rPr>
            </w:pPr>
            <w:r>
              <w:rPr>
                <w:rFonts w:ascii="Arial" w:hAnsi="Arial" w:cs="Arial"/>
              </w:rPr>
              <w:t>Presentation 2</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r>
      <w:tr w:rsidR="00A77C14" w:rsidRPr="00302082" w:rsidTr="00A77C14">
        <w:tc>
          <w:tcPr>
            <w:tcW w:w="2439" w:type="dxa"/>
          </w:tcPr>
          <w:p w:rsidR="00A77C14" w:rsidRPr="00154D48" w:rsidRDefault="00A77C14" w:rsidP="00A77C14">
            <w:pPr>
              <w:spacing w:after="120"/>
              <w:rPr>
                <w:rFonts w:ascii="Arial" w:hAnsi="Arial" w:cs="Arial"/>
              </w:rPr>
            </w:pPr>
            <w:r>
              <w:rPr>
                <w:rFonts w:ascii="Arial" w:hAnsi="Arial" w:cs="Arial"/>
              </w:rPr>
              <w:t>Exam 1</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p>
        </w:tc>
      </w:tr>
      <w:tr w:rsidR="00A77C14" w:rsidRPr="00302082" w:rsidTr="00A77C14">
        <w:tc>
          <w:tcPr>
            <w:tcW w:w="2439" w:type="dxa"/>
          </w:tcPr>
          <w:p w:rsidR="00A77C14" w:rsidDel="005F1E57" w:rsidRDefault="00A77C14" w:rsidP="00A77C14">
            <w:pPr>
              <w:spacing w:after="120"/>
              <w:rPr>
                <w:rFonts w:ascii="Arial" w:hAnsi="Arial" w:cs="Arial"/>
              </w:rPr>
            </w:pPr>
            <w:r>
              <w:rPr>
                <w:rFonts w:ascii="Arial" w:hAnsi="Arial" w:cs="Arial"/>
              </w:rPr>
              <w:t>Exam 2</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Default="00A77C14" w:rsidP="00A77C14">
            <w:pPr>
              <w:spacing w:after="120"/>
              <w:rPr>
                <w:rFonts w:ascii="Arial" w:hAnsi="Arial" w:cs="Arial"/>
                <w:b/>
              </w:rPr>
            </w:pPr>
            <w:r>
              <w:rPr>
                <w:rFonts w:ascii="Arial" w:hAnsi="Arial" w:cs="Arial"/>
                <w:b/>
              </w:rPr>
              <w:t>X</w:t>
            </w:r>
          </w:p>
        </w:tc>
        <w:tc>
          <w:tcPr>
            <w:tcW w:w="567" w:type="dxa"/>
          </w:tcPr>
          <w:p w:rsidR="00A77C14" w:rsidRPr="00302082" w:rsidRDefault="00A77C14" w:rsidP="00A77C14">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A77C1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A77C14"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383BA4" w:rsidP="00154D48">
      <w:pPr>
        <w:spacing w:after="120" w:line="240" w:lineRule="auto"/>
        <w:ind w:left="567" w:right="260"/>
        <w:rPr>
          <w:rFonts w:ascii="Arial" w:hAnsi="Arial" w:cs="Arial"/>
          <w:iCs/>
        </w:rPr>
      </w:pPr>
      <w:r>
        <w:rPr>
          <w:rFonts w:ascii="Arial" w:hAnsi="Arial" w:cs="Arial"/>
          <w:iCs/>
        </w:rPr>
        <w:t>This</w:t>
      </w:r>
      <w:r w:rsidR="00A77C14" w:rsidRPr="00A77C14">
        <w:rPr>
          <w:rFonts w:ascii="Arial" w:hAnsi="Arial" w:cs="Arial"/>
          <w:iCs/>
        </w:rPr>
        <w:t xml:space="preserve"> module encourage</w:t>
      </w:r>
      <w:r>
        <w:rPr>
          <w:rFonts w:ascii="Arial" w:hAnsi="Arial" w:cs="Arial"/>
          <w:iCs/>
        </w:rPr>
        <w:t>s</w:t>
      </w:r>
      <w:r w:rsidR="00A77C14" w:rsidRPr="00A77C14">
        <w:rPr>
          <w:rFonts w:ascii="Arial" w:hAnsi="Arial" w:cs="Arial"/>
          <w:iCs/>
        </w:rPr>
        <w:t xml:space="preserve"> students to engage with the international significance of their subject matter, either in a comparative or historiographical fashion, or in the study of European and international themes. </w:t>
      </w:r>
      <w:r>
        <w:rPr>
          <w:rFonts w:ascii="Arial" w:hAnsi="Arial" w:cs="Arial"/>
          <w:iCs/>
        </w:rPr>
        <w:t>Students will learn about</w:t>
      </w:r>
      <w:r w:rsidRPr="00A77C14">
        <w:rPr>
          <w:rFonts w:ascii="Arial" w:hAnsi="Arial" w:cs="Arial"/>
          <w:iCs/>
        </w:rPr>
        <w:t xml:space="preserve"> the dynamic interactions between the British Empire </w:t>
      </w:r>
      <w:r>
        <w:rPr>
          <w:rFonts w:ascii="Arial" w:hAnsi="Arial" w:cs="Arial"/>
          <w:iCs/>
        </w:rPr>
        <w:t>and</w:t>
      </w:r>
      <w:r w:rsidRPr="00A77C14">
        <w:rPr>
          <w:rFonts w:ascii="Arial" w:hAnsi="Arial" w:cs="Arial"/>
          <w:iCs/>
        </w:rPr>
        <w:t xml:space="preserve"> South Asia and Southern Africa</w:t>
      </w:r>
      <w:r>
        <w:rPr>
          <w:rFonts w:ascii="Arial" w:hAnsi="Arial" w:cs="Arial"/>
          <w:iCs/>
        </w:rPr>
        <w:t xml:space="preserve"> in regards to the colonisation and </w:t>
      </w:r>
      <w:r w:rsidRPr="00A77C14">
        <w:rPr>
          <w:rFonts w:ascii="Arial" w:hAnsi="Arial" w:cs="Arial"/>
          <w:iCs/>
        </w:rPr>
        <w:t>consequent dissonances which continue to reverberate even today</w:t>
      </w:r>
      <w:r>
        <w:rPr>
          <w:rFonts w:ascii="Arial" w:hAnsi="Arial" w:cs="Arial"/>
          <w:iCs/>
        </w:rPr>
        <w:t>.</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021D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0021D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9F69A2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595EE128">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2217B6"/>
    <w:multiLevelType w:val="hybridMultilevel"/>
    <w:tmpl w:val="BFB06F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0A66C24"/>
    <w:multiLevelType w:val="hybridMultilevel"/>
    <w:tmpl w:val="027A4B50"/>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10"/>
  </w:num>
  <w:num w:numId="8">
    <w:abstractNumId w:val="6"/>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1D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3BA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335"/>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2B2E"/>
    <w:rsid w:val="006F3F8B"/>
    <w:rsid w:val="00700488"/>
    <w:rsid w:val="00703404"/>
    <w:rsid w:val="00703F92"/>
    <w:rsid w:val="00704637"/>
    <w:rsid w:val="007105E4"/>
    <w:rsid w:val="00714EE5"/>
    <w:rsid w:val="00720270"/>
    <w:rsid w:val="00724362"/>
    <w:rsid w:val="00727780"/>
    <w:rsid w:val="00732D65"/>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C14"/>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08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8A4"/>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4F176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2DFCA-3ACD-45C0-AFDB-71B15C616890}">
  <ds:schemaRefs>
    <ds:schemaRef ds:uri="http://schemas.openxmlformats.org/officeDocument/2006/bibliography"/>
  </ds:schemaRefs>
</ds:datastoreItem>
</file>

<file path=customXml/itemProps2.xml><?xml version="1.0" encoding="utf-8"?>
<ds:datastoreItem xmlns:ds="http://schemas.openxmlformats.org/officeDocument/2006/customXml" ds:itemID="{1751B2B3-2535-425C-BFB7-BC10A2BE55CE}"/>
</file>

<file path=customXml/itemProps3.xml><?xml version="1.0" encoding="utf-8"?>
<ds:datastoreItem xmlns:ds="http://schemas.openxmlformats.org/officeDocument/2006/customXml" ds:itemID="{A2648EC4-41A2-48CC-9758-31B98D965D93}"/>
</file>

<file path=customXml/itemProps4.xml><?xml version="1.0" encoding="utf-8"?>
<ds:datastoreItem xmlns:ds="http://schemas.openxmlformats.org/officeDocument/2006/customXml" ds:itemID="{0DF991D0-D3B4-4466-AEFC-A1F0389C7619}"/>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2020-01-15T16:32:00Z</dcterms:created>
  <dcterms:modified xsi:type="dcterms:W3CDTF">2020-02-21T11:31:00Z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