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7A6E5" w14:textId="77777777" w:rsidR="009A2D37" w:rsidRPr="009204C9" w:rsidRDefault="009A2D37" w:rsidP="00B658F0">
      <w:pPr>
        <w:numPr>
          <w:ilvl w:val="0"/>
          <w:numId w:val="1"/>
        </w:numPr>
        <w:spacing w:after="120" w:line="240" w:lineRule="auto"/>
        <w:ind w:left="567" w:right="260" w:hanging="567"/>
        <w:jc w:val="both"/>
        <w:rPr>
          <w:rFonts w:ascii="Arial" w:hAnsi="Arial" w:cs="Arial"/>
          <w:b/>
        </w:rPr>
      </w:pPr>
      <w:r w:rsidRPr="009204C9">
        <w:rPr>
          <w:rFonts w:ascii="Arial" w:hAnsi="Arial" w:cs="Arial"/>
          <w:b/>
        </w:rPr>
        <w:t>Title of the module</w:t>
      </w:r>
      <w:r w:rsidR="00054BB7" w:rsidRPr="009204C9">
        <w:rPr>
          <w:rFonts w:ascii="Arial" w:hAnsi="Arial" w:cs="Arial"/>
          <w:b/>
        </w:rPr>
        <w:t>:</w:t>
      </w:r>
      <w:r w:rsidR="004C0A30">
        <w:rPr>
          <w:rFonts w:ascii="Arial" w:hAnsi="Arial" w:cs="Arial"/>
        </w:rPr>
        <w:t xml:space="preserve">  </w:t>
      </w:r>
      <w:r w:rsidR="00B658F0">
        <w:rPr>
          <w:rFonts w:ascii="Arial" w:hAnsi="Arial" w:cs="Arial"/>
        </w:rPr>
        <w:t xml:space="preserve">HIST6094 (HI6094) </w:t>
      </w:r>
      <w:r w:rsidR="00054BB7" w:rsidRPr="009204C9">
        <w:rPr>
          <w:rFonts w:ascii="Arial" w:hAnsi="Arial" w:cs="Arial"/>
        </w:rPr>
        <w:t>The Legacy of the Second World War: Retribution, Reconstruction and Reco</w:t>
      </w:r>
      <w:r w:rsidR="004C0A30">
        <w:rPr>
          <w:rFonts w:ascii="Arial" w:hAnsi="Arial" w:cs="Arial"/>
        </w:rPr>
        <w:t>nciliation in Europe since 1945</w:t>
      </w:r>
      <w:r w:rsidR="00054BB7" w:rsidRPr="009204C9">
        <w:rPr>
          <w:rFonts w:ascii="Arial" w:hAnsi="Arial" w:cs="Arial"/>
        </w:rPr>
        <w:t xml:space="preserve"> </w:t>
      </w:r>
    </w:p>
    <w:p w14:paraId="694A7B5A" w14:textId="77777777" w:rsidR="009A2D37" w:rsidRPr="00302082" w:rsidRDefault="009A2D37" w:rsidP="00AE6CD0">
      <w:pPr>
        <w:spacing w:after="120" w:line="240" w:lineRule="auto"/>
        <w:ind w:left="567" w:right="260" w:hanging="567"/>
        <w:jc w:val="both"/>
        <w:rPr>
          <w:rFonts w:ascii="Arial" w:hAnsi="Arial" w:cs="Arial"/>
        </w:rPr>
      </w:pPr>
    </w:p>
    <w:p w14:paraId="696B159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r w:rsidR="00054BB7">
        <w:rPr>
          <w:rFonts w:ascii="Arial" w:hAnsi="Arial" w:cs="Arial"/>
          <w:b/>
        </w:rPr>
        <w:t xml:space="preserve">: </w:t>
      </w:r>
      <w:r w:rsidR="00054BB7">
        <w:rPr>
          <w:rFonts w:ascii="Arial" w:hAnsi="Arial" w:cs="Arial"/>
        </w:rPr>
        <w:t xml:space="preserve">School of </w:t>
      </w:r>
      <w:proofErr w:type="gramStart"/>
      <w:r w:rsidR="00054BB7">
        <w:rPr>
          <w:rFonts w:ascii="Arial" w:hAnsi="Arial" w:cs="Arial"/>
        </w:rPr>
        <w:t>History</w:t>
      </w:r>
      <w:proofErr w:type="gramEnd"/>
    </w:p>
    <w:p w14:paraId="4C274EC4" w14:textId="77777777" w:rsidR="009A2D37" w:rsidRPr="0036174D" w:rsidRDefault="009A2D37" w:rsidP="00AE6CD0">
      <w:pPr>
        <w:spacing w:after="120" w:line="240" w:lineRule="auto"/>
        <w:ind w:left="567" w:right="260" w:hanging="567"/>
        <w:rPr>
          <w:rFonts w:ascii="Arial" w:hAnsi="Arial" w:cs="Arial"/>
          <w:iCs/>
        </w:rPr>
      </w:pPr>
    </w:p>
    <w:p w14:paraId="1B058F0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9204C9" w:rsidRPr="009204C9">
        <w:rPr>
          <w:rFonts w:ascii="Arial" w:hAnsi="Arial" w:cs="Arial"/>
          <w:b/>
        </w:rPr>
        <w:t>:</w:t>
      </w:r>
      <w:r w:rsidR="009204C9">
        <w:rPr>
          <w:rFonts w:ascii="Arial" w:hAnsi="Arial" w:cs="Arial"/>
        </w:rPr>
        <w:t xml:space="preserve"> 6 </w:t>
      </w:r>
    </w:p>
    <w:p w14:paraId="3F4D6AAB" w14:textId="77777777" w:rsidR="009A2D37" w:rsidRPr="0036174D" w:rsidRDefault="009A2D37" w:rsidP="00AE6CD0">
      <w:pPr>
        <w:spacing w:after="120" w:line="240" w:lineRule="auto"/>
        <w:ind w:left="567" w:right="260" w:hanging="567"/>
        <w:rPr>
          <w:rFonts w:ascii="Arial" w:hAnsi="Arial" w:cs="Arial"/>
          <w:iCs/>
        </w:rPr>
      </w:pPr>
    </w:p>
    <w:p w14:paraId="1801FB8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value which the module represents</w:t>
      </w:r>
      <w:r w:rsidR="009204C9">
        <w:rPr>
          <w:rFonts w:ascii="Arial" w:hAnsi="Arial" w:cs="Arial"/>
          <w:b/>
        </w:rPr>
        <w:t>:</w:t>
      </w:r>
      <w:r w:rsidRPr="00302082">
        <w:rPr>
          <w:rFonts w:ascii="Arial" w:hAnsi="Arial" w:cs="Arial"/>
          <w:b/>
        </w:rPr>
        <w:t xml:space="preserve"> </w:t>
      </w:r>
      <w:r w:rsidR="009204C9" w:rsidRPr="009204C9">
        <w:rPr>
          <w:rFonts w:ascii="Arial" w:hAnsi="Arial" w:cs="Arial"/>
        </w:rPr>
        <w:t>60 (30 ECTS)</w:t>
      </w:r>
    </w:p>
    <w:p w14:paraId="1F1A9ED1" w14:textId="77777777" w:rsidR="009A2D37" w:rsidRPr="0036174D" w:rsidRDefault="009A2D37" w:rsidP="00D50113">
      <w:pPr>
        <w:spacing w:after="120" w:line="240" w:lineRule="auto"/>
        <w:ind w:left="426" w:right="260"/>
        <w:rPr>
          <w:rFonts w:ascii="Arial" w:hAnsi="Arial" w:cs="Arial"/>
        </w:rPr>
      </w:pPr>
    </w:p>
    <w:p w14:paraId="5B4B83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r w:rsidRPr="009204C9">
        <w:rPr>
          <w:rFonts w:ascii="Arial" w:hAnsi="Arial" w:cs="Arial"/>
          <w:b/>
        </w:rPr>
        <w:t>)</w:t>
      </w:r>
      <w:r w:rsidR="009204C9" w:rsidRPr="009204C9">
        <w:rPr>
          <w:rFonts w:ascii="Arial" w:hAnsi="Arial" w:cs="Arial"/>
          <w:b/>
        </w:rPr>
        <w:t>:</w:t>
      </w:r>
      <w:r w:rsidR="009204C9">
        <w:rPr>
          <w:rFonts w:ascii="Arial" w:hAnsi="Arial" w:cs="Arial"/>
        </w:rPr>
        <w:t xml:space="preserve"> Autumn and Spring terms (weeks 1 – 24)</w:t>
      </w:r>
    </w:p>
    <w:p w14:paraId="7B07762F" w14:textId="77777777" w:rsidR="009A2D37" w:rsidRPr="0036174D" w:rsidRDefault="009A2D37" w:rsidP="00AE6CD0">
      <w:pPr>
        <w:spacing w:after="120" w:line="240" w:lineRule="auto"/>
        <w:ind w:left="567" w:right="260" w:hanging="567"/>
        <w:rPr>
          <w:rFonts w:ascii="Arial" w:hAnsi="Arial" w:cs="Arial"/>
          <w:iCs/>
        </w:rPr>
      </w:pPr>
    </w:p>
    <w:p w14:paraId="684DF05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9204C9">
        <w:rPr>
          <w:rFonts w:ascii="Arial" w:hAnsi="Arial" w:cs="Arial"/>
          <w:b/>
        </w:rPr>
        <w:t xml:space="preserve">: </w:t>
      </w:r>
      <w:r w:rsidR="009204C9">
        <w:rPr>
          <w:rFonts w:ascii="Arial" w:hAnsi="Arial" w:cs="Arial"/>
        </w:rPr>
        <w:t>None</w:t>
      </w:r>
    </w:p>
    <w:p w14:paraId="11094E63" w14:textId="77777777" w:rsidR="009A2D37" w:rsidRPr="0036174D" w:rsidRDefault="009A2D37" w:rsidP="00AE6CD0">
      <w:pPr>
        <w:spacing w:after="120" w:line="240" w:lineRule="auto"/>
        <w:ind w:left="567" w:right="260" w:hanging="567"/>
        <w:rPr>
          <w:rFonts w:ascii="Arial" w:hAnsi="Arial" w:cs="Arial"/>
          <w:iCs/>
        </w:rPr>
      </w:pPr>
    </w:p>
    <w:p w14:paraId="2D10E237" w14:textId="77777777" w:rsidR="009A2D37" w:rsidRPr="00DA1AD7" w:rsidRDefault="009A2D37" w:rsidP="00836478">
      <w:pPr>
        <w:numPr>
          <w:ilvl w:val="0"/>
          <w:numId w:val="1"/>
        </w:numPr>
        <w:spacing w:after="120" w:line="240" w:lineRule="auto"/>
        <w:ind w:left="567" w:right="260" w:hanging="567"/>
        <w:jc w:val="both"/>
        <w:rPr>
          <w:rFonts w:ascii="Arial" w:hAnsi="Arial" w:cs="Arial"/>
          <w:b/>
        </w:rPr>
      </w:pPr>
      <w:r w:rsidRPr="00DA1AD7">
        <w:rPr>
          <w:rFonts w:ascii="Arial" w:hAnsi="Arial" w:cs="Arial"/>
          <w:b/>
        </w:rPr>
        <w:t>The programmes of study to which the module contributes</w:t>
      </w:r>
      <w:r w:rsidR="009204C9" w:rsidRPr="00DA1AD7">
        <w:rPr>
          <w:rFonts w:ascii="Arial" w:hAnsi="Arial" w:cs="Arial"/>
          <w:b/>
        </w:rPr>
        <w:t xml:space="preserve">: </w:t>
      </w:r>
      <w:r w:rsidR="009204C9" w:rsidRPr="00DA1AD7">
        <w:rPr>
          <w:rFonts w:ascii="Arial" w:hAnsi="Arial" w:cs="Arial"/>
        </w:rPr>
        <w:t>BA in History</w:t>
      </w:r>
      <w:r w:rsidR="00DA1AD7" w:rsidRPr="00DA1AD7">
        <w:rPr>
          <w:rFonts w:ascii="Arial" w:hAnsi="Arial" w:cs="Arial"/>
        </w:rPr>
        <w:t xml:space="preserve"> and associated joint Honours programmes, </w:t>
      </w:r>
      <w:r w:rsidR="009204C9" w:rsidRPr="00DA1AD7">
        <w:rPr>
          <w:rFonts w:ascii="Arial" w:hAnsi="Arial" w:cs="Arial"/>
        </w:rPr>
        <w:t xml:space="preserve">BA </w:t>
      </w:r>
      <w:r w:rsidR="00DA1AD7">
        <w:rPr>
          <w:rFonts w:ascii="Arial" w:hAnsi="Arial" w:cs="Arial"/>
        </w:rPr>
        <w:t>in Military History</w:t>
      </w:r>
    </w:p>
    <w:p w14:paraId="7BC31EEF" w14:textId="77777777" w:rsidR="009A2D37" w:rsidRPr="0036174D" w:rsidRDefault="009A2D37" w:rsidP="00AE6CD0">
      <w:pPr>
        <w:spacing w:after="120" w:line="240" w:lineRule="auto"/>
        <w:ind w:left="567" w:right="260" w:hanging="567"/>
        <w:rPr>
          <w:rFonts w:ascii="Arial" w:hAnsi="Arial" w:cs="Arial"/>
          <w:iCs/>
        </w:rPr>
      </w:pPr>
    </w:p>
    <w:p w14:paraId="0786B78E" w14:textId="77777777" w:rsidR="009204C9" w:rsidRPr="009204C9" w:rsidRDefault="009A2D37" w:rsidP="009204C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3C7875" w14:textId="77777777" w:rsidR="00C25BCD" w:rsidRDefault="00C25BCD" w:rsidP="00C25BCD">
      <w:pPr>
        <w:pStyle w:val="BodyTextIndent3"/>
        <w:numPr>
          <w:ilvl w:val="1"/>
          <w:numId w:val="1"/>
        </w:numPr>
        <w:ind w:left="709" w:hanging="349"/>
        <w:jc w:val="both"/>
        <w:rPr>
          <w:rFonts w:ascii="Arial" w:hAnsi="Arial" w:cs="Arial"/>
        </w:rPr>
      </w:pPr>
      <w:r>
        <w:rPr>
          <w:rFonts w:ascii="Arial" w:hAnsi="Arial" w:cs="Arial"/>
        </w:rPr>
        <w:t>D</w:t>
      </w:r>
      <w:r w:rsidRPr="00DC3687">
        <w:rPr>
          <w:rFonts w:ascii="Arial" w:hAnsi="Arial" w:cs="Arial"/>
        </w:rPr>
        <w:t>emonstrate</w:t>
      </w:r>
      <w:r w:rsidR="009204C9" w:rsidRPr="00DC3687">
        <w:rPr>
          <w:rFonts w:ascii="Arial" w:hAnsi="Arial" w:cs="Arial"/>
        </w:rPr>
        <w:t xml:space="preserve"> a systematic knowledge and critical awareness of the current issues debated and explored </w:t>
      </w:r>
      <w:r>
        <w:rPr>
          <w:rFonts w:ascii="Arial" w:hAnsi="Arial" w:cs="Arial"/>
        </w:rPr>
        <w:t>in relation to the</w:t>
      </w:r>
      <w:r w:rsidR="009204C9" w:rsidRPr="00DC3687">
        <w:rPr>
          <w:rFonts w:ascii="Arial" w:hAnsi="Arial" w:cs="Arial"/>
        </w:rPr>
        <w:t xml:space="preserve"> various representations of the Second World War since 1945 and</w:t>
      </w:r>
      <w:r>
        <w:rPr>
          <w:rFonts w:ascii="Arial" w:hAnsi="Arial" w:cs="Arial"/>
        </w:rPr>
        <w:t xml:space="preserve"> have obtained a deeper understanding</w:t>
      </w:r>
      <w:r w:rsidR="009204C9" w:rsidRPr="00DC3687">
        <w:rPr>
          <w:rFonts w:ascii="Arial" w:hAnsi="Arial" w:cs="Arial"/>
        </w:rPr>
        <w:t xml:space="preserve"> of how these representations emerged from the cultural concerns of the post-war era.</w:t>
      </w:r>
    </w:p>
    <w:p w14:paraId="68E61158" w14:textId="77777777" w:rsidR="00C25BCD" w:rsidRDefault="00C25BCD" w:rsidP="00C25BCD">
      <w:pPr>
        <w:pStyle w:val="BodyTextIndent3"/>
        <w:numPr>
          <w:ilvl w:val="1"/>
          <w:numId w:val="1"/>
        </w:numPr>
        <w:ind w:left="709" w:hanging="349"/>
        <w:jc w:val="both"/>
        <w:rPr>
          <w:rFonts w:ascii="Arial" w:hAnsi="Arial" w:cs="Arial"/>
        </w:rPr>
      </w:pPr>
      <w:r>
        <w:rPr>
          <w:rFonts w:ascii="Arial" w:hAnsi="Arial" w:cs="Arial"/>
        </w:rPr>
        <w:t>C</w:t>
      </w:r>
      <w:r w:rsidR="00DA1AD7" w:rsidRPr="00C25BCD">
        <w:rPr>
          <w:rFonts w:ascii="Arial" w:hAnsi="Arial" w:cs="Arial"/>
        </w:rPr>
        <w:t>ritically evaluate</w:t>
      </w:r>
      <w:r w:rsidR="008F67CE" w:rsidRPr="00C25BCD">
        <w:rPr>
          <w:rFonts w:ascii="Arial" w:hAnsi="Arial" w:cs="Arial"/>
        </w:rPr>
        <w:t xml:space="preserve"> a</w:t>
      </w:r>
      <w:r w:rsidR="009204C9" w:rsidRPr="00C25BCD">
        <w:rPr>
          <w:rFonts w:ascii="Arial" w:hAnsi="Arial" w:cs="Arial"/>
        </w:rPr>
        <w:t xml:space="preserve"> wide range of secondary materials, together with a significant body of printed primary sources and archival sources. </w:t>
      </w:r>
    </w:p>
    <w:p w14:paraId="5D344BF0" w14:textId="77777777" w:rsidR="00C25BCD" w:rsidRDefault="00C25BCD" w:rsidP="00C25BCD">
      <w:pPr>
        <w:pStyle w:val="BodyTextIndent3"/>
        <w:numPr>
          <w:ilvl w:val="1"/>
          <w:numId w:val="1"/>
        </w:numPr>
        <w:ind w:left="709" w:hanging="349"/>
        <w:jc w:val="both"/>
        <w:rPr>
          <w:rFonts w:ascii="Arial" w:hAnsi="Arial" w:cs="Arial"/>
        </w:rPr>
      </w:pPr>
      <w:r>
        <w:rPr>
          <w:rFonts w:ascii="Arial" w:hAnsi="Arial" w:cs="Arial"/>
        </w:rPr>
        <w:t>U</w:t>
      </w:r>
      <w:r w:rsidR="008F67CE" w:rsidRPr="00C25BCD">
        <w:rPr>
          <w:rFonts w:ascii="Arial" w:hAnsi="Arial" w:cs="Arial"/>
        </w:rPr>
        <w:t xml:space="preserve">nderstand the </w:t>
      </w:r>
      <w:r w:rsidR="009204C9" w:rsidRPr="00C25BCD">
        <w:rPr>
          <w:rFonts w:ascii="Arial" w:hAnsi="Arial" w:cs="Arial"/>
        </w:rPr>
        <w:t xml:space="preserve">visual representation and legacy of the </w:t>
      </w:r>
      <w:r w:rsidR="0044228C">
        <w:rPr>
          <w:rFonts w:ascii="Arial" w:hAnsi="Arial" w:cs="Arial"/>
        </w:rPr>
        <w:t>Second World War</w:t>
      </w:r>
      <w:r w:rsidR="0044228C" w:rsidRPr="00C25BCD">
        <w:rPr>
          <w:rFonts w:ascii="Arial" w:hAnsi="Arial" w:cs="Arial"/>
        </w:rPr>
        <w:t xml:space="preserve"> </w:t>
      </w:r>
      <w:r w:rsidR="009204C9" w:rsidRPr="00C25BCD">
        <w:rPr>
          <w:rFonts w:ascii="Arial" w:hAnsi="Arial" w:cs="Arial"/>
        </w:rPr>
        <w:t>through the study</w:t>
      </w:r>
      <w:r w:rsidR="00DC3687" w:rsidRPr="00C25BCD">
        <w:rPr>
          <w:rFonts w:ascii="Arial" w:hAnsi="Arial" w:cs="Arial"/>
        </w:rPr>
        <w:t xml:space="preserve"> of mass media and feature film</w:t>
      </w:r>
      <w:r w:rsidR="009204C9" w:rsidRPr="00C25BCD">
        <w:rPr>
          <w:rFonts w:ascii="Arial" w:hAnsi="Arial" w:cs="Arial"/>
        </w:rPr>
        <w:t>.</w:t>
      </w:r>
    </w:p>
    <w:p w14:paraId="3A521067" w14:textId="77777777" w:rsidR="009A2D37" w:rsidRPr="00C25BCD" w:rsidRDefault="0044228C" w:rsidP="00C25BCD">
      <w:pPr>
        <w:pStyle w:val="BodyTextIndent3"/>
        <w:numPr>
          <w:ilvl w:val="1"/>
          <w:numId w:val="1"/>
        </w:numPr>
        <w:ind w:left="709" w:hanging="349"/>
        <w:jc w:val="both"/>
        <w:rPr>
          <w:rFonts w:ascii="Arial" w:hAnsi="Arial" w:cs="Arial"/>
        </w:rPr>
      </w:pPr>
      <w:r>
        <w:rPr>
          <w:rFonts w:ascii="Arial" w:hAnsi="Arial" w:cs="Arial"/>
        </w:rPr>
        <w:t>R</w:t>
      </w:r>
      <w:r w:rsidRPr="00C25BCD">
        <w:rPr>
          <w:rFonts w:ascii="Arial" w:hAnsi="Arial" w:cs="Arial"/>
        </w:rPr>
        <w:t xml:space="preserve">esearch </w:t>
      </w:r>
      <w:r w:rsidR="009204C9" w:rsidRPr="00C25BCD">
        <w:rPr>
          <w:rFonts w:ascii="Arial" w:hAnsi="Arial" w:cs="Arial"/>
        </w:rPr>
        <w:t>independently and confiden</w:t>
      </w:r>
      <w:r w:rsidR="00300D8A" w:rsidRPr="00C25BCD">
        <w:rPr>
          <w:rFonts w:ascii="Arial" w:hAnsi="Arial" w:cs="Arial"/>
        </w:rPr>
        <w:t>tly</w:t>
      </w:r>
      <w:r w:rsidR="009204C9" w:rsidRPr="00C25BCD">
        <w:rPr>
          <w:rFonts w:ascii="Arial" w:hAnsi="Arial" w:cs="Arial"/>
        </w:rPr>
        <w:t xml:space="preserve"> </w:t>
      </w:r>
      <w:proofErr w:type="gramStart"/>
      <w:r w:rsidR="009204C9" w:rsidRPr="00C25BCD">
        <w:rPr>
          <w:rFonts w:ascii="Arial" w:hAnsi="Arial" w:cs="Arial"/>
        </w:rPr>
        <w:t>formulate</w:t>
      </w:r>
      <w:proofErr w:type="gramEnd"/>
      <w:r w:rsidR="009204C9" w:rsidRPr="00C25BCD">
        <w:rPr>
          <w:rFonts w:ascii="Arial" w:hAnsi="Arial" w:cs="Arial"/>
        </w:rPr>
        <w:t xml:space="preserve"> their own conclusions</w:t>
      </w:r>
      <w:r>
        <w:rPr>
          <w:rFonts w:ascii="Arial" w:hAnsi="Arial" w:cs="Arial"/>
        </w:rPr>
        <w:t xml:space="preserve"> on how the Second World War has been represented since 1945</w:t>
      </w:r>
      <w:r w:rsidR="009204C9" w:rsidRPr="00C25BCD">
        <w:rPr>
          <w:rFonts w:ascii="Arial" w:hAnsi="Arial" w:cs="Arial"/>
        </w:rPr>
        <w:t xml:space="preserve">. </w:t>
      </w:r>
    </w:p>
    <w:p w14:paraId="794C0D91" w14:textId="77777777" w:rsidR="009204C9" w:rsidRPr="0036174D" w:rsidRDefault="009204C9" w:rsidP="00AE6CD0">
      <w:pPr>
        <w:spacing w:after="120" w:line="240" w:lineRule="auto"/>
        <w:ind w:left="567" w:right="260" w:hanging="567"/>
        <w:rPr>
          <w:rFonts w:ascii="Arial" w:hAnsi="Arial" w:cs="Arial"/>
        </w:rPr>
      </w:pPr>
    </w:p>
    <w:p w14:paraId="75B15ED2" w14:textId="77777777" w:rsidR="00273CF0" w:rsidRPr="00DC3687" w:rsidRDefault="009A2D37" w:rsidP="00DC368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8F94E7" w14:textId="77777777" w:rsidR="00C25BCD" w:rsidRDefault="0044228C" w:rsidP="00C25BCD">
      <w:pPr>
        <w:pStyle w:val="BodyTextIndent3"/>
        <w:numPr>
          <w:ilvl w:val="1"/>
          <w:numId w:val="1"/>
        </w:numPr>
        <w:ind w:left="709" w:hanging="349"/>
        <w:jc w:val="both"/>
        <w:rPr>
          <w:rFonts w:ascii="Arial" w:hAnsi="Arial" w:cs="Arial"/>
        </w:rPr>
      </w:pPr>
      <w:r>
        <w:rPr>
          <w:rFonts w:ascii="Arial" w:hAnsi="Arial" w:cs="Arial"/>
        </w:rPr>
        <w:t>Effectively marshal information from</w:t>
      </w:r>
      <w:r w:rsidR="008F67CE" w:rsidRPr="008F67CE">
        <w:rPr>
          <w:rFonts w:ascii="Arial" w:hAnsi="Arial" w:cs="Arial"/>
        </w:rPr>
        <w:t xml:space="preserve"> primary tex</w:t>
      </w:r>
      <w:r w:rsidR="00992614">
        <w:rPr>
          <w:rFonts w:ascii="Arial" w:hAnsi="Arial" w:cs="Arial"/>
        </w:rPr>
        <w:t>ts as well as secondary sources</w:t>
      </w:r>
      <w:r w:rsidR="00DC3687" w:rsidRPr="008F67CE">
        <w:rPr>
          <w:rFonts w:ascii="Arial" w:hAnsi="Arial" w:cs="Arial"/>
        </w:rPr>
        <w:t xml:space="preserve">.  </w:t>
      </w:r>
    </w:p>
    <w:p w14:paraId="0F502A14" w14:textId="77777777" w:rsidR="00C25BCD" w:rsidRDefault="00C25BCD" w:rsidP="00C25BCD">
      <w:pPr>
        <w:pStyle w:val="BodyTextIndent3"/>
        <w:numPr>
          <w:ilvl w:val="1"/>
          <w:numId w:val="1"/>
        </w:numPr>
        <w:ind w:left="709" w:hanging="349"/>
        <w:jc w:val="both"/>
        <w:rPr>
          <w:rFonts w:ascii="Arial" w:hAnsi="Arial" w:cs="Arial"/>
        </w:rPr>
      </w:pPr>
      <w:r>
        <w:rPr>
          <w:rFonts w:ascii="Arial" w:hAnsi="Arial" w:cs="Arial"/>
        </w:rPr>
        <w:t>C</w:t>
      </w:r>
      <w:r w:rsidR="00DC3687" w:rsidRPr="00C25BCD">
        <w:rPr>
          <w:rFonts w:ascii="Arial" w:hAnsi="Arial" w:cs="Arial"/>
        </w:rPr>
        <w:t>hallenge received conclusions and to cultivate a broader epis</w:t>
      </w:r>
      <w:r w:rsidR="00992614" w:rsidRPr="00C25BCD">
        <w:rPr>
          <w:rFonts w:ascii="Arial" w:hAnsi="Arial" w:cs="Arial"/>
        </w:rPr>
        <w:t>temological awareness</w:t>
      </w:r>
      <w:r w:rsidR="00DC3687" w:rsidRPr="00C25BCD">
        <w:rPr>
          <w:rFonts w:ascii="Arial" w:hAnsi="Arial" w:cs="Arial"/>
        </w:rPr>
        <w:t xml:space="preserve">. </w:t>
      </w:r>
    </w:p>
    <w:p w14:paraId="116AF1AC" w14:textId="77777777" w:rsidR="00C25BCD" w:rsidRDefault="00C25BCD" w:rsidP="00C25BCD">
      <w:pPr>
        <w:pStyle w:val="BodyTextIndent3"/>
        <w:numPr>
          <w:ilvl w:val="1"/>
          <w:numId w:val="1"/>
        </w:numPr>
        <w:ind w:left="709" w:hanging="349"/>
        <w:jc w:val="both"/>
        <w:rPr>
          <w:rFonts w:ascii="Arial" w:hAnsi="Arial" w:cs="Arial"/>
        </w:rPr>
      </w:pPr>
      <w:r>
        <w:rPr>
          <w:rFonts w:ascii="Arial" w:hAnsi="Arial" w:cs="Arial"/>
        </w:rPr>
        <w:t>I</w:t>
      </w:r>
      <w:r w:rsidR="00E82C5D" w:rsidRPr="00C25BCD">
        <w:rPr>
          <w:rFonts w:ascii="Arial" w:hAnsi="Arial" w:cs="Arial"/>
        </w:rPr>
        <w:t xml:space="preserve">mprove </w:t>
      </w:r>
      <w:r w:rsidR="00DC3687" w:rsidRPr="00C25BCD">
        <w:rPr>
          <w:rFonts w:ascii="Arial" w:hAnsi="Arial" w:cs="Arial"/>
        </w:rPr>
        <w:t xml:space="preserve">their own learning and performance, notably in their </w:t>
      </w:r>
      <w:r w:rsidR="00E82C5D" w:rsidRPr="00C25BCD">
        <w:rPr>
          <w:rFonts w:ascii="Arial" w:hAnsi="Arial" w:cs="Arial"/>
        </w:rPr>
        <w:t>research essays and seminar presentations</w:t>
      </w:r>
      <w:r w:rsidR="00DC3687" w:rsidRPr="00C25BCD">
        <w:rPr>
          <w:rFonts w:ascii="Arial" w:hAnsi="Arial" w:cs="Arial"/>
        </w:rPr>
        <w:t xml:space="preserve">. </w:t>
      </w:r>
    </w:p>
    <w:p w14:paraId="4EC613FF" w14:textId="77777777" w:rsidR="00DC3687" w:rsidRPr="00C25BCD" w:rsidRDefault="00C25BCD" w:rsidP="00C25BCD">
      <w:pPr>
        <w:pStyle w:val="BodyTextIndent3"/>
        <w:numPr>
          <w:ilvl w:val="1"/>
          <w:numId w:val="1"/>
        </w:numPr>
        <w:ind w:left="709" w:hanging="349"/>
        <w:jc w:val="both"/>
        <w:rPr>
          <w:rFonts w:ascii="Arial" w:hAnsi="Arial" w:cs="Arial"/>
        </w:rPr>
      </w:pPr>
      <w:r>
        <w:rPr>
          <w:rFonts w:ascii="Arial" w:hAnsi="Arial" w:cs="Arial"/>
        </w:rPr>
        <w:t>C</w:t>
      </w:r>
      <w:r w:rsidR="00E82C5D" w:rsidRPr="00C25BCD">
        <w:rPr>
          <w:rFonts w:ascii="Arial" w:hAnsi="Arial" w:cs="Arial"/>
        </w:rPr>
        <w:t>ommunicate complex ideas more effectively</w:t>
      </w:r>
      <w:r w:rsidR="0044228C">
        <w:rPr>
          <w:rFonts w:ascii="Arial" w:hAnsi="Arial" w:cs="Arial"/>
        </w:rPr>
        <w:t xml:space="preserve">, to both specialist and </w:t>
      </w:r>
      <w:proofErr w:type="spellStart"/>
      <w:r w:rsidR="0044228C">
        <w:rPr>
          <w:rFonts w:ascii="Arial" w:hAnsi="Arial" w:cs="Arial"/>
        </w:rPr>
        <w:t>nonspecialist</w:t>
      </w:r>
      <w:proofErr w:type="spellEnd"/>
      <w:r w:rsidR="0044228C">
        <w:rPr>
          <w:rFonts w:ascii="Arial" w:hAnsi="Arial" w:cs="Arial"/>
        </w:rPr>
        <w:t xml:space="preserve"> audiences</w:t>
      </w:r>
      <w:r w:rsidR="00992614" w:rsidRPr="00C25BCD">
        <w:rPr>
          <w:rFonts w:ascii="Arial" w:hAnsi="Arial" w:cs="Arial"/>
        </w:rPr>
        <w:t>.</w:t>
      </w:r>
    </w:p>
    <w:p w14:paraId="1FFA068A" w14:textId="77777777" w:rsidR="00DC3687" w:rsidRPr="00DC3687" w:rsidRDefault="00DC3687" w:rsidP="00AE6CD0">
      <w:pPr>
        <w:spacing w:after="120" w:line="240" w:lineRule="auto"/>
        <w:ind w:left="567" w:right="260" w:hanging="567"/>
        <w:rPr>
          <w:rFonts w:ascii="Arial" w:hAnsi="Arial" w:cs="Arial"/>
        </w:rPr>
      </w:pPr>
    </w:p>
    <w:p w14:paraId="55D99AF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1C11B0" w14:textId="77777777" w:rsidR="00DC3687" w:rsidRPr="00DC3687" w:rsidRDefault="00DC3687" w:rsidP="00DC3687">
      <w:pPr>
        <w:spacing w:after="0"/>
        <w:ind w:left="576"/>
        <w:jc w:val="both"/>
        <w:rPr>
          <w:rFonts w:ascii="Arial" w:hAnsi="Arial" w:cs="Arial"/>
        </w:rPr>
      </w:pPr>
      <w:r>
        <w:rPr>
          <w:rFonts w:ascii="Arial" w:hAnsi="Arial" w:cs="Arial"/>
        </w:rPr>
        <w:t>Over seventy</w:t>
      </w:r>
      <w:r w:rsidRPr="00DC3687">
        <w:rPr>
          <w:rFonts w:ascii="Arial" w:hAnsi="Arial" w:cs="Arial"/>
        </w:rPr>
        <w:t xml:space="preserve"> years after Nazi Germany’s unconditional surrender, we are still living in the shadow of the Second World War. The end of the Cold War has seen an upsurge in commemorative activity ranging from new memorials </w:t>
      </w:r>
      <w:r w:rsidR="00300D8A">
        <w:rPr>
          <w:rFonts w:ascii="Arial" w:hAnsi="Arial" w:cs="Arial"/>
        </w:rPr>
        <w:t>to</w:t>
      </w:r>
      <w:r w:rsidRPr="00DC3687">
        <w:rPr>
          <w:rFonts w:ascii="Arial" w:hAnsi="Arial" w:cs="Arial"/>
        </w:rPr>
        <w:t xml:space="preserve"> court cases. This special subject considers the impact of the Second </w:t>
      </w:r>
      <w:r w:rsidRPr="00DC3687">
        <w:rPr>
          <w:rFonts w:ascii="Arial" w:hAnsi="Arial" w:cs="Arial"/>
        </w:rPr>
        <w:lastRenderedPageBreak/>
        <w:t xml:space="preserve">World War on European societies (including Britain) between 1945 and the present day. This module will examine – and compare – the ways in which contemporaries and later generations have tried to make sense of the upheaval and horrors of the Second World War. </w:t>
      </w:r>
      <w:r>
        <w:rPr>
          <w:rFonts w:ascii="Arial" w:hAnsi="Arial" w:cs="Arial"/>
        </w:rPr>
        <w:t xml:space="preserve">The module will explore a host of commemorative </w:t>
      </w:r>
      <w:r w:rsidR="003C19C9">
        <w:rPr>
          <w:rFonts w:ascii="Arial" w:hAnsi="Arial" w:cs="Arial"/>
        </w:rPr>
        <w:t xml:space="preserve">practices and </w:t>
      </w:r>
      <w:r>
        <w:rPr>
          <w:rFonts w:ascii="Arial" w:hAnsi="Arial" w:cs="Arial"/>
        </w:rPr>
        <w:t xml:space="preserve">media </w:t>
      </w:r>
      <w:r w:rsidR="003C19C9">
        <w:rPr>
          <w:rFonts w:ascii="Arial" w:hAnsi="Arial" w:cs="Arial"/>
        </w:rPr>
        <w:t>(</w:t>
      </w:r>
      <w:r>
        <w:rPr>
          <w:rFonts w:ascii="Arial" w:hAnsi="Arial" w:cs="Arial"/>
        </w:rPr>
        <w:t>ranging from architecture and popular histories to film and war memorials</w:t>
      </w:r>
      <w:r w:rsidR="003C19C9">
        <w:rPr>
          <w:rFonts w:ascii="Arial" w:hAnsi="Arial" w:cs="Arial"/>
        </w:rPr>
        <w:t>) and their socio-cultural contexts</w:t>
      </w:r>
      <w:r>
        <w:rPr>
          <w:rFonts w:ascii="Arial" w:hAnsi="Arial" w:cs="Arial"/>
        </w:rPr>
        <w:t xml:space="preserve">. Methodologically, the module explores the cultural history of the legacy of war. </w:t>
      </w:r>
      <w:r w:rsidRPr="00DC3687">
        <w:rPr>
          <w:rFonts w:ascii="Arial" w:hAnsi="Arial" w:cs="Arial"/>
        </w:rPr>
        <w:t xml:space="preserve">Cultural history here means the study of languages, practices, </w:t>
      </w:r>
      <w:proofErr w:type="gramStart"/>
      <w:r w:rsidRPr="00DC3687">
        <w:rPr>
          <w:rFonts w:ascii="Arial" w:hAnsi="Arial" w:cs="Arial"/>
        </w:rPr>
        <w:t>artefacts</w:t>
      </w:r>
      <w:proofErr w:type="gramEnd"/>
      <w:r w:rsidRPr="00DC3687">
        <w:rPr>
          <w:rFonts w:ascii="Arial" w:hAnsi="Arial" w:cs="Arial"/>
        </w:rPr>
        <w:t xml:space="preserve"> and gestures through which events are encoded by those who live through them or in their aftermath. </w:t>
      </w:r>
    </w:p>
    <w:p w14:paraId="07DF59BE" w14:textId="77777777" w:rsidR="00DC3687" w:rsidRPr="0036174D" w:rsidRDefault="00DC3687" w:rsidP="00AE6CD0">
      <w:pPr>
        <w:spacing w:after="120" w:line="240" w:lineRule="auto"/>
        <w:ind w:left="567" w:right="260" w:hanging="567"/>
        <w:rPr>
          <w:rFonts w:ascii="Arial" w:hAnsi="Arial" w:cs="Arial"/>
          <w:iCs/>
        </w:rPr>
      </w:pPr>
    </w:p>
    <w:p w14:paraId="1E828878" w14:textId="77777777" w:rsidR="00DC3687" w:rsidRPr="00FE3C80" w:rsidRDefault="002A7F48" w:rsidP="00DC368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BA3126" w14:textId="77777777" w:rsidR="00FE3C80" w:rsidRPr="00FE3C80" w:rsidRDefault="00FE3C80" w:rsidP="00FE3C80">
      <w:pPr>
        <w:tabs>
          <w:tab w:val="left" w:pos="0"/>
        </w:tabs>
        <w:spacing w:after="0"/>
        <w:ind w:left="567"/>
        <w:jc w:val="both"/>
        <w:rPr>
          <w:rFonts w:ascii="Arial" w:hAnsi="Arial" w:cs="Arial"/>
        </w:rPr>
      </w:pPr>
      <w:r w:rsidRPr="00FE3C80">
        <w:rPr>
          <w:rFonts w:ascii="Arial" w:hAnsi="Arial" w:cs="Arial"/>
        </w:rPr>
        <w:t xml:space="preserve">Bessel, Richard and </w:t>
      </w:r>
      <w:r w:rsidR="00DC3687" w:rsidRPr="00FE3C80">
        <w:rPr>
          <w:rFonts w:ascii="Arial" w:hAnsi="Arial" w:cs="Arial"/>
        </w:rPr>
        <w:t>Schumann, Dirk (eds</w:t>
      </w:r>
      <w:r w:rsidRPr="00FE3C80">
        <w:rPr>
          <w:rFonts w:ascii="Arial" w:hAnsi="Arial" w:cs="Arial"/>
        </w:rPr>
        <w:t>.</w:t>
      </w:r>
      <w:r w:rsidR="00DC3687" w:rsidRPr="00FE3C80">
        <w:rPr>
          <w:rFonts w:ascii="Arial" w:hAnsi="Arial" w:cs="Arial"/>
        </w:rPr>
        <w:t xml:space="preserve">), </w:t>
      </w:r>
      <w:r w:rsidR="00DC3687" w:rsidRPr="00FE3C80">
        <w:rPr>
          <w:rFonts w:ascii="Arial" w:hAnsi="Arial" w:cs="Arial"/>
          <w:i/>
          <w:iCs/>
        </w:rPr>
        <w:t>Life after Death</w:t>
      </w:r>
      <w:r w:rsidR="0007799E">
        <w:rPr>
          <w:rFonts w:ascii="Arial" w:hAnsi="Arial" w:cs="Arial"/>
          <w:i/>
          <w:iCs/>
        </w:rPr>
        <w:t>:</w:t>
      </w:r>
      <w:r w:rsidR="00DC3687" w:rsidRPr="00FE3C80">
        <w:rPr>
          <w:rFonts w:ascii="Arial" w:hAnsi="Arial" w:cs="Arial"/>
          <w:i/>
          <w:iCs/>
        </w:rPr>
        <w:t xml:space="preserve"> Approaches to a Cultural and Social History of Europe during the 1940s and 1950s</w:t>
      </w:r>
      <w:r w:rsidR="00DC3687" w:rsidRPr="00FE3C80">
        <w:rPr>
          <w:rFonts w:ascii="Arial" w:hAnsi="Arial" w:cs="Arial"/>
        </w:rPr>
        <w:t xml:space="preserve"> (Cambridge</w:t>
      </w:r>
      <w:r w:rsidRPr="00FE3C80">
        <w:rPr>
          <w:rFonts w:ascii="Arial" w:hAnsi="Arial" w:cs="Arial"/>
        </w:rPr>
        <w:t>: Cambridge University Press, 2003)</w:t>
      </w:r>
    </w:p>
    <w:p w14:paraId="51FC3234" w14:textId="77777777" w:rsidR="00FE3C80" w:rsidRPr="00FE3C80" w:rsidRDefault="00DC3687" w:rsidP="00FE3C80">
      <w:pPr>
        <w:tabs>
          <w:tab w:val="left" w:pos="0"/>
        </w:tabs>
        <w:spacing w:after="0"/>
        <w:ind w:left="567"/>
        <w:jc w:val="both"/>
        <w:rPr>
          <w:rFonts w:ascii="Arial" w:hAnsi="Arial" w:cs="Arial"/>
        </w:rPr>
      </w:pPr>
      <w:r w:rsidRPr="00FE3C80">
        <w:rPr>
          <w:rFonts w:ascii="Arial" w:hAnsi="Arial" w:cs="Arial"/>
        </w:rPr>
        <w:t xml:space="preserve">Bird, Stephanie, </w:t>
      </w:r>
      <w:proofErr w:type="spellStart"/>
      <w:r w:rsidRPr="00FE3C80">
        <w:rPr>
          <w:rFonts w:ascii="Arial" w:hAnsi="Arial" w:cs="Arial"/>
        </w:rPr>
        <w:t>Fulbrook</w:t>
      </w:r>
      <w:proofErr w:type="spellEnd"/>
      <w:r w:rsidRPr="00FE3C80">
        <w:rPr>
          <w:rFonts w:ascii="Arial" w:hAnsi="Arial" w:cs="Arial"/>
        </w:rPr>
        <w:t xml:space="preserve">, Mary, Wagner, Julia and </w:t>
      </w:r>
      <w:proofErr w:type="spellStart"/>
      <w:r w:rsidRPr="00FE3C80">
        <w:rPr>
          <w:rFonts w:ascii="Arial" w:hAnsi="Arial" w:cs="Arial"/>
        </w:rPr>
        <w:t>Wienand</w:t>
      </w:r>
      <w:proofErr w:type="spellEnd"/>
      <w:r w:rsidRPr="00FE3C80">
        <w:rPr>
          <w:rFonts w:ascii="Arial" w:hAnsi="Arial" w:cs="Arial"/>
        </w:rPr>
        <w:t xml:space="preserve">, Christiane (eds.), </w:t>
      </w:r>
      <w:r w:rsidRPr="00FE3C80">
        <w:rPr>
          <w:rFonts w:ascii="Arial" w:hAnsi="Arial" w:cs="Arial"/>
          <w:i/>
        </w:rPr>
        <w:t>Reverberations of Nazi Violence in Germany and Beyond</w:t>
      </w:r>
      <w:r w:rsidR="00FE3C80" w:rsidRPr="00FE3C80">
        <w:rPr>
          <w:rFonts w:ascii="Arial" w:hAnsi="Arial" w:cs="Arial"/>
        </w:rPr>
        <w:t xml:space="preserve"> (London: Bloomsbury Academic, 2016)</w:t>
      </w:r>
    </w:p>
    <w:p w14:paraId="531EE5F5" w14:textId="77777777" w:rsidR="00FE3C80" w:rsidRPr="00FE3C80" w:rsidRDefault="00DC3687" w:rsidP="00FE3C80">
      <w:pPr>
        <w:tabs>
          <w:tab w:val="left" w:pos="0"/>
        </w:tabs>
        <w:spacing w:after="0"/>
        <w:ind w:left="567"/>
        <w:jc w:val="both"/>
        <w:rPr>
          <w:rFonts w:ascii="Arial" w:hAnsi="Arial" w:cs="Arial"/>
        </w:rPr>
      </w:pPr>
      <w:r w:rsidRPr="00FE3C80">
        <w:rPr>
          <w:rFonts w:ascii="Arial" w:hAnsi="Arial" w:cs="Arial"/>
        </w:rPr>
        <w:t xml:space="preserve">Crew, David F., </w:t>
      </w:r>
      <w:r w:rsidRPr="00FE3C80">
        <w:rPr>
          <w:rFonts w:ascii="Arial" w:hAnsi="Arial" w:cs="Arial"/>
          <w:i/>
        </w:rPr>
        <w:t>Bodies and Ruins</w:t>
      </w:r>
      <w:r w:rsidR="0007799E">
        <w:rPr>
          <w:rFonts w:ascii="Arial" w:hAnsi="Arial" w:cs="Arial"/>
          <w:i/>
        </w:rPr>
        <w:t>:</w:t>
      </w:r>
      <w:r w:rsidRPr="00FE3C80">
        <w:rPr>
          <w:rFonts w:ascii="Arial" w:hAnsi="Arial" w:cs="Arial"/>
          <w:i/>
        </w:rPr>
        <w:t xml:space="preserve"> Imagining the Ruins of Germany, 1945 to the Present</w:t>
      </w:r>
      <w:r w:rsidRPr="00FE3C80">
        <w:rPr>
          <w:rFonts w:ascii="Arial" w:hAnsi="Arial" w:cs="Arial"/>
        </w:rPr>
        <w:t xml:space="preserve"> (Ann Arb</w:t>
      </w:r>
      <w:r w:rsidR="00FE3C80" w:rsidRPr="00FE3C80">
        <w:rPr>
          <w:rFonts w:ascii="Arial" w:hAnsi="Arial" w:cs="Arial"/>
        </w:rPr>
        <w:t xml:space="preserve">or: </w:t>
      </w:r>
      <w:r w:rsidRPr="00FE3C80">
        <w:rPr>
          <w:rFonts w:ascii="Arial" w:hAnsi="Arial" w:cs="Arial"/>
        </w:rPr>
        <w:t xml:space="preserve"> Univ</w:t>
      </w:r>
      <w:r w:rsidR="00FE3C80" w:rsidRPr="00FE3C80">
        <w:rPr>
          <w:rFonts w:ascii="Arial" w:hAnsi="Arial" w:cs="Arial"/>
        </w:rPr>
        <w:t>ersity of Michigan Press, 2017)</w:t>
      </w:r>
    </w:p>
    <w:p w14:paraId="6368C583" w14:textId="77777777" w:rsidR="00FE3C80" w:rsidRPr="00FE3C80" w:rsidRDefault="00FE3C80" w:rsidP="00FE3C80">
      <w:pPr>
        <w:tabs>
          <w:tab w:val="left" w:pos="0"/>
        </w:tabs>
        <w:spacing w:after="0"/>
        <w:ind w:left="567"/>
        <w:jc w:val="both"/>
        <w:rPr>
          <w:rFonts w:ascii="Arial" w:hAnsi="Arial" w:cs="Arial"/>
        </w:rPr>
      </w:pPr>
      <w:r w:rsidRPr="00FE3C80">
        <w:rPr>
          <w:rFonts w:ascii="Arial" w:hAnsi="Arial" w:cs="Arial"/>
        </w:rPr>
        <w:t>Müller, Jan-Werner</w:t>
      </w:r>
      <w:r w:rsidR="00DC3687" w:rsidRPr="00FE3C80">
        <w:rPr>
          <w:rFonts w:ascii="Arial" w:hAnsi="Arial" w:cs="Arial"/>
        </w:rPr>
        <w:t xml:space="preserve"> (ed.), </w:t>
      </w:r>
      <w:r w:rsidR="00DC3687" w:rsidRPr="00FE3C80">
        <w:rPr>
          <w:rFonts w:ascii="Arial" w:hAnsi="Arial" w:cs="Arial"/>
          <w:i/>
          <w:iCs/>
        </w:rPr>
        <w:t>Memory and Power in Post-War Europe</w:t>
      </w:r>
      <w:r w:rsidR="0007799E">
        <w:rPr>
          <w:rFonts w:ascii="Arial" w:hAnsi="Arial" w:cs="Arial"/>
          <w:i/>
          <w:iCs/>
        </w:rPr>
        <w:t>:</w:t>
      </w:r>
      <w:r w:rsidR="00DC3687" w:rsidRPr="00FE3C80">
        <w:rPr>
          <w:rFonts w:ascii="Arial" w:hAnsi="Arial" w:cs="Arial"/>
          <w:i/>
          <w:iCs/>
        </w:rPr>
        <w:t xml:space="preserve"> Studies in the Presence of the Past</w:t>
      </w:r>
      <w:r w:rsidRPr="00FE3C80">
        <w:rPr>
          <w:rFonts w:ascii="Arial" w:hAnsi="Arial" w:cs="Arial"/>
        </w:rPr>
        <w:t xml:space="preserve"> (Cambridge: Cambridg</w:t>
      </w:r>
      <w:r w:rsidR="00DC3687" w:rsidRPr="00FE3C80">
        <w:rPr>
          <w:rFonts w:ascii="Arial" w:hAnsi="Arial" w:cs="Arial"/>
        </w:rPr>
        <w:t>e University</w:t>
      </w:r>
      <w:r w:rsidRPr="00FE3C80">
        <w:rPr>
          <w:rFonts w:ascii="Arial" w:hAnsi="Arial" w:cs="Arial"/>
        </w:rPr>
        <w:t xml:space="preserve"> Press, 2002)</w:t>
      </w:r>
    </w:p>
    <w:p w14:paraId="456E26CE" w14:textId="77777777" w:rsidR="00DC3687" w:rsidRPr="00FE3C80" w:rsidRDefault="00FE3C80" w:rsidP="00FE3C80">
      <w:pPr>
        <w:tabs>
          <w:tab w:val="left" w:pos="0"/>
        </w:tabs>
        <w:spacing w:after="0"/>
        <w:ind w:left="567"/>
        <w:jc w:val="both"/>
        <w:rPr>
          <w:rFonts w:ascii="Arial" w:hAnsi="Arial" w:cs="Arial"/>
        </w:rPr>
      </w:pPr>
      <w:r w:rsidRPr="00FE3C80">
        <w:rPr>
          <w:rFonts w:ascii="Arial" w:hAnsi="Arial" w:cs="Arial"/>
        </w:rPr>
        <w:t xml:space="preserve">Winter, Jay, </w:t>
      </w:r>
      <w:r w:rsidRPr="00FE3C80">
        <w:rPr>
          <w:rFonts w:ascii="Arial" w:hAnsi="Arial" w:cs="Arial"/>
          <w:i/>
        </w:rPr>
        <w:t>War Beyond Words</w:t>
      </w:r>
      <w:r w:rsidR="0007799E">
        <w:rPr>
          <w:rFonts w:ascii="Arial" w:hAnsi="Arial" w:cs="Arial"/>
          <w:i/>
        </w:rPr>
        <w:t>:</w:t>
      </w:r>
      <w:r w:rsidRPr="00FE3C80">
        <w:rPr>
          <w:rFonts w:ascii="Arial" w:hAnsi="Arial" w:cs="Arial"/>
          <w:i/>
        </w:rPr>
        <w:t xml:space="preserve"> Languages of Remembrance from the Great War to the Present </w:t>
      </w:r>
      <w:r w:rsidRPr="00FE3C80">
        <w:rPr>
          <w:rFonts w:ascii="Arial" w:hAnsi="Arial" w:cs="Arial"/>
        </w:rPr>
        <w:t>(Cambridge: Cambridge University Press</w:t>
      </w:r>
      <w:r w:rsidR="006B3A85">
        <w:rPr>
          <w:rFonts w:ascii="Arial" w:hAnsi="Arial" w:cs="Arial"/>
        </w:rPr>
        <w:t>, 2017)</w:t>
      </w:r>
    </w:p>
    <w:p w14:paraId="2DD37C1D" w14:textId="77777777" w:rsidR="00DC3687" w:rsidRPr="0036174D" w:rsidRDefault="00DC3687" w:rsidP="00FE3C80">
      <w:pPr>
        <w:spacing w:after="120" w:line="240" w:lineRule="auto"/>
        <w:ind w:right="260"/>
        <w:jc w:val="both"/>
        <w:rPr>
          <w:rFonts w:ascii="Arial" w:hAnsi="Arial" w:cs="Arial"/>
        </w:rPr>
      </w:pPr>
    </w:p>
    <w:p w14:paraId="254D1EC2" w14:textId="77777777" w:rsidR="0036174D" w:rsidRPr="006B3A85" w:rsidRDefault="009A2D37" w:rsidP="006B3A8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A1B120" w14:textId="77777777" w:rsidR="007045A3" w:rsidRDefault="007045A3" w:rsidP="006B3A85">
      <w:pPr>
        <w:spacing w:after="120" w:line="240" w:lineRule="auto"/>
        <w:ind w:left="567" w:right="260"/>
        <w:rPr>
          <w:rFonts w:ascii="Arial" w:hAnsi="Arial" w:cs="Arial"/>
          <w:iCs/>
        </w:rPr>
      </w:pPr>
      <w:r>
        <w:rPr>
          <w:rFonts w:ascii="Arial" w:hAnsi="Arial" w:cs="Arial"/>
          <w:iCs/>
        </w:rPr>
        <w:t xml:space="preserve">This module will be taught through seminars. </w:t>
      </w:r>
    </w:p>
    <w:p w14:paraId="4814D864" w14:textId="77777777" w:rsidR="00FE3C80" w:rsidRDefault="007045A3" w:rsidP="00AE6CD0">
      <w:pPr>
        <w:spacing w:after="120" w:line="240" w:lineRule="auto"/>
        <w:ind w:left="567" w:right="260" w:hanging="567"/>
        <w:rPr>
          <w:rFonts w:ascii="Arial" w:hAnsi="Arial" w:cs="Arial"/>
          <w:iCs/>
        </w:rPr>
      </w:pPr>
      <w:r>
        <w:rPr>
          <w:rFonts w:ascii="Arial" w:hAnsi="Arial" w:cs="Arial"/>
          <w:iCs/>
        </w:rPr>
        <w:tab/>
        <w:t xml:space="preserve">Contact hours: </w:t>
      </w:r>
      <w:proofErr w:type="gramStart"/>
      <w:r>
        <w:rPr>
          <w:rFonts w:ascii="Arial" w:hAnsi="Arial" w:cs="Arial"/>
          <w:iCs/>
        </w:rPr>
        <w:t>60</w:t>
      </w:r>
      <w:proofErr w:type="gramEnd"/>
    </w:p>
    <w:p w14:paraId="62BE3DE8" w14:textId="77777777" w:rsidR="007045A3" w:rsidRDefault="007045A3" w:rsidP="00AE6CD0">
      <w:pPr>
        <w:spacing w:after="120" w:line="240" w:lineRule="auto"/>
        <w:ind w:left="567" w:right="260" w:hanging="567"/>
        <w:rPr>
          <w:rFonts w:ascii="Arial" w:hAnsi="Arial" w:cs="Arial"/>
          <w:iCs/>
        </w:rPr>
      </w:pPr>
      <w:r>
        <w:rPr>
          <w:rFonts w:ascii="Arial" w:hAnsi="Arial" w:cs="Arial"/>
          <w:iCs/>
        </w:rPr>
        <w:tab/>
        <w:t>Private Study hours: 540</w:t>
      </w:r>
    </w:p>
    <w:p w14:paraId="3759D55C" w14:textId="77777777" w:rsidR="007045A3" w:rsidRPr="0036174D" w:rsidRDefault="007045A3" w:rsidP="00AE6CD0">
      <w:pPr>
        <w:spacing w:after="120" w:line="240" w:lineRule="auto"/>
        <w:ind w:left="567" w:right="260" w:hanging="567"/>
        <w:rPr>
          <w:rFonts w:ascii="Arial" w:hAnsi="Arial" w:cs="Arial"/>
          <w:iCs/>
        </w:rPr>
      </w:pPr>
      <w:r>
        <w:rPr>
          <w:rFonts w:ascii="Arial" w:hAnsi="Arial" w:cs="Arial"/>
          <w:iCs/>
        </w:rPr>
        <w:tab/>
        <w:t>Total Study hours: 600</w:t>
      </w:r>
    </w:p>
    <w:p w14:paraId="0C5AE95D" w14:textId="77777777" w:rsidR="00B9109B" w:rsidRPr="00E37CF6"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 xml:space="preserve">Assessment </w:t>
      </w:r>
      <w:r w:rsidRPr="00E37CF6">
        <w:rPr>
          <w:rFonts w:ascii="Arial" w:hAnsi="Arial" w:cs="Arial"/>
          <w:b/>
        </w:rPr>
        <w:t>methods</w:t>
      </w:r>
    </w:p>
    <w:p w14:paraId="16B75E71" w14:textId="77777777" w:rsidR="0036174D" w:rsidRPr="00E37CF6" w:rsidRDefault="00AE6CD0" w:rsidP="00AE6CD0">
      <w:pPr>
        <w:pStyle w:val="ColorfulList-Accent1"/>
        <w:numPr>
          <w:ilvl w:val="1"/>
          <w:numId w:val="1"/>
        </w:numPr>
        <w:spacing w:after="120"/>
        <w:ind w:left="567" w:hanging="567"/>
        <w:contextualSpacing w:val="0"/>
        <w:rPr>
          <w:rFonts w:ascii="Arial" w:hAnsi="Arial" w:cs="Arial"/>
          <w:b/>
          <w:iCs/>
        </w:rPr>
      </w:pPr>
      <w:r w:rsidRPr="00E37CF6">
        <w:rPr>
          <w:rFonts w:ascii="Arial" w:hAnsi="Arial" w:cs="Arial"/>
          <w:b/>
          <w:iCs/>
        </w:rPr>
        <w:t>Main assessment methods</w:t>
      </w:r>
    </w:p>
    <w:p w14:paraId="13AEDDBC" w14:textId="77777777" w:rsidR="005F5801" w:rsidRPr="005F5801" w:rsidRDefault="00E0633C" w:rsidP="007C1AB8">
      <w:pPr>
        <w:pStyle w:val="Heading1"/>
        <w:ind w:left="720"/>
        <w:jc w:val="left"/>
        <w:rPr>
          <w:rFonts w:ascii="Arial" w:hAnsi="Arial" w:cs="Arial"/>
          <w:b w:val="0"/>
          <w:sz w:val="22"/>
          <w:szCs w:val="22"/>
        </w:rPr>
      </w:pPr>
      <w:r>
        <w:rPr>
          <w:rFonts w:ascii="Arial" w:hAnsi="Arial" w:cs="Arial"/>
          <w:b w:val="0"/>
          <w:sz w:val="22"/>
          <w:szCs w:val="22"/>
        </w:rPr>
        <w:t>Essay</w:t>
      </w:r>
      <w:r w:rsidR="00616FE2">
        <w:rPr>
          <w:rFonts w:ascii="Arial" w:hAnsi="Arial" w:cs="Arial"/>
          <w:b w:val="0"/>
          <w:sz w:val="22"/>
          <w:szCs w:val="22"/>
        </w:rPr>
        <w:t xml:space="preserve"> 1</w:t>
      </w:r>
      <w:r w:rsidR="005F5801" w:rsidRPr="005F5801">
        <w:rPr>
          <w:rFonts w:ascii="Arial" w:hAnsi="Arial" w:cs="Arial"/>
          <w:b w:val="0"/>
          <w:sz w:val="22"/>
          <w:szCs w:val="22"/>
        </w:rPr>
        <w:t xml:space="preserve">: One 3000-word essay, worth </w:t>
      </w:r>
      <w:r w:rsidR="008C0515">
        <w:rPr>
          <w:rFonts w:ascii="Arial" w:hAnsi="Arial" w:cs="Arial"/>
          <w:b w:val="0"/>
          <w:sz w:val="22"/>
          <w:szCs w:val="22"/>
        </w:rPr>
        <w:t>1</w:t>
      </w:r>
      <w:r w:rsidR="008C0515" w:rsidRPr="005F5801">
        <w:rPr>
          <w:rFonts w:ascii="Arial" w:hAnsi="Arial" w:cs="Arial"/>
          <w:b w:val="0"/>
          <w:sz w:val="22"/>
          <w:szCs w:val="22"/>
        </w:rPr>
        <w:t xml:space="preserve">0 </w:t>
      </w:r>
      <w:r w:rsidR="005F5801" w:rsidRPr="005F5801">
        <w:rPr>
          <w:rFonts w:ascii="Arial" w:hAnsi="Arial" w:cs="Arial"/>
          <w:b w:val="0"/>
          <w:sz w:val="22"/>
          <w:szCs w:val="22"/>
        </w:rPr>
        <w:t xml:space="preserve">% </w:t>
      </w:r>
    </w:p>
    <w:p w14:paraId="367D301E" w14:textId="77777777" w:rsidR="00B658F0" w:rsidRDefault="00616FE2" w:rsidP="007C1AB8">
      <w:pPr>
        <w:pStyle w:val="Heading1"/>
        <w:ind w:left="720"/>
        <w:jc w:val="left"/>
        <w:rPr>
          <w:rFonts w:ascii="Arial" w:hAnsi="Arial" w:cs="Arial"/>
          <w:b w:val="0"/>
          <w:sz w:val="22"/>
          <w:szCs w:val="22"/>
        </w:rPr>
      </w:pPr>
      <w:r w:rsidRPr="008C0515">
        <w:rPr>
          <w:rFonts w:ascii="Arial" w:hAnsi="Arial" w:cs="Arial"/>
          <w:b w:val="0"/>
          <w:sz w:val="22"/>
          <w:szCs w:val="22"/>
        </w:rPr>
        <w:t>Essay 2</w:t>
      </w:r>
      <w:r w:rsidR="005F5801" w:rsidRPr="008C0515">
        <w:rPr>
          <w:rFonts w:ascii="Arial" w:hAnsi="Arial" w:cs="Arial"/>
          <w:b w:val="0"/>
          <w:sz w:val="22"/>
          <w:szCs w:val="22"/>
        </w:rPr>
        <w:t xml:space="preserve">: One 3000-word essay, worth </w:t>
      </w:r>
      <w:r w:rsidR="008C0515" w:rsidRPr="008C0515">
        <w:rPr>
          <w:rFonts w:ascii="Arial" w:hAnsi="Arial" w:cs="Arial"/>
          <w:b w:val="0"/>
          <w:sz w:val="22"/>
          <w:szCs w:val="22"/>
        </w:rPr>
        <w:t>10</w:t>
      </w:r>
      <w:r w:rsidR="005F5801" w:rsidRPr="008C0515">
        <w:rPr>
          <w:rFonts w:ascii="Arial" w:hAnsi="Arial" w:cs="Arial"/>
          <w:b w:val="0"/>
          <w:sz w:val="22"/>
          <w:szCs w:val="22"/>
        </w:rPr>
        <w:t xml:space="preserve">% </w:t>
      </w:r>
    </w:p>
    <w:p w14:paraId="7BABB8ED" w14:textId="77777777" w:rsidR="005F5801" w:rsidRPr="008C0515" w:rsidRDefault="00E0633C" w:rsidP="007C1AB8">
      <w:pPr>
        <w:pStyle w:val="Heading1"/>
        <w:ind w:left="720"/>
        <w:jc w:val="left"/>
        <w:rPr>
          <w:rFonts w:ascii="Arial" w:hAnsi="Arial" w:cs="Arial"/>
          <w:b w:val="0"/>
          <w:sz w:val="22"/>
          <w:szCs w:val="22"/>
        </w:rPr>
      </w:pPr>
      <w:r w:rsidRPr="008C0515">
        <w:rPr>
          <w:rFonts w:ascii="Arial" w:hAnsi="Arial" w:cs="Arial"/>
          <w:b w:val="0"/>
          <w:sz w:val="22"/>
          <w:szCs w:val="22"/>
        </w:rPr>
        <w:t>Source Commentaries</w:t>
      </w:r>
      <w:r w:rsidR="005F5801" w:rsidRPr="008C0515">
        <w:rPr>
          <w:rFonts w:ascii="Arial" w:hAnsi="Arial" w:cs="Arial"/>
          <w:b w:val="0"/>
          <w:sz w:val="22"/>
          <w:szCs w:val="22"/>
        </w:rPr>
        <w:t xml:space="preserve">: One </w:t>
      </w:r>
      <w:r w:rsidR="00DA1AD7" w:rsidRPr="008C0515">
        <w:rPr>
          <w:rFonts w:ascii="Arial" w:hAnsi="Arial" w:cs="Arial"/>
          <w:b w:val="0"/>
          <w:sz w:val="22"/>
          <w:szCs w:val="22"/>
        </w:rPr>
        <w:t>assignment, consisting of two 20</w:t>
      </w:r>
      <w:r w:rsidR="005F5801" w:rsidRPr="008C0515">
        <w:rPr>
          <w:rFonts w:ascii="Arial" w:hAnsi="Arial" w:cs="Arial"/>
          <w:b w:val="0"/>
          <w:sz w:val="22"/>
          <w:szCs w:val="22"/>
        </w:rPr>
        <w:t xml:space="preserve">00-word commentaries on primary sources, worth </w:t>
      </w:r>
      <w:r w:rsidR="008C0515">
        <w:rPr>
          <w:rFonts w:ascii="Arial" w:hAnsi="Arial" w:cs="Arial"/>
          <w:b w:val="0"/>
          <w:sz w:val="22"/>
          <w:szCs w:val="22"/>
        </w:rPr>
        <w:t>10</w:t>
      </w:r>
      <w:r w:rsidR="008C0515" w:rsidRPr="008C0515">
        <w:rPr>
          <w:rFonts w:ascii="Arial" w:hAnsi="Arial" w:cs="Arial"/>
          <w:b w:val="0"/>
          <w:sz w:val="22"/>
          <w:szCs w:val="22"/>
        </w:rPr>
        <w:t xml:space="preserve"> </w:t>
      </w:r>
      <w:r w:rsidR="005F5801" w:rsidRPr="008C0515">
        <w:rPr>
          <w:rFonts w:ascii="Arial" w:hAnsi="Arial" w:cs="Arial"/>
          <w:b w:val="0"/>
          <w:sz w:val="22"/>
          <w:szCs w:val="22"/>
        </w:rPr>
        <w:t xml:space="preserve">% </w:t>
      </w:r>
    </w:p>
    <w:p w14:paraId="05E247A0" w14:textId="77777777" w:rsidR="005F5801" w:rsidRPr="005F5801" w:rsidRDefault="005F5801" w:rsidP="007C1AB8">
      <w:pPr>
        <w:pStyle w:val="Heading1"/>
        <w:ind w:left="720"/>
        <w:jc w:val="left"/>
        <w:rPr>
          <w:rFonts w:ascii="Arial" w:hAnsi="Arial" w:cs="Arial"/>
          <w:b w:val="0"/>
          <w:sz w:val="22"/>
          <w:szCs w:val="22"/>
        </w:rPr>
      </w:pPr>
      <w:r w:rsidRPr="005F5801">
        <w:rPr>
          <w:rFonts w:ascii="Arial" w:hAnsi="Arial" w:cs="Arial"/>
          <w:b w:val="0"/>
          <w:sz w:val="22"/>
          <w:szCs w:val="22"/>
        </w:rPr>
        <w:t xml:space="preserve">Assignment D: One </w:t>
      </w:r>
      <w:r w:rsidRPr="005F5801">
        <w:rPr>
          <w:rFonts w:ascii="Arial" w:hAnsi="Arial" w:cs="Arial"/>
          <w:b w:val="0"/>
          <w:sz w:val="22"/>
          <w:szCs w:val="22"/>
          <w:lang w:val="x-none"/>
        </w:rPr>
        <w:t xml:space="preserve">presentation, </w:t>
      </w:r>
      <w:r w:rsidRPr="005F5801">
        <w:rPr>
          <w:rFonts w:ascii="Arial" w:hAnsi="Arial" w:cs="Arial"/>
          <w:b w:val="0"/>
          <w:sz w:val="22"/>
          <w:szCs w:val="22"/>
        </w:rPr>
        <w:t xml:space="preserve">followed by discussion, worth </w:t>
      </w:r>
      <w:r w:rsidR="008C0515">
        <w:rPr>
          <w:rFonts w:ascii="Arial" w:hAnsi="Arial" w:cs="Arial"/>
          <w:b w:val="0"/>
          <w:sz w:val="22"/>
          <w:szCs w:val="22"/>
        </w:rPr>
        <w:t>10</w:t>
      </w:r>
      <w:r w:rsidRPr="005F5801">
        <w:rPr>
          <w:rFonts w:ascii="Arial" w:hAnsi="Arial" w:cs="Arial"/>
          <w:b w:val="0"/>
          <w:sz w:val="22"/>
          <w:szCs w:val="22"/>
          <w:lang w:val="x-none"/>
        </w:rPr>
        <w:t xml:space="preserve">% </w:t>
      </w:r>
    </w:p>
    <w:p w14:paraId="54E26B6A" w14:textId="77777777" w:rsidR="00387E1A" w:rsidRDefault="00387E1A" w:rsidP="00B658F0">
      <w:pPr>
        <w:pStyle w:val="ColorfulList-Accent1"/>
        <w:spacing w:after="0"/>
        <w:ind w:left="709"/>
        <w:contextualSpacing w:val="0"/>
        <w:rPr>
          <w:rFonts w:ascii="Arial" w:hAnsi="Arial" w:cs="Arial"/>
          <w:iCs/>
        </w:rPr>
      </w:pPr>
      <w:r>
        <w:rPr>
          <w:rFonts w:ascii="Arial" w:hAnsi="Arial" w:cs="Arial"/>
          <w:iCs/>
        </w:rPr>
        <w:t>2 exams, each of two hours and worth 30% each</w:t>
      </w:r>
    </w:p>
    <w:p w14:paraId="0D3F9462" w14:textId="77777777" w:rsidR="006B3A85" w:rsidRDefault="006B3A85" w:rsidP="00AE6CD0">
      <w:pPr>
        <w:pStyle w:val="ColorfulList-Accent1"/>
        <w:spacing w:after="120"/>
        <w:ind w:left="567" w:hanging="567"/>
        <w:contextualSpacing w:val="0"/>
        <w:rPr>
          <w:rFonts w:ascii="Arial" w:hAnsi="Arial" w:cs="Arial"/>
          <w:iCs/>
        </w:rPr>
      </w:pPr>
    </w:p>
    <w:p w14:paraId="5B2C2308" w14:textId="77777777" w:rsidR="00AE6CD0" w:rsidRDefault="00AE6CD0" w:rsidP="00AE6CD0">
      <w:pPr>
        <w:pStyle w:val="ColorfulList-Accent1"/>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748C2EC" w14:textId="77777777" w:rsidR="00AE6CD0" w:rsidRPr="0036174D" w:rsidRDefault="002025CE" w:rsidP="00D50113">
      <w:pPr>
        <w:pStyle w:val="ColorfulList-Accent1"/>
        <w:spacing w:after="120"/>
        <w:contextualSpacing w:val="0"/>
        <w:rPr>
          <w:rFonts w:ascii="Arial" w:hAnsi="Arial" w:cs="Arial"/>
          <w:iCs/>
        </w:rPr>
      </w:pPr>
      <w:r>
        <w:rPr>
          <w:rFonts w:ascii="Arial" w:hAnsi="Arial" w:cs="Arial"/>
          <w:i/>
          <w:iCs/>
        </w:rPr>
        <w:t>100% Coursework</w:t>
      </w:r>
      <w:r w:rsidR="0044228C" w:rsidDel="0044228C">
        <w:rPr>
          <w:rFonts w:ascii="Arial" w:hAnsi="Arial" w:cs="Arial"/>
          <w:iCs/>
        </w:rPr>
        <w:t xml:space="preserve"> </w:t>
      </w:r>
      <w:r w:rsidR="00D365BA">
        <w:rPr>
          <w:rFonts w:ascii="Arial" w:hAnsi="Arial" w:cs="Arial"/>
          <w:iCs/>
        </w:rPr>
        <w:t>(</w:t>
      </w:r>
      <w:proofErr w:type="gramStart"/>
      <w:r w:rsidR="00D365BA">
        <w:rPr>
          <w:rFonts w:ascii="Arial" w:hAnsi="Arial" w:cs="Arial"/>
          <w:iCs/>
        </w:rPr>
        <w:t>5,500 word</w:t>
      </w:r>
      <w:proofErr w:type="gramEnd"/>
      <w:r w:rsidR="00D365BA">
        <w:rPr>
          <w:rFonts w:ascii="Arial" w:hAnsi="Arial" w:cs="Arial"/>
          <w:iCs/>
        </w:rPr>
        <w:t xml:space="preserve"> assignment) </w:t>
      </w:r>
    </w:p>
    <w:p w14:paraId="4D6AA97B" w14:textId="77777777"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FF4B40B" w14:textId="77777777" w:rsidR="00B658F0" w:rsidRPr="00D50113" w:rsidRDefault="00B658F0" w:rsidP="007C1AB8">
      <w:pPr>
        <w:spacing w:after="120" w:line="240" w:lineRule="auto"/>
        <w:ind w:left="567" w:right="260"/>
        <w:jc w:val="both"/>
        <w:rPr>
          <w:rFonts w:ascii="Arial" w:hAnsi="Arial" w:cs="Arial"/>
          <w:b/>
          <w:iCs/>
        </w:rPr>
      </w:pPr>
    </w:p>
    <w:tbl>
      <w:tblPr>
        <w:tblW w:w="4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765"/>
        <w:gridCol w:w="765"/>
        <w:gridCol w:w="764"/>
        <w:gridCol w:w="764"/>
        <w:gridCol w:w="764"/>
        <w:gridCol w:w="764"/>
        <w:gridCol w:w="764"/>
        <w:gridCol w:w="750"/>
      </w:tblGrid>
      <w:tr w:rsidR="007045A3" w:rsidRPr="000F17B4" w14:paraId="4CB7E855" w14:textId="77777777" w:rsidTr="007C1AB8">
        <w:tc>
          <w:tcPr>
            <w:tcW w:w="1576" w:type="pct"/>
            <w:shd w:val="clear" w:color="auto" w:fill="D9D9D9"/>
          </w:tcPr>
          <w:p w14:paraId="39ABD41A" w14:textId="77777777" w:rsidR="007045A3" w:rsidRPr="000F17B4" w:rsidRDefault="007045A3" w:rsidP="000F17B4">
            <w:pPr>
              <w:spacing w:after="120" w:line="240" w:lineRule="auto"/>
              <w:ind w:left="33"/>
              <w:rPr>
                <w:rFonts w:ascii="Arial" w:hAnsi="Arial" w:cs="Arial"/>
                <w:b/>
              </w:rPr>
            </w:pPr>
            <w:r w:rsidRPr="000F17B4">
              <w:rPr>
                <w:rFonts w:ascii="Arial" w:hAnsi="Arial" w:cs="Arial"/>
                <w:b/>
              </w:rPr>
              <w:t>Module learning outcome</w:t>
            </w:r>
          </w:p>
        </w:tc>
        <w:tc>
          <w:tcPr>
            <w:tcW w:w="429" w:type="pct"/>
            <w:shd w:val="clear" w:color="auto" w:fill="auto"/>
          </w:tcPr>
          <w:p w14:paraId="0FF4B593" w14:textId="77777777" w:rsidR="007045A3" w:rsidRPr="000F17B4" w:rsidRDefault="007045A3" w:rsidP="000F17B4">
            <w:pPr>
              <w:spacing w:after="120" w:line="240" w:lineRule="auto"/>
              <w:rPr>
                <w:rFonts w:ascii="Arial" w:hAnsi="Arial" w:cs="Arial"/>
                <w:i/>
              </w:rPr>
            </w:pPr>
            <w:r w:rsidRPr="000F17B4">
              <w:rPr>
                <w:rFonts w:ascii="Arial" w:hAnsi="Arial" w:cs="Arial"/>
                <w:i/>
              </w:rPr>
              <w:t>8.1</w:t>
            </w:r>
          </w:p>
        </w:tc>
        <w:tc>
          <w:tcPr>
            <w:tcW w:w="429" w:type="pct"/>
            <w:shd w:val="clear" w:color="auto" w:fill="auto"/>
          </w:tcPr>
          <w:p w14:paraId="39E690DC" w14:textId="77777777" w:rsidR="007045A3" w:rsidRPr="000F17B4" w:rsidRDefault="007045A3" w:rsidP="000F17B4">
            <w:pPr>
              <w:spacing w:after="120" w:line="240" w:lineRule="auto"/>
              <w:rPr>
                <w:rFonts w:ascii="Arial" w:hAnsi="Arial" w:cs="Arial"/>
                <w:i/>
              </w:rPr>
            </w:pPr>
            <w:r w:rsidRPr="000F17B4">
              <w:rPr>
                <w:rFonts w:ascii="Arial" w:hAnsi="Arial" w:cs="Arial"/>
                <w:i/>
              </w:rPr>
              <w:t>8.2</w:t>
            </w:r>
          </w:p>
        </w:tc>
        <w:tc>
          <w:tcPr>
            <w:tcW w:w="429" w:type="pct"/>
            <w:shd w:val="clear" w:color="auto" w:fill="auto"/>
          </w:tcPr>
          <w:p w14:paraId="5D501433" w14:textId="77777777" w:rsidR="007045A3" w:rsidRPr="000F17B4" w:rsidRDefault="007045A3" w:rsidP="000F17B4">
            <w:pPr>
              <w:spacing w:after="120" w:line="240" w:lineRule="auto"/>
              <w:rPr>
                <w:rFonts w:ascii="Arial" w:hAnsi="Arial" w:cs="Arial"/>
                <w:i/>
              </w:rPr>
            </w:pPr>
            <w:r w:rsidRPr="000F17B4">
              <w:rPr>
                <w:rFonts w:ascii="Arial" w:hAnsi="Arial" w:cs="Arial"/>
                <w:i/>
              </w:rPr>
              <w:t>8.3</w:t>
            </w:r>
          </w:p>
        </w:tc>
        <w:tc>
          <w:tcPr>
            <w:tcW w:w="429" w:type="pct"/>
            <w:shd w:val="clear" w:color="auto" w:fill="auto"/>
          </w:tcPr>
          <w:p w14:paraId="6423BEEB" w14:textId="77777777" w:rsidR="007045A3" w:rsidRPr="000F17B4" w:rsidRDefault="007045A3" w:rsidP="000F17B4">
            <w:pPr>
              <w:spacing w:after="120" w:line="240" w:lineRule="auto"/>
              <w:rPr>
                <w:rFonts w:ascii="Arial" w:hAnsi="Arial" w:cs="Arial"/>
                <w:i/>
              </w:rPr>
            </w:pPr>
            <w:r w:rsidRPr="000F17B4">
              <w:rPr>
                <w:rFonts w:ascii="Arial" w:hAnsi="Arial" w:cs="Arial"/>
                <w:i/>
              </w:rPr>
              <w:t>8.4</w:t>
            </w:r>
          </w:p>
        </w:tc>
        <w:tc>
          <w:tcPr>
            <w:tcW w:w="429" w:type="pct"/>
            <w:shd w:val="clear" w:color="auto" w:fill="auto"/>
          </w:tcPr>
          <w:p w14:paraId="4A6027C5" w14:textId="77777777" w:rsidR="007045A3" w:rsidRPr="000F17B4" w:rsidRDefault="007045A3" w:rsidP="000F17B4">
            <w:pPr>
              <w:spacing w:after="120" w:line="240" w:lineRule="auto"/>
              <w:rPr>
                <w:rFonts w:ascii="Arial" w:hAnsi="Arial" w:cs="Arial"/>
                <w:i/>
              </w:rPr>
            </w:pPr>
            <w:r w:rsidRPr="000F17B4">
              <w:rPr>
                <w:rFonts w:ascii="Arial" w:hAnsi="Arial" w:cs="Arial"/>
                <w:i/>
              </w:rPr>
              <w:t>9.1</w:t>
            </w:r>
          </w:p>
        </w:tc>
        <w:tc>
          <w:tcPr>
            <w:tcW w:w="429" w:type="pct"/>
            <w:shd w:val="clear" w:color="auto" w:fill="auto"/>
          </w:tcPr>
          <w:p w14:paraId="65E287B5" w14:textId="77777777" w:rsidR="007045A3" w:rsidRPr="000F17B4" w:rsidRDefault="007045A3" w:rsidP="000F17B4">
            <w:pPr>
              <w:spacing w:after="120" w:line="240" w:lineRule="auto"/>
              <w:rPr>
                <w:rFonts w:ascii="Arial" w:hAnsi="Arial" w:cs="Arial"/>
                <w:i/>
              </w:rPr>
            </w:pPr>
            <w:r w:rsidRPr="000F17B4">
              <w:rPr>
                <w:rFonts w:ascii="Arial" w:hAnsi="Arial" w:cs="Arial"/>
                <w:i/>
              </w:rPr>
              <w:t>9.2</w:t>
            </w:r>
          </w:p>
        </w:tc>
        <w:tc>
          <w:tcPr>
            <w:tcW w:w="429" w:type="pct"/>
            <w:shd w:val="clear" w:color="auto" w:fill="auto"/>
          </w:tcPr>
          <w:p w14:paraId="3E7D0E1C" w14:textId="77777777" w:rsidR="007045A3" w:rsidRPr="000F17B4" w:rsidRDefault="007045A3" w:rsidP="000F17B4">
            <w:pPr>
              <w:spacing w:after="120" w:line="240" w:lineRule="auto"/>
              <w:rPr>
                <w:rFonts w:ascii="Arial" w:hAnsi="Arial" w:cs="Arial"/>
                <w:i/>
              </w:rPr>
            </w:pPr>
            <w:r w:rsidRPr="000F17B4">
              <w:rPr>
                <w:rFonts w:ascii="Arial" w:hAnsi="Arial" w:cs="Arial"/>
                <w:i/>
              </w:rPr>
              <w:t>9.3</w:t>
            </w:r>
          </w:p>
        </w:tc>
        <w:tc>
          <w:tcPr>
            <w:tcW w:w="421" w:type="pct"/>
            <w:shd w:val="clear" w:color="auto" w:fill="auto"/>
          </w:tcPr>
          <w:p w14:paraId="5E931C77" w14:textId="77777777" w:rsidR="007045A3" w:rsidRPr="000F17B4" w:rsidRDefault="007045A3" w:rsidP="000F17B4">
            <w:pPr>
              <w:spacing w:after="120" w:line="240" w:lineRule="auto"/>
              <w:rPr>
                <w:rFonts w:ascii="Arial" w:hAnsi="Arial" w:cs="Arial"/>
                <w:i/>
              </w:rPr>
            </w:pPr>
            <w:r w:rsidRPr="000F17B4">
              <w:rPr>
                <w:rFonts w:ascii="Arial" w:hAnsi="Arial" w:cs="Arial"/>
                <w:i/>
              </w:rPr>
              <w:t>9.4</w:t>
            </w:r>
          </w:p>
        </w:tc>
      </w:tr>
      <w:tr w:rsidR="007045A3" w:rsidRPr="000F17B4" w14:paraId="6E1BECF3" w14:textId="77777777" w:rsidTr="007C1AB8">
        <w:tc>
          <w:tcPr>
            <w:tcW w:w="1576" w:type="pct"/>
            <w:shd w:val="clear" w:color="auto" w:fill="D9D9D9"/>
          </w:tcPr>
          <w:p w14:paraId="4658DC52" w14:textId="77777777" w:rsidR="007045A3" w:rsidRPr="000F17B4" w:rsidRDefault="007045A3" w:rsidP="000F17B4">
            <w:pPr>
              <w:spacing w:after="120" w:line="240" w:lineRule="auto"/>
              <w:rPr>
                <w:rFonts w:ascii="Arial" w:hAnsi="Arial" w:cs="Arial"/>
                <w:b/>
              </w:rPr>
            </w:pPr>
            <w:r w:rsidRPr="000F17B4">
              <w:rPr>
                <w:rFonts w:ascii="Arial" w:hAnsi="Arial" w:cs="Arial"/>
                <w:b/>
              </w:rPr>
              <w:t xml:space="preserve">Learning/ teaching </w:t>
            </w:r>
            <w:r w:rsidRPr="000F17B4">
              <w:rPr>
                <w:rFonts w:ascii="Arial" w:hAnsi="Arial" w:cs="Arial"/>
                <w:b/>
              </w:rPr>
              <w:lastRenderedPageBreak/>
              <w:t>method</w:t>
            </w:r>
          </w:p>
        </w:tc>
        <w:tc>
          <w:tcPr>
            <w:tcW w:w="429" w:type="pct"/>
            <w:shd w:val="clear" w:color="auto" w:fill="auto"/>
          </w:tcPr>
          <w:p w14:paraId="5A090EA7"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288406D8"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6C074EB4"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6F633F1B"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4D78E86B"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32792338"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6C48E6B8" w14:textId="77777777" w:rsidR="007045A3" w:rsidRPr="000F17B4" w:rsidRDefault="007045A3" w:rsidP="000F17B4">
            <w:pPr>
              <w:spacing w:after="120" w:line="240" w:lineRule="auto"/>
              <w:rPr>
                <w:rFonts w:ascii="Arial" w:hAnsi="Arial" w:cs="Arial"/>
                <w:b/>
              </w:rPr>
            </w:pPr>
          </w:p>
        </w:tc>
        <w:tc>
          <w:tcPr>
            <w:tcW w:w="421" w:type="pct"/>
            <w:shd w:val="clear" w:color="auto" w:fill="auto"/>
          </w:tcPr>
          <w:p w14:paraId="43C816B5" w14:textId="77777777" w:rsidR="007045A3" w:rsidRPr="000F17B4" w:rsidRDefault="007045A3" w:rsidP="000F17B4">
            <w:pPr>
              <w:spacing w:after="120" w:line="240" w:lineRule="auto"/>
              <w:rPr>
                <w:rFonts w:ascii="Arial" w:hAnsi="Arial" w:cs="Arial"/>
                <w:b/>
              </w:rPr>
            </w:pPr>
          </w:p>
        </w:tc>
      </w:tr>
      <w:tr w:rsidR="007045A3" w:rsidRPr="000F17B4" w14:paraId="740F419D" w14:textId="77777777" w:rsidTr="007C1AB8">
        <w:tc>
          <w:tcPr>
            <w:tcW w:w="1576" w:type="pct"/>
            <w:shd w:val="clear" w:color="auto" w:fill="auto"/>
          </w:tcPr>
          <w:p w14:paraId="405E2641" w14:textId="77777777" w:rsidR="007045A3" w:rsidRPr="000F17B4" w:rsidRDefault="007045A3" w:rsidP="000F17B4">
            <w:pPr>
              <w:spacing w:after="120" w:line="240" w:lineRule="auto"/>
              <w:rPr>
                <w:rFonts w:ascii="Arial" w:hAnsi="Arial" w:cs="Arial"/>
                <w:b/>
              </w:rPr>
            </w:pPr>
            <w:r w:rsidRPr="000F17B4">
              <w:rPr>
                <w:rFonts w:ascii="Arial" w:hAnsi="Arial" w:cs="Arial"/>
                <w:b/>
              </w:rPr>
              <w:t>Private Study</w:t>
            </w:r>
          </w:p>
        </w:tc>
        <w:tc>
          <w:tcPr>
            <w:tcW w:w="429" w:type="pct"/>
            <w:shd w:val="clear" w:color="auto" w:fill="auto"/>
          </w:tcPr>
          <w:p w14:paraId="76EE6EBE"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341B54C7"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1790238C"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0FB06FC1"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7EBBF3EF"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0B8A1A34"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4C1BF277"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1" w:type="pct"/>
            <w:shd w:val="clear" w:color="auto" w:fill="auto"/>
          </w:tcPr>
          <w:p w14:paraId="67319432" w14:textId="77777777" w:rsidR="007045A3" w:rsidRPr="000F17B4" w:rsidRDefault="007045A3" w:rsidP="000F17B4">
            <w:pPr>
              <w:spacing w:after="120" w:line="240" w:lineRule="auto"/>
              <w:rPr>
                <w:rFonts w:ascii="Arial" w:hAnsi="Arial" w:cs="Arial"/>
                <w:b/>
              </w:rPr>
            </w:pPr>
            <w:r>
              <w:rPr>
                <w:rFonts w:ascii="Arial" w:hAnsi="Arial" w:cs="Arial"/>
                <w:b/>
              </w:rPr>
              <w:t>x</w:t>
            </w:r>
          </w:p>
        </w:tc>
      </w:tr>
      <w:tr w:rsidR="007045A3" w:rsidRPr="000F17B4" w14:paraId="35479B91" w14:textId="77777777" w:rsidTr="007C1AB8">
        <w:tc>
          <w:tcPr>
            <w:tcW w:w="1576" w:type="pct"/>
            <w:shd w:val="clear" w:color="auto" w:fill="auto"/>
          </w:tcPr>
          <w:p w14:paraId="0855231E" w14:textId="77777777" w:rsidR="007045A3" w:rsidRPr="000F17B4" w:rsidRDefault="007045A3" w:rsidP="000F17B4">
            <w:pPr>
              <w:spacing w:after="120" w:line="240" w:lineRule="auto"/>
              <w:rPr>
                <w:rFonts w:ascii="Arial" w:hAnsi="Arial" w:cs="Arial"/>
                <w:i/>
              </w:rPr>
            </w:pPr>
            <w:r>
              <w:rPr>
                <w:rFonts w:ascii="Arial" w:hAnsi="Arial" w:cs="Arial"/>
                <w:i/>
              </w:rPr>
              <w:t>Seminar</w:t>
            </w:r>
          </w:p>
        </w:tc>
        <w:tc>
          <w:tcPr>
            <w:tcW w:w="429" w:type="pct"/>
            <w:shd w:val="clear" w:color="auto" w:fill="auto"/>
          </w:tcPr>
          <w:p w14:paraId="4530EBC6"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00D1D56A"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0CF4E5C1"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2A1ED0F7"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7B436D61"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64C81C08"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6BE855D1"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1" w:type="pct"/>
            <w:shd w:val="clear" w:color="auto" w:fill="auto"/>
          </w:tcPr>
          <w:p w14:paraId="4B3116E1" w14:textId="77777777" w:rsidR="007045A3" w:rsidRPr="000F17B4" w:rsidRDefault="007045A3" w:rsidP="000F17B4">
            <w:pPr>
              <w:spacing w:after="120" w:line="240" w:lineRule="auto"/>
              <w:rPr>
                <w:rFonts w:ascii="Arial" w:hAnsi="Arial" w:cs="Arial"/>
                <w:b/>
              </w:rPr>
            </w:pPr>
            <w:r>
              <w:rPr>
                <w:rFonts w:ascii="Arial" w:hAnsi="Arial" w:cs="Arial"/>
                <w:b/>
              </w:rPr>
              <w:t>x</w:t>
            </w:r>
          </w:p>
        </w:tc>
      </w:tr>
      <w:tr w:rsidR="007045A3" w:rsidRPr="000F17B4" w14:paraId="303E4B86" w14:textId="77777777" w:rsidTr="007C1AB8">
        <w:tc>
          <w:tcPr>
            <w:tcW w:w="1576" w:type="pct"/>
            <w:shd w:val="clear" w:color="auto" w:fill="D9D9D9"/>
          </w:tcPr>
          <w:p w14:paraId="1727DDC0" w14:textId="77777777" w:rsidR="007045A3" w:rsidRPr="000F17B4" w:rsidRDefault="007045A3" w:rsidP="000F17B4">
            <w:pPr>
              <w:spacing w:after="120" w:line="240" w:lineRule="auto"/>
              <w:rPr>
                <w:rFonts w:ascii="Arial" w:hAnsi="Arial" w:cs="Arial"/>
                <w:b/>
              </w:rPr>
            </w:pPr>
            <w:r w:rsidRPr="000F17B4">
              <w:rPr>
                <w:rFonts w:ascii="Arial" w:hAnsi="Arial" w:cs="Arial"/>
                <w:b/>
              </w:rPr>
              <w:t>Assessment method</w:t>
            </w:r>
          </w:p>
        </w:tc>
        <w:tc>
          <w:tcPr>
            <w:tcW w:w="429" w:type="pct"/>
            <w:shd w:val="clear" w:color="auto" w:fill="auto"/>
          </w:tcPr>
          <w:p w14:paraId="6F72BA95"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1F6CC9F0"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2B8BAD91"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288E620D"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79546669"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35E9B43E"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61B49027" w14:textId="77777777" w:rsidR="007045A3" w:rsidRPr="000F17B4" w:rsidRDefault="007045A3" w:rsidP="000F17B4">
            <w:pPr>
              <w:spacing w:after="120" w:line="240" w:lineRule="auto"/>
              <w:rPr>
                <w:rFonts w:ascii="Arial" w:hAnsi="Arial" w:cs="Arial"/>
                <w:b/>
              </w:rPr>
            </w:pPr>
          </w:p>
        </w:tc>
        <w:tc>
          <w:tcPr>
            <w:tcW w:w="421" w:type="pct"/>
            <w:shd w:val="clear" w:color="auto" w:fill="auto"/>
          </w:tcPr>
          <w:p w14:paraId="670B1C01" w14:textId="77777777" w:rsidR="007045A3" w:rsidRPr="000F17B4" w:rsidRDefault="007045A3" w:rsidP="000F17B4">
            <w:pPr>
              <w:spacing w:after="120" w:line="240" w:lineRule="auto"/>
              <w:rPr>
                <w:rFonts w:ascii="Arial" w:hAnsi="Arial" w:cs="Arial"/>
                <w:b/>
              </w:rPr>
            </w:pPr>
          </w:p>
        </w:tc>
      </w:tr>
      <w:tr w:rsidR="007045A3" w:rsidRPr="000F17B4" w14:paraId="16D2FC9B" w14:textId="77777777" w:rsidTr="007C1AB8">
        <w:tc>
          <w:tcPr>
            <w:tcW w:w="1576" w:type="pct"/>
            <w:shd w:val="clear" w:color="auto" w:fill="auto"/>
          </w:tcPr>
          <w:p w14:paraId="60E42281" w14:textId="77777777" w:rsidR="007045A3" w:rsidRPr="000F17B4" w:rsidRDefault="007045A3" w:rsidP="00E0633C">
            <w:pPr>
              <w:spacing w:after="120" w:line="240" w:lineRule="auto"/>
              <w:rPr>
                <w:rFonts w:ascii="Arial" w:hAnsi="Arial" w:cs="Arial"/>
                <w:i/>
              </w:rPr>
            </w:pPr>
            <w:r>
              <w:rPr>
                <w:rFonts w:ascii="Arial" w:hAnsi="Arial" w:cs="Arial"/>
                <w:i/>
              </w:rPr>
              <w:t xml:space="preserve">Source </w:t>
            </w:r>
            <w:r w:rsidR="00E0633C">
              <w:rPr>
                <w:rFonts w:ascii="Arial" w:hAnsi="Arial" w:cs="Arial"/>
                <w:i/>
              </w:rPr>
              <w:t>commentaries</w:t>
            </w:r>
          </w:p>
        </w:tc>
        <w:tc>
          <w:tcPr>
            <w:tcW w:w="429" w:type="pct"/>
            <w:shd w:val="clear" w:color="auto" w:fill="auto"/>
          </w:tcPr>
          <w:p w14:paraId="2B0C8C00"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1B63AD60"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59FEF964"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25B2500A"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44B559E3"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7C463386"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2C33A89F"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1" w:type="pct"/>
            <w:shd w:val="clear" w:color="auto" w:fill="auto"/>
          </w:tcPr>
          <w:p w14:paraId="54D8A8DD" w14:textId="77777777" w:rsidR="007045A3" w:rsidRPr="000F17B4" w:rsidRDefault="007045A3" w:rsidP="000F17B4">
            <w:pPr>
              <w:spacing w:after="120" w:line="240" w:lineRule="auto"/>
              <w:rPr>
                <w:rFonts w:ascii="Arial" w:hAnsi="Arial" w:cs="Arial"/>
                <w:b/>
              </w:rPr>
            </w:pPr>
          </w:p>
        </w:tc>
      </w:tr>
      <w:tr w:rsidR="007045A3" w:rsidRPr="000F17B4" w14:paraId="6A8A56B5" w14:textId="77777777" w:rsidTr="007C1AB8">
        <w:tc>
          <w:tcPr>
            <w:tcW w:w="1576" w:type="pct"/>
            <w:shd w:val="clear" w:color="auto" w:fill="auto"/>
          </w:tcPr>
          <w:p w14:paraId="37318360" w14:textId="77777777" w:rsidR="007045A3" w:rsidRPr="000F17B4" w:rsidRDefault="007045A3" w:rsidP="000F17B4">
            <w:pPr>
              <w:spacing w:after="120" w:line="240" w:lineRule="auto"/>
              <w:rPr>
                <w:rFonts w:ascii="Arial" w:hAnsi="Arial" w:cs="Arial"/>
                <w:i/>
              </w:rPr>
            </w:pPr>
            <w:r>
              <w:rPr>
                <w:rFonts w:ascii="Arial" w:hAnsi="Arial" w:cs="Arial"/>
                <w:i/>
              </w:rPr>
              <w:t>Essay</w:t>
            </w:r>
          </w:p>
        </w:tc>
        <w:tc>
          <w:tcPr>
            <w:tcW w:w="429" w:type="pct"/>
            <w:shd w:val="clear" w:color="auto" w:fill="auto"/>
          </w:tcPr>
          <w:p w14:paraId="0189D524"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1FC282B3"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041CBE7C"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5DC45587"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50120042"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5DA0CED3"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7D2B4F3D"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1" w:type="pct"/>
            <w:shd w:val="clear" w:color="auto" w:fill="auto"/>
          </w:tcPr>
          <w:p w14:paraId="018BC828" w14:textId="77777777" w:rsidR="007045A3" w:rsidRPr="000F17B4" w:rsidRDefault="007045A3" w:rsidP="000F17B4">
            <w:pPr>
              <w:spacing w:after="120" w:line="240" w:lineRule="auto"/>
              <w:rPr>
                <w:rFonts w:ascii="Arial" w:hAnsi="Arial" w:cs="Arial"/>
                <w:b/>
              </w:rPr>
            </w:pPr>
            <w:r>
              <w:rPr>
                <w:rFonts w:ascii="Arial" w:hAnsi="Arial" w:cs="Arial"/>
                <w:b/>
              </w:rPr>
              <w:t>x</w:t>
            </w:r>
          </w:p>
        </w:tc>
      </w:tr>
      <w:tr w:rsidR="007045A3" w:rsidRPr="000F17B4" w14:paraId="1B57DDB3" w14:textId="77777777" w:rsidTr="007C1AB8">
        <w:tc>
          <w:tcPr>
            <w:tcW w:w="1576" w:type="pct"/>
            <w:shd w:val="clear" w:color="auto" w:fill="auto"/>
          </w:tcPr>
          <w:p w14:paraId="582D5617" w14:textId="77777777" w:rsidR="007045A3" w:rsidRPr="000F17B4" w:rsidRDefault="007045A3" w:rsidP="000F17B4">
            <w:pPr>
              <w:spacing w:after="120" w:line="240" w:lineRule="auto"/>
              <w:rPr>
                <w:rFonts w:ascii="Arial" w:hAnsi="Arial" w:cs="Arial"/>
                <w:i/>
              </w:rPr>
            </w:pPr>
            <w:r>
              <w:rPr>
                <w:rFonts w:ascii="Arial" w:hAnsi="Arial" w:cs="Arial"/>
                <w:i/>
              </w:rPr>
              <w:t>Presentation</w:t>
            </w:r>
          </w:p>
        </w:tc>
        <w:tc>
          <w:tcPr>
            <w:tcW w:w="429" w:type="pct"/>
            <w:shd w:val="clear" w:color="auto" w:fill="auto"/>
          </w:tcPr>
          <w:p w14:paraId="5E4C8AB8"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397290EE"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7B2EDD5D"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4FEF2FFF"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2611232E"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7A7F5182"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0166D21B"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1" w:type="pct"/>
            <w:shd w:val="clear" w:color="auto" w:fill="auto"/>
          </w:tcPr>
          <w:p w14:paraId="6096FC3F" w14:textId="77777777" w:rsidR="007045A3" w:rsidRPr="000F17B4" w:rsidRDefault="007045A3" w:rsidP="000F17B4">
            <w:pPr>
              <w:spacing w:after="120" w:line="240" w:lineRule="auto"/>
              <w:rPr>
                <w:rFonts w:ascii="Arial" w:hAnsi="Arial" w:cs="Arial"/>
                <w:b/>
              </w:rPr>
            </w:pPr>
          </w:p>
        </w:tc>
      </w:tr>
      <w:tr w:rsidR="007045A3" w:rsidRPr="000F17B4" w14:paraId="717E4937" w14:textId="77777777" w:rsidTr="007C1AB8">
        <w:tc>
          <w:tcPr>
            <w:tcW w:w="1576" w:type="pct"/>
            <w:shd w:val="clear" w:color="auto" w:fill="auto"/>
          </w:tcPr>
          <w:p w14:paraId="14E0CEAF" w14:textId="77777777" w:rsidR="007045A3" w:rsidRPr="000F17B4" w:rsidRDefault="007045A3" w:rsidP="000F17B4">
            <w:pPr>
              <w:spacing w:after="120" w:line="240" w:lineRule="auto"/>
              <w:rPr>
                <w:rFonts w:ascii="Arial" w:hAnsi="Arial" w:cs="Arial"/>
                <w:i/>
              </w:rPr>
            </w:pPr>
            <w:r>
              <w:rPr>
                <w:rFonts w:ascii="Arial" w:hAnsi="Arial" w:cs="Arial"/>
                <w:i/>
              </w:rPr>
              <w:t>Examinations</w:t>
            </w:r>
          </w:p>
        </w:tc>
        <w:tc>
          <w:tcPr>
            <w:tcW w:w="429" w:type="pct"/>
            <w:shd w:val="clear" w:color="auto" w:fill="auto"/>
          </w:tcPr>
          <w:p w14:paraId="0F65BAF6"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4CC2295C"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4FB99EE3"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1F115CF5"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7827EB75" w14:textId="77777777" w:rsidR="007045A3" w:rsidRPr="000F17B4" w:rsidRDefault="007045A3" w:rsidP="000F17B4">
            <w:pPr>
              <w:spacing w:after="120" w:line="240" w:lineRule="auto"/>
              <w:rPr>
                <w:rFonts w:ascii="Arial" w:hAnsi="Arial" w:cs="Arial"/>
                <w:b/>
              </w:rPr>
            </w:pPr>
          </w:p>
        </w:tc>
        <w:tc>
          <w:tcPr>
            <w:tcW w:w="429" w:type="pct"/>
            <w:shd w:val="clear" w:color="auto" w:fill="auto"/>
          </w:tcPr>
          <w:p w14:paraId="2E80DA25"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9" w:type="pct"/>
            <w:shd w:val="clear" w:color="auto" w:fill="auto"/>
          </w:tcPr>
          <w:p w14:paraId="203D93FC" w14:textId="77777777" w:rsidR="007045A3" w:rsidRPr="000F17B4" w:rsidRDefault="007045A3" w:rsidP="000F17B4">
            <w:pPr>
              <w:spacing w:after="120" w:line="240" w:lineRule="auto"/>
              <w:rPr>
                <w:rFonts w:ascii="Arial" w:hAnsi="Arial" w:cs="Arial"/>
                <w:b/>
              </w:rPr>
            </w:pPr>
            <w:r>
              <w:rPr>
                <w:rFonts w:ascii="Arial" w:hAnsi="Arial" w:cs="Arial"/>
                <w:b/>
              </w:rPr>
              <w:t>x</w:t>
            </w:r>
          </w:p>
        </w:tc>
        <w:tc>
          <w:tcPr>
            <w:tcW w:w="421" w:type="pct"/>
            <w:shd w:val="clear" w:color="auto" w:fill="auto"/>
          </w:tcPr>
          <w:p w14:paraId="7562FC84" w14:textId="77777777" w:rsidR="007045A3" w:rsidRPr="000F17B4" w:rsidRDefault="007045A3" w:rsidP="000F17B4">
            <w:pPr>
              <w:spacing w:after="120" w:line="240" w:lineRule="auto"/>
              <w:rPr>
                <w:rFonts w:ascii="Arial" w:hAnsi="Arial" w:cs="Arial"/>
                <w:b/>
              </w:rPr>
            </w:pPr>
          </w:p>
        </w:tc>
      </w:tr>
    </w:tbl>
    <w:p w14:paraId="14CBA72A" w14:textId="77777777" w:rsidR="007A6245" w:rsidRDefault="007A6245" w:rsidP="00302082">
      <w:pPr>
        <w:spacing w:after="120" w:line="240" w:lineRule="auto"/>
        <w:ind w:left="426" w:right="260"/>
        <w:rPr>
          <w:rFonts w:ascii="Arial" w:hAnsi="Arial" w:cs="Arial"/>
          <w:b/>
          <w:iCs/>
        </w:rPr>
      </w:pPr>
    </w:p>
    <w:p w14:paraId="63D8A43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91FAC8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8F67CE">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2B019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FE83D4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8343E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5CFD0FA" w14:textId="77777777" w:rsidR="00D50113" w:rsidRDefault="00D50113" w:rsidP="00D50113">
      <w:pPr>
        <w:spacing w:after="120" w:line="240" w:lineRule="auto"/>
        <w:ind w:left="426" w:right="260"/>
        <w:rPr>
          <w:rFonts w:ascii="Arial" w:hAnsi="Arial" w:cs="Arial"/>
          <w:iCs/>
        </w:rPr>
      </w:pPr>
    </w:p>
    <w:p w14:paraId="6090D02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r w:rsidR="008F67CE">
        <w:rPr>
          <w:rFonts w:ascii="Arial" w:hAnsi="Arial" w:cs="Arial"/>
          <w:b/>
        </w:rPr>
        <w:t>:</w:t>
      </w:r>
    </w:p>
    <w:p w14:paraId="2E8F2185" w14:textId="77777777" w:rsidR="008F67CE" w:rsidRPr="008F67CE" w:rsidRDefault="008F67CE" w:rsidP="008F67CE">
      <w:pPr>
        <w:spacing w:after="120" w:line="240" w:lineRule="auto"/>
        <w:ind w:left="567" w:right="260"/>
        <w:jc w:val="both"/>
        <w:rPr>
          <w:rFonts w:ascii="Arial" w:hAnsi="Arial" w:cs="Arial"/>
        </w:rPr>
      </w:pPr>
      <w:r w:rsidRPr="008F67CE">
        <w:rPr>
          <w:rFonts w:ascii="Arial" w:hAnsi="Arial" w:cs="Arial"/>
        </w:rPr>
        <w:t>Canterbury</w:t>
      </w:r>
    </w:p>
    <w:p w14:paraId="4405B69F" w14:textId="77777777" w:rsidR="002A7F48" w:rsidRDefault="002A7F48" w:rsidP="00AE6CD0">
      <w:pPr>
        <w:spacing w:after="120" w:line="240" w:lineRule="auto"/>
        <w:ind w:left="567" w:right="260" w:hanging="567"/>
        <w:jc w:val="both"/>
        <w:rPr>
          <w:rFonts w:ascii="Arial" w:hAnsi="Arial" w:cs="Arial"/>
          <w:b/>
        </w:rPr>
      </w:pPr>
    </w:p>
    <w:p w14:paraId="2A3BBA4B"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066A27E" w14:textId="77777777" w:rsidR="009A2D37" w:rsidRDefault="008F67CE" w:rsidP="008F67CE">
      <w:pPr>
        <w:spacing w:after="120" w:line="240" w:lineRule="auto"/>
        <w:ind w:left="567" w:right="260"/>
        <w:rPr>
          <w:rFonts w:ascii="Arial" w:hAnsi="Arial" w:cs="Arial"/>
          <w:iCs/>
        </w:rPr>
      </w:pPr>
      <w:r>
        <w:rPr>
          <w:rFonts w:ascii="Arial" w:hAnsi="Arial" w:cs="Arial"/>
          <w:iCs/>
        </w:rPr>
        <w:t>This module will explore from a comparative perspective how European societies (including Britain) came to terms with the Second World War and its legacy.</w:t>
      </w:r>
      <w:r w:rsidR="0044228C">
        <w:rPr>
          <w:rFonts w:ascii="Arial" w:hAnsi="Arial" w:cs="Arial"/>
          <w:iCs/>
        </w:rPr>
        <w:t xml:space="preserve"> As a comparative module this includes significant elements exploring </w:t>
      </w:r>
      <w:r w:rsidR="00E0633C">
        <w:rPr>
          <w:rFonts w:ascii="Arial" w:hAnsi="Arial" w:cs="Arial"/>
          <w:iCs/>
        </w:rPr>
        <w:t>the socio-cultural history and historiography of these societies.</w:t>
      </w:r>
    </w:p>
    <w:p w14:paraId="0C748E0C" w14:textId="77777777" w:rsidR="008F67CE" w:rsidRDefault="008F67CE" w:rsidP="00D50113">
      <w:pPr>
        <w:spacing w:after="120" w:line="240" w:lineRule="auto"/>
        <w:ind w:left="426" w:right="260"/>
        <w:rPr>
          <w:rFonts w:ascii="Arial" w:hAnsi="Arial" w:cs="Arial"/>
          <w:iCs/>
        </w:rPr>
      </w:pPr>
    </w:p>
    <w:p w14:paraId="6E7A26C4" w14:textId="77777777" w:rsidR="00641D6D" w:rsidRPr="00302082" w:rsidRDefault="00641D6D" w:rsidP="002A7F48">
      <w:pPr>
        <w:pBdr>
          <w:bottom w:val="single" w:sz="6" w:space="1" w:color="auto"/>
        </w:pBdr>
        <w:spacing w:after="120" w:line="240" w:lineRule="auto"/>
        <w:ind w:right="261"/>
        <w:rPr>
          <w:rFonts w:ascii="Arial" w:hAnsi="Arial" w:cs="Arial"/>
        </w:rPr>
      </w:pPr>
    </w:p>
    <w:p w14:paraId="5F2E27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8A22B3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5FA69B" w14:textId="77777777" w:rsidR="00422B69" w:rsidRPr="00302082" w:rsidRDefault="00422B69" w:rsidP="00302082">
      <w:pPr>
        <w:spacing w:after="120" w:line="240" w:lineRule="auto"/>
        <w:ind w:right="-330"/>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400"/>
      </w:tblGrid>
      <w:tr w:rsidR="002B6690" w:rsidRPr="000F17B4" w14:paraId="2383DAE2" w14:textId="77777777" w:rsidTr="000F17B4">
        <w:trPr>
          <w:trHeight w:val="317"/>
        </w:trPr>
        <w:tc>
          <w:tcPr>
            <w:tcW w:w="1526" w:type="dxa"/>
            <w:shd w:val="clear" w:color="auto" w:fill="auto"/>
          </w:tcPr>
          <w:p w14:paraId="00875DCE" w14:textId="77777777" w:rsidR="00422B69" w:rsidRPr="000F17B4" w:rsidRDefault="00422B69" w:rsidP="000F17B4">
            <w:pPr>
              <w:spacing w:after="120" w:line="240" w:lineRule="auto"/>
              <w:ind w:right="-330"/>
              <w:rPr>
                <w:rFonts w:ascii="Arial" w:hAnsi="Arial" w:cs="Arial"/>
                <w:sz w:val="18"/>
              </w:rPr>
            </w:pPr>
            <w:r w:rsidRPr="000F17B4">
              <w:rPr>
                <w:rFonts w:ascii="Arial" w:hAnsi="Arial" w:cs="Arial"/>
                <w:sz w:val="18"/>
              </w:rPr>
              <w:t>Date approved</w:t>
            </w:r>
          </w:p>
        </w:tc>
        <w:tc>
          <w:tcPr>
            <w:tcW w:w="1701" w:type="dxa"/>
            <w:shd w:val="clear" w:color="auto" w:fill="auto"/>
          </w:tcPr>
          <w:p w14:paraId="642664FA" w14:textId="77777777" w:rsidR="00422B69" w:rsidRPr="000F17B4" w:rsidRDefault="00422B69" w:rsidP="000F17B4">
            <w:pPr>
              <w:spacing w:after="120" w:line="240" w:lineRule="auto"/>
              <w:rPr>
                <w:rFonts w:ascii="Arial" w:hAnsi="Arial" w:cs="Arial"/>
                <w:sz w:val="18"/>
              </w:rPr>
            </w:pPr>
            <w:r w:rsidRPr="000F17B4">
              <w:rPr>
                <w:rFonts w:ascii="Arial" w:hAnsi="Arial" w:cs="Arial"/>
                <w:sz w:val="18"/>
              </w:rPr>
              <w:t>Major/minor revision</w:t>
            </w:r>
          </w:p>
        </w:tc>
        <w:tc>
          <w:tcPr>
            <w:tcW w:w="2410" w:type="dxa"/>
            <w:shd w:val="clear" w:color="auto" w:fill="auto"/>
          </w:tcPr>
          <w:p w14:paraId="2FFCAD0E" w14:textId="77777777" w:rsidR="00422B69" w:rsidRPr="000F17B4" w:rsidRDefault="00422B69" w:rsidP="000F17B4">
            <w:pPr>
              <w:spacing w:after="120" w:line="240" w:lineRule="auto"/>
              <w:ind w:right="-34"/>
              <w:rPr>
                <w:rFonts w:ascii="Arial" w:hAnsi="Arial" w:cs="Arial"/>
                <w:sz w:val="18"/>
              </w:rPr>
            </w:pPr>
            <w:r w:rsidRPr="000F17B4">
              <w:rPr>
                <w:rFonts w:ascii="Arial" w:hAnsi="Arial" w:cs="Arial"/>
                <w:sz w:val="18"/>
              </w:rPr>
              <w:t xml:space="preserve">Start date of the delivery </w:t>
            </w:r>
            <w:proofErr w:type="gramStart"/>
            <w:r w:rsidRPr="000F17B4">
              <w:rPr>
                <w:rFonts w:ascii="Arial" w:hAnsi="Arial" w:cs="Arial"/>
                <w:sz w:val="18"/>
              </w:rPr>
              <w:t>of  revised</w:t>
            </w:r>
            <w:proofErr w:type="gramEnd"/>
            <w:r w:rsidRPr="000F17B4">
              <w:rPr>
                <w:rFonts w:ascii="Arial" w:hAnsi="Arial" w:cs="Arial"/>
                <w:sz w:val="18"/>
              </w:rPr>
              <w:t xml:space="preserve"> version</w:t>
            </w:r>
          </w:p>
        </w:tc>
        <w:tc>
          <w:tcPr>
            <w:tcW w:w="2448" w:type="dxa"/>
            <w:shd w:val="clear" w:color="auto" w:fill="auto"/>
          </w:tcPr>
          <w:p w14:paraId="0B87B60D" w14:textId="77777777" w:rsidR="00422B69" w:rsidRPr="000F17B4" w:rsidRDefault="00422B69" w:rsidP="000F17B4">
            <w:pPr>
              <w:spacing w:after="120" w:line="240" w:lineRule="auto"/>
              <w:ind w:right="-330"/>
              <w:rPr>
                <w:rFonts w:ascii="Arial" w:hAnsi="Arial" w:cs="Arial"/>
                <w:sz w:val="18"/>
              </w:rPr>
            </w:pPr>
            <w:r w:rsidRPr="000F17B4">
              <w:rPr>
                <w:rFonts w:ascii="Arial" w:hAnsi="Arial" w:cs="Arial"/>
                <w:sz w:val="18"/>
              </w:rPr>
              <w:t>Section revised</w:t>
            </w:r>
          </w:p>
        </w:tc>
        <w:tc>
          <w:tcPr>
            <w:tcW w:w="2400" w:type="dxa"/>
            <w:shd w:val="clear" w:color="auto" w:fill="auto"/>
          </w:tcPr>
          <w:p w14:paraId="705FBA88" w14:textId="77777777" w:rsidR="00422B69" w:rsidRPr="000F17B4" w:rsidRDefault="00422B69" w:rsidP="000F17B4">
            <w:pPr>
              <w:spacing w:after="120" w:line="240" w:lineRule="auto"/>
              <w:ind w:right="-330"/>
              <w:rPr>
                <w:rFonts w:ascii="Arial" w:hAnsi="Arial" w:cs="Arial"/>
                <w:sz w:val="18"/>
              </w:rPr>
            </w:pPr>
            <w:r w:rsidRPr="000F17B4">
              <w:rPr>
                <w:rFonts w:ascii="Arial" w:hAnsi="Arial" w:cs="Arial"/>
                <w:sz w:val="18"/>
              </w:rPr>
              <w:t>Impacts PLOs</w:t>
            </w:r>
            <w:r w:rsidR="00694309" w:rsidRPr="000F17B4">
              <w:rPr>
                <w:rFonts w:ascii="Arial" w:hAnsi="Arial" w:cs="Arial"/>
                <w:sz w:val="18"/>
              </w:rPr>
              <w:t xml:space="preserve"> (</w:t>
            </w:r>
            <w:r w:rsidR="001A425B" w:rsidRPr="000F17B4">
              <w:rPr>
                <w:rFonts w:ascii="Arial" w:hAnsi="Arial" w:cs="Arial"/>
                <w:sz w:val="18"/>
              </w:rPr>
              <w:t>Q6&amp;7 cover sheet)</w:t>
            </w:r>
          </w:p>
        </w:tc>
      </w:tr>
      <w:tr w:rsidR="002B6690" w:rsidRPr="000F17B4" w14:paraId="5957226A" w14:textId="77777777" w:rsidTr="000F17B4">
        <w:trPr>
          <w:trHeight w:val="305"/>
        </w:trPr>
        <w:tc>
          <w:tcPr>
            <w:tcW w:w="1526" w:type="dxa"/>
            <w:shd w:val="clear" w:color="auto" w:fill="auto"/>
          </w:tcPr>
          <w:p w14:paraId="1470E419" w14:textId="77777777" w:rsidR="00422B69" w:rsidRPr="000F17B4" w:rsidRDefault="00422B69" w:rsidP="000F17B4">
            <w:pPr>
              <w:spacing w:after="120" w:line="240" w:lineRule="auto"/>
              <w:ind w:right="-330"/>
              <w:rPr>
                <w:rFonts w:ascii="Arial" w:hAnsi="Arial" w:cs="Arial"/>
              </w:rPr>
            </w:pPr>
          </w:p>
        </w:tc>
        <w:tc>
          <w:tcPr>
            <w:tcW w:w="1701" w:type="dxa"/>
            <w:shd w:val="clear" w:color="auto" w:fill="auto"/>
          </w:tcPr>
          <w:p w14:paraId="49EB5E4F" w14:textId="77777777" w:rsidR="00422B69" w:rsidRPr="000F17B4" w:rsidRDefault="00422B69" w:rsidP="000F17B4">
            <w:pPr>
              <w:spacing w:after="120" w:line="240" w:lineRule="auto"/>
              <w:ind w:right="-330"/>
              <w:rPr>
                <w:rFonts w:ascii="Arial" w:hAnsi="Arial" w:cs="Arial"/>
              </w:rPr>
            </w:pPr>
          </w:p>
        </w:tc>
        <w:tc>
          <w:tcPr>
            <w:tcW w:w="2410" w:type="dxa"/>
            <w:shd w:val="clear" w:color="auto" w:fill="auto"/>
          </w:tcPr>
          <w:p w14:paraId="658DE49F" w14:textId="77777777" w:rsidR="00422B69" w:rsidRPr="000F17B4" w:rsidRDefault="00422B69" w:rsidP="000F17B4">
            <w:pPr>
              <w:spacing w:after="120" w:line="240" w:lineRule="auto"/>
              <w:ind w:right="-330"/>
              <w:rPr>
                <w:rFonts w:ascii="Arial" w:hAnsi="Arial" w:cs="Arial"/>
              </w:rPr>
            </w:pPr>
          </w:p>
        </w:tc>
        <w:tc>
          <w:tcPr>
            <w:tcW w:w="2448" w:type="dxa"/>
            <w:shd w:val="clear" w:color="auto" w:fill="auto"/>
          </w:tcPr>
          <w:p w14:paraId="0F88A57F" w14:textId="77777777" w:rsidR="00422B69" w:rsidRPr="000F17B4" w:rsidRDefault="00422B69" w:rsidP="000F17B4">
            <w:pPr>
              <w:spacing w:after="120" w:line="240" w:lineRule="auto"/>
              <w:ind w:right="-330"/>
              <w:rPr>
                <w:rFonts w:ascii="Arial" w:hAnsi="Arial" w:cs="Arial"/>
              </w:rPr>
            </w:pPr>
          </w:p>
        </w:tc>
        <w:tc>
          <w:tcPr>
            <w:tcW w:w="2400" w:type="dxa"/>
            <w:shd w:val="clear" w:color="auto" w:fill="auto"/>
          </w:tcPr>
          <w:p w14:paraId="0841A4AC" w14:textId="77777777" w:rsidR="00422B69" w:rsidRPr="000F17B4" w:rsidRDefault="00422B69" w:rsidP="000F17B4">
            <w:pPr>
              <w:spacing w:after="120" w:line="240" w:lineRule="auto"/>
              <w:ind w:right="-330"/>
              <w:rPr>
                <w:rFonts w:ascii="Arial" w:hAnsi="Arial" w:cs="Arial"/>
              </w:rPr>
            </w:pPr>
          </w:p>
        </w:tc>
      </w:tr>
      <w:tr w:rsidR="002B6690" w:rsidRPr="000F17B4" w14:paraId="3132CFEB" w14:textId="77777777" w:rsidTr="000F17B4">
        <w:trPr>
          <w:trHeight w:val="305"/>
        </w:trPr>
        <w:tc>
          <w:tcPr>
            <w:tcW w:w="1526" w:type="dxa"/>
            <w:shd w:val="clear" w:color="auto" w:fill="auto"/>
          </w:tcPr>
          <w:p w14:paraId="7ED024BB" w14:textId="77777777" w:rsidR="00422B69" w:rsidRPr="000F17B4" w:rsidRDefault="00422B69" w:rsidP="000F17B4">
            <w:pPr>
              <w:spacing w:after="120" w:line="240" w:lineRule="auto"/>
              <w:ind w:right="-330"/>
              <w:rPr>
                <w:rFonts w:ascii="Arial" w:hAnsi="Arial" w:cs="Arial"/>
              </w:rPr>
            </w:pPr>
          </w:p>
        </w:tc>
        <w:tc>
          <w:tcPr>
            <w:tcW w:w="1701" w:type="dxa"/>
            <w:shd w:val="clear" w:color="auto" w:fill="auto"/>
          </w:tcPr>
          <w:p w14:paraId="121E0D2D" w14:textId="77777777" w:rsidR="00422B69" w:rsidRPr="000F17B4" w:rsidRDefault="00422B69" w:rsidP="000F17B4">
            <w:pPr>
              <w:spacing w:after="120" w:line="240" w:lineRule="auto"/>
              <w:ind w:right="-330"/>
              <w:rPr>
                <w:rFonts w:ascii="Arial" w:hAnsi="Arial" w:cs="Arial"/>
              </w:rPr>
            </w:pPr>
          </w:p>
        </w:tc>
        <w:tc>
          <w:tcPr>
            <w:tcW w:w="2410" w:type="dxa"/>
            <w:shd w:val="clear" w:color="auto" w:fill="auto"/>
          </w:tcPr>
          <w:p w14:paraId="25EC38E9" w14:textId="77777777" w:rsidR="00422B69" w:rsidRPr="000F17B4" w:rsidRDefault="00422B69" w:rsidP="000F17B4">
            <w:pPr>
              <w:spacing w:after="120" w:line="240" w:lineRule="auto"/>
              <w:ind w:right="-330"/>
              <w:rPr>
                <w:rFonts w:ascii="Arial" w:hAnsi="Arial" w:cs="Arial"/>
              </w:rPr>
            </w:pPr>
          </w:p>
        </w:tc>
        <w:tc>
          <w:tcPr>
            <w:tcW w:w="2448" w:type="dxa"/>
            <w:shd w:val="clear" w:color="auto" w:fill="auto"/>
          </w:tcPr>
          <w:p w14:paraId="72501A02" w14:textId="77777777" w:rsidR="00422B69" w:rsidRPr="000F17B4" w:rsidRDefault="00422B69" w:rsidP="000F17B4">
            <w:pPr>
              <w:spacing w:after="120" w:line="240" w:lineRule="auto"/>
              <w:ind w:right="-330"/>
              <w:rPr>
                <w:rFonts w:ascii="Arial" w:hAnsi="Arial" w:cs="Arial"/>
              </w:rPr>
            </w:pPr>
          </w:p>
        </w:tc>
        <w:tc>
          <w:tcPr>
            <w:tcW w:w="2400" w:type="dxa"/>
            <w:shd w:val="clear" w:color="auto" w:fill="auto"/>
          </w:tcPr>
          <w:p w14:paraId="0602B6FE" w14:textId="77777777" w:rsidR="00422B69" w:rsidRPr="000F17B4" w:rsidRDefault="00422B69" w:rsidP="000F17B4">
            <w:pPr>
              <w:spacing w:after="120" w:line="240" w:lineRule="auto"/>
              <w:ind w:right="-330"/>
              <w:rPr>
                <w:rFonts w:ascii="Arial" w:hAnsi="Arial" w:cs="Arial"/>
              </w:rPr>
            </w:pPr>
          </w:p>
        </w:tc>
      </w:tr>
    </w:tbl>
    <w:p w14:paraId="055F3335" w14:textId="77777777" w:rsidR="00D83563" w:rsidRPr="00302082" w:rsidRDefault="00D83563" w:rsidP="00302082">
      <w:pPr>
        <w:spacing w:after="120" w:line="240" w:lineRule="auto"/>
        <w:ind w:right="-330"/>
        <w:rPr>
          <w:rFonts w:ascii="Arial" w:hAnsi="Arial" w:cs="Arial"/>
        </w:rPr>
      </w:pPr>
    </w:p>
    <w:sectPr w:rsidR="00D83563" w:rsidRPr="00302082" w:rsidSect="007C1AB8">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5793" w14:textId="77777777" w:rsidR="005C17FC" w:rsidRDefault="005C17FC" w:rsidP="009A2D37">
      <w:pPr>
        <w:spacing w:after="0" w:line="240" w:lineRule="auto"/>
      </w:pPr>
      <w:r>
        <w:separator/>
      </w:r>
    </w:p>
  </w:endnote>
  <w:endnote w:type="continuationSeparator" w:id="0">
    <w:p w14:paraId="09FDB2F3" w14:textId="77777777" w:rsidR="005C17FC" w:rsidRDefault="005C17FC" w:rsidP="009A2D37">
      <w:pPr>
        <w:spacing w:after="0" w:line="240" w:lineRule="auto"/>
      </w:pPr>
      <w:r>
        <w:continuationSeparator/>
      </w:r>
    </w:p>
  </w:endnote>
  <w:endnote w:type="continuationNotice" w:id="1">
    <w:p w14:paraId="395D039D" w14:textId="77777777" w:rsidR="005C17FC" w:rsidRDefault="005C1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6B13" w14:textId="77777777" w:rsidR="008B2543" w:rsidRDefault="0019787E" w:rsidP="009A2D37">
    <w:pPr>
      <w:pStyle w:val="Footer"/>
      <w:jc w:val="center"/>
    </w:pPr>
    <w:r>
      <w:fldChar w:fldCharType="begin"/>
    </w:r>
    <w:r>
      <w:instrText xml:space="preserve"> PAGE   \* MERGEFORMAT </w:instrText>
    </w:r>
    <w:r>
      <w:fldChar w:fldCharType="separate"/>
    </w:r>
    <w:r w:rsidR="007C1AB8">
      <w:rPr>
        <w:noProof/>
      </w:rPr>
      <w:t>3</w:t>
    </w:r>
    <w:r>
      <w:rPr>
        <w:noProof/>
      </w:rPr>
      <w:fldChar w:fldCharType="end"/>
    </w:r>
  </w:p>
  <w:p w14:paraId="3D76949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02428" w14:textId="77777777" w:rsidR="005C17FC" w:rsidRDefault="005C17FC" w:rsidP="009A2D37">
      <w:pPr>
        <w:spacing w:after="0" w:line="240" w:lineRule="auto"/>
      </w:pPr>
      <w:r>
        <w:separator/>
      </w:r>
    </w:p>
  </w:footnote>
  <w:footnote w:type="continuationSeparator" w:id="0">
    <w:p w14:paraId="20BD9878" w14:textId="77777777" w:rsidR="005C17FC" w:rsidRDefault="005C17FC" w:rsidP="009A2D37">
      <w:pPr>
        <w:spacing w:after="0" w:line="240" w:lineRule="auto"/>
      </w:pPr>
      <w:r>
        <w:continuationSeparator/>
      </w:r>
    </w:p>
  </w:footnote>
  <w:footnote w:type="continuationNotice" w:id="1">
    <w:p w14:paraId="1AD3143D" w14:textId="77777777" w:rsidR="005C17FC" w:rsidRDefault="005C1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AFC4" w14:textId="77777777" w:rsidR="00441E76" w:rsidRPr="0075408A" w:rsidRDefault="000F17B4" w:rsidP="00441E76">
    <w:pPr>
      <w:jc w:val="center"/>
      <w:rPr>
        <w:rFonts w:ascii="Arial" w:hAnsi="Arial" w:cs="Arial"/>
        <w:b/>
        <w:sz w:val="28"/>
        <w:szCs w:val="28"/>
      </w:rPr>
    </w:pPr>
    <w:r>
      <w:rPr>
        <w:noProof/>
      </w:rPr>
      <w:pict w14:anchorId="2887A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429.75pt;margin-top:-12.35pt;width:92.2pt;height:46.5pt;z-index:-2;visibility:visible">
          <v:imagedata r:id="rId1" o:title=""/>
        </v:shape>
      </w:pict>
    </w:r>
    <w:r w:rsidR="000F7FBF">
      <w:rPr>
        <w:rFonts w:ascii="Arial" w:hAnsi="Arial" w:cs="Arial"/>
        <w:b/>
        <w:sz w:val="28"/>
        <w:szCs w:val="28"/>
      </w:rPr>
      <w:t>MODULE SPECIFICATION</w:t>
    </w:r>
  </w:p>
  <w:p w14:paraId="2614B03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7131" w14:textId="77777777" w:rsidR="000F7FBF" w:rsidRPr="0075408A" w:rsidRDefault="000F17B4" w:rsidP="000F7FBF">
    <w:pPr>
      <w:jc w:val="center"/>
      <w:rPr>
        <w:rFonts w:ascii="Arial" w:hAnsi="Arial" w:cs="Arial"/>
        <w:b/>
        <w:sz w:val="28"/>
        <w:szCs w:val="28"/>
      </w:rPr>
    </w:pPr>
    <w:r>
      <w:rPr>
        <w:noProof/>
      </w:rPr>
      <w:pict w14:anchorId="786C9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429.75pt;margin-top:-12.35pt;width:92.2pt;height:46.5pt;z-index:-1;visibility:visible">
          <v:imagedata r:id="rId1" o:title=""/>
        </v:shape>
      </w:pict>
    </w:r>
    <w:r w:rsidR="000F7FBF">
      <w:rPr>
        <w:rFonts w:ascii="Arial" w:hAnsi="Arial" w:cs="Arial"/>
        <w:b/>
        <w:sz w:val="28"/>
        <w:szCs w:val="28"/>
      </w:rPr>
      <w:t>MODULE SPECIFICATION COVER SHEET</w:t>
    </w:r>
  </w:p>
  <w:p w14:paraId="6EB968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E5A1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24B6B43C"/>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0F634D"/>
    <w:multiLevelType w:val="hybridMultilevel"/>
    <w:tmpl w:val="21D8B1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31FCD"/>
    <w:multiLevelType w:val="hybridMultilevel"/>
    <w:tmpl w:val="7548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F7BF6"/>
    <w:multiLevelType w:val="hybridMultilevel"/>
    <w:tmpl w:val="CAD03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8E7FB6"/>
    <w:multiLevelType w:val="hybridMultilevel"/>
    <w:tmpl w:val="84845A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97418C6"/>
    <w:multiLevelType w:val="hybridMultilevel"/>
    <w:tmpl w:val="C6CE5D1A"/>
    <w:lvl w:ilvl="0" w:tplc="0809000F">
      <w:start w:val="1"/>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2796A"/>
    <w:multiLevelType w:val="hybridMultilevel"/>
    <w:tmpl w:val="731EC75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2"/>
  </w:num>
  <w:num w:numId="5">
    <w:abstractNumId w:val="12"/>
  </w:num>
  <w:num w:numId="6">
    <w:abstractNumId w:val="10"/>
  </w:num>
  <w:num w:numId="7">
    <w:abstractNumId w:val="13"/>
  </w:num>
  <w:num w:numId="8">
    <w:abstractNumId w:val="11"/>
  </w:num>
  <w:num w:numId="9">
    <w:abstractNumId w:val="14"/>
  </w:num>
  <w:num w:numId="10">
    <w:abstractNumId w:val="9"/>
  </w:num>
  <w:num w:numId="11">
    <w:abstractNumId w:val="8"/>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7C8"/>
    <w:rsid w:val="00027937"/>
    <w:rsid w:val="00030C9E"/>
    <w:rsid w:val="00031E67"/>
    <w:rsid w:val="000408CC"/>
    <w:rsid w:val="00045373"/>
    <w:rsid w:val="00054BB7"/>
    <w:rsid w:val="00063A2F"/>
    <w:rsid w:val="000678D3"/>
    <w:rsid w:val="0007799E"/>
    <w:rsid w:val="00094810"/>
    <w:rsid w:val="000C0294"/>
    <w:rsid w:val="000C7A1C"/>
    <w:rsid w:val="000D2A8A"/>
    <w:rsid w:val="000D32AC"/>
    <w:rsid w:val="000E20C1"/>
    <w:rsid w:val="000E3B73"/>
    <w:rsid w:val="000F17B4"/>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4CD"/>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F12"/>
    <w:rsid w:val="001E62C1"/>
    <w:rsid w:val="001F0779"/>
    <w:rsid w:val="001F3C3E"/>
    <w:rsid w:val="00201C5F"/>
    <w:rsid w:val="0020243A"/>
    <w:rsid w:val="002025CE"/>
    <w:rsid w:val="0021578E"/>
    <w:rsid w:val="00227582"/>
    <w:rsid w:val="002308BE"/>
    <w:rsid w:val="002407C0"/>
    <w:rsid w:val="002461AF"/>
    <w:rsid w:val="002465A1"/>
    <w:rsid w:val="00264576"/>
    <w:rsid w:val="0026585A"/>
    <w:rsid w:val="00266735"/>
    <w:rsid w:val="00270D79"/>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6690"/>
    <w:rsid w:val="002B71F2"/>
    <w:rsid w:val="002E71C0"/>
    <w:rsid w:val="002F05F4"/>
    <w:rsid w:val="002F0CE4"/>
    <w:rsid w:val="002F23EF"/>
    <w:rsid w:val="002F2626"/>
    <w:rsid w:val="00300D8A"/>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7E1A"/>
    <w:rsid w:val="003934D2"/>
    <w:rsid w:val="003973A1"/>
    <w:rsid w:val="003A5DA0"/>
    <w:rsid w:val="003A5EEB"/>
    <w:rsid w:val="003A6143"/>
    <w:rsid w:val="003B35F4"/>
    <w:rsid w:val="003B7C76"/>
    <w:rsid w:val="003C19C9"/>
    <w:rsid w:val="003C3E0C"/>
    <w:rsid w:val="003C776B"/>
    <w:rsid w:val="003D4A1C"/>
    <w:rsid w:val="003D7AA0"/>
    <w:rsid w:val="003E1FF7"/>
    <w:rsid w:val="003E311D"/>
    <w:rsid w:val="003F3AD3"/>
    <w:rsid w:val="003F4470"/>
    <w:rsid w:val="003F5A04"/>
    <w:rsid w:val="003F67CD"/>
    <w:rsid w:val="00402ED7"/>
    <w:rsid w:val="004114F8"/>
    <w:rsid w:val="00422B69"/>
    <w:rsid w:val="00423D86"/>
    <w:rsid w:val="00424C90"/>
    <w:rsid w:val="00436BE9"/>
    <w:rsid w:val="00441E76"/>
    <w:rsid w:val="0044228C"/>
    <w:rsid w:val="004443DA"/>
    <w:rsid w:val="00446A75"/>
    <w:rsid w:val="004474A2"/>
    <w:rsid w:val="00460925"/>
    <w:rsid w:val="00470592"/>
    <w:rsid w:val="00471C6C"/>
    <w:rsid w:val="00472023"/>
    <w:rsid w:val="00473343"/>
    <w:rsid w:val="00486993"/>
    <w:rsid w:val="00492DA4"/>
    <w:rsid w:val="00496AA3"/>
    <w:rsid w:val="00497C98"/>
    <w:rsid w:val="004A27C3"/>
    <w:rsid w:val="004A39D7"/>
    <w:rsid w:val="004A55FA"/>
    <w:rsid w:val="004B5D03"/>
    <w:rsid w:val="004C0A30"/>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991"/>
    <w:rsid w:val="005B08C8"/>
    <w:rsid w:val="005B5A98"/>
    <w:rsid w:val="005C17FC"/>
    <w:rsid w:val="005C1A4F"/>
    <w:rsid w:val="005C27D7"/>
    <w:rsid w:val="005C29F9"/>
    <w:rsid w:val="005D7CD0"/>
    <w:rsid w:val="005E1A3A"/>
    <w:rsid w:val="005E6ADC"/>
    <w:rsid w:val="005E6D10"/>
    <w:rsid w:val="005E6D38"/>
    <w:rsid w:val="005E7B3F"/>
    <w:rsid w:val="005F040F"/>
    <w:rsid w:val="005F2C42"/>
    <w:rsid w:val="005F5801"/>
    <w:rsid w:val="006043FC"/>
    <w:rsid w:val="006050CF"/>
    <w:rsid w:val="00616FE2"/>
    <w:rsid w:val="006253AA"/>
    <w:rsid w:val="00626023"/>
    <w:rsid w:val="00633150"/>
    <w:rsid w:val="00637A50"/>
    <w:rsid w:val="00641D6D"/>
    <w:rsid w:val="00643278"/>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3A85"/>
    <w:rsid w:val="006C2A9A"/>
    <w:rsid w:val="006C423D"/>
    <w:rsid w:val="006C46EF"/>
    <w:rsid w:val="006C4C67"/>
    <w:rsid w:val="006D13C0"/>
    <w:rsid w:val="006D41AB"/>
    <w:rsid w:val="006D444F"/>
    <w:rsid w:val="006E089D"/>
    <w:rsid w:val="006F1A15"/>
    <w:rsid w:val="006F3F8B"/>
    <w:rsid w:val="00700488"/>
    <w:rsid w:val="00703404"/>
    <w:rsid w:val="00703F92"/>
    <w:rsid w:val="007045A3"/>
    <w:rsid w:val="00704637"/>
    <w:rsid w:val="007105E4"/>
    <w:rsid w:val="00714EE5"/>
    <w:rsid w:val="00720270"/>
    <w:rsid w:val="00724362"/>
    <w:rsid w:val="00727780"/>
    <w:rsid w:val="0073792C"/>
    <w:rsid w:val="00754069"/>
    <w:rsid w:val="007667DF"/>
    <w:rsid w:val="0077080B"/>
    <w:rsid w:val="007775EC"/>
    <w:rsid w:val="00787070"/>
    <w:rsid w:val="007906FD"/>
    <w:rsid w:val="00797197"/>
    <w:rsid w:val="007972A7"/>
    <w:rsid w:val="007A2BA2"/>
    <w:rsid w:val="007A6245"/>
    <w:rsid w:val="007B1DB2"/>
    <w:rsid w:val="007B375B"/>
    <w:rsid w:val="007B412A"/>
    <w:rsid w:val="007B635E"/>
    <w:rsid w:val="007B7724"/>
    <w:rsid w:val="007B7CDC"/>
    <w:rsid w:val="007C1AB8"/>
    <w:rsid w:val="007C426B"/>
    <w:rsid w:val="007C74B4"/>
    <w:rsid w:val="007E3412"/>
    <w:rsid w:val="007F393D"/>
    <w:rsid w:val="008029AF"/>
    <w:rsid w:val="00802FFA"/>
    <w:rsid w:val="008102E5"/>
    <w:rsid w:val="008111B4"/>
    <w:rsid w:val="008133F0"/>
    <w:rsid w:val="00815880"/>
    <w:rsid w:val="0082322C"/>
    <w:rsid w:val="00823942"/>
    <w:rsid w:val="00827FFD"/>
    <w:rsid w:val="00836478"/>
    <w:rsid w:val="00847E5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0515"/>
    <w:rsid w:val="008D7401"/>
    <w:rsid w:val="008F67CE"/>
    <w:rsid w:val="00903DF6"/>
    <w:rsid w:val="009204C9"/>
    <w:rsid w:val="00921CF6"/>
    <w:rsid w:val="00924EF0"/>
    <w:rsid w:val="00934D7B"/>
    <w:rsid w:val="00947180"/>
    <w:rsid w:val="009567BE"/>
    <w:rsid w:val="009676FA"/>
    <w:rsid w:val="009679E0"/>
    <w:rsid w:val="00977632"/>
    <w:rsid w:val="00982A8E"/>
    <w:rsid w:val="00987DB4"/>
    <w:rsid w:val="0099261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6B5"/>
    <w:rsid w:val="00A629B9"/>
    <w:rsid w:val="00A67426"/>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8F0"/>
    <w:rsid w:val="00B746A8"/>
    <w:rsid w:val="00B7664D"/>
    <w:rsid w:val="00B80989"/>
    <w:rsid w:val="00B8369C"/>
    <w:rsid w:val="00B9109B"/>
    <w:rsid w:val="00B927AE"/>
    <w:rsid w:val="00B93721"/>
    <w:rsid w:val="00B937B1"/>
    <w:rsid w:val="00BA453C"/>
    <w:rsid w:val="00BA4E02"/>
    <w:rsid w:val="00BB2A6D"/>
    <w:rsid w:val="00BB4189"/>
    <w:rsid w:val="00BC19F7"/>
    <w:rsid w:val="00BC41ED"/>
    <w:rsid w:val="00BC60D7"/>
    <w:rsid w:val="00BD009E"/>
    <w:rsid w:val="00BD0EF8"/>
    <w:rsid w:val="00BD7A8C"/>
    <w:rsid w:val="00BE2126"/>
    <w:rsid w:val="00BE3B17"/>
    <w:rsid w:val="00BF51AB"/>
    <w:rsid w:val="00BF716B"/>
    <w:rsid w:val="00BF7233"/>
    <w:rsid w:val="00C02AA2"/>
    <w:rsid w:val="00C04C95"/>
    <w:rsid w:val="00C12613"/>
    <w:rsid w:val="00C16DEF"/>
    <w:rsid w:val="00C2492F"/>
    <w:rsid w:val="00C25BCD"/>
    <w:rsid w:val="00C3744A"/>
    <w:rsid w:val="00C4002A"/>
    <w:rsid w:val="00C46912"/>
    <w:rsid w:val="00C612A8"/>
    <w:rsid w:val="00C67631"/>
    <w:rsid w:val="00C729D7"/>
    <w:rsid w:val="00C82A04"/>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5BA"/>
    <w:rsid w:val="00D41EF5"/>
    <w:rsid w:val="00D50113"/>
    <w:rsid w:val="00D54F04"/>
    <w:rsid w:val="00D65506"/>
    <w:rsid w:val="00D773CF"/>
    <w:rsid w:val="00D83563"/>
    <w:rsid w:val="00D8448F"/>
    <w:rsid w:val="00DA1AD7"/>
    <w:rsid w:val="00DA64B6"/>
    <w:rsid w:val="00DB5C9D"/>
    <w:rsid w:val="00DC3687"/>
    <w:rsid w:val="00DD02E6"/>
    <w:rsid w:val="00DF665B"/>
    <w:rsid w:val="00E0152A"/>
    <w:rsid w:val="00E03394"/>
    <w:rsid w:val="00E0633C"/>
    <w:rsid w:val="00E066E5"/>
    <w:rsid w:val="00E22F03"/>
    <w:rsid w:val="00E233C1"/>
    <w:rsid w:val="00E37CF6"/>
    <w:rsid w:val="00E41105"/>
    <w:rsid w:val="00E51404"/>
    <w:rsid w:val="00E574C9"/>
    <w:rsid w:val="00E610DE"/>
    <w:rsid w:val="00E66167"/>
    <w:rsid w:val="00E661B8"/>
    <w:rsid w:val="00E71F2F"/>
    <w:rsid w:val="00E77786"/>
    <w:rsid w:val="00E806FB"/>
    <w:rsid w:val="00E82C5D"/>
    <w:rsid w:val="00EA57A6"/>
    <w:rsid w:val="00EB1C2D"/>
    <w:rsid w:val="00EC1810"/>
    <w:rsid w:val="00EC37C9"/>
    <w:rsid w:val="00EC3FCC"/>
    <w:rsid w:val="00ED32FF"/>
    <w:rsid w:val="00EF039B"/>
    <w:rsid w:val="00EF4933"/>
    <w:rsid w:val="00EF5044"/>
    <w:rsid w:val="00F01956"/>
    <w:rsid w:val="00F01C4A"/>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55EC"/>
    <w:rsid w:val="00FC0291"/>
    <w:rsid w:val="00FC1C92"/>
    <w:rsid w:val="00FD333B"/>
    <w:rsid w:val="00FD689C"/>
    <w:rsid w:val="00FD705C"/>
    <w:rsid w:val="00FD777A"/>
    <w:rsid w:val="00FE260B"/>
    <w:rsid w:val="00FE3C8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4556DF"/>
  <w15:chartTrackingRefBased/>
  <w15:docId w15:val="{F569D5ED-1369-48B5-A5AB-5336F72D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sz w:val="22"/>
      <w:szCs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ColorfulList-Accent1">
    <w:name w:val="Colorful List Accent 1"/>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paragraph" w:styleId="BodyTextIndent3">
    <w:name w:val="Body Text Indent 3"/>
    <w:basedOn w:val="Normal"/>
    <w:link w:val="BodyTextIndent3Char"/>
    <w:rsid w:val="009204C9"/>
    <w:pPr>
      <w:spacing w:after="60" w:line="240" w:lineRule="auto"/>
      <w:ind w:left="576"/>
    </w:pPr>
    <w:rPr>
      <w:rFonts w:ascii="Times New Roman" w:hAnsi="Times New Roman"/>
      <w:lang w:eastAsia="en-US"/>
    </w:rPr>
  </w:style>
  <w:style w:type="character" w:customStyle="1" w:styleId="BodyTextIndent3Char">
    <w:name w:val="Body Text Indent 3 Char"/>
    <w:link w:val="BodyTextIndent3"/>
    <w:rsid w:val="009204C9"/>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4F69B-CB56-4172-8229-02CF8D2A2C5C}">
  <ds:schemaRefs>
    <ds:schemaRef ds:uri="http://schemas.openxmlformats.org/officeDocument/2006/bibliography"/>
  </ds:schemaRefs>
</ds:datastoreItem>
</file>

<file path=customXml/itemProps2.xml><?xml version="1.0" encoding="utf-8"?>
<ds:datastoreItem xmlns:ds="http://schemas.openxmlformats.org/officeDocument/2006/customXml" ds:itemID="{C7AC4AA9-0974-4E3E-A7B4-12A8CF1CF2D5}"/>
</file>

<file path=customXml/itemProps3.xml><?xml version="1.0" encoding="utf-8"?>
<ds:datastoreItem xmlns:ds="http://schemas.openxmlformats.org/officeDocument/2006/customXml" ds:itemID="{AF1B4F1B-66B6-452D-A2DC-D57D413A3104}">
  <ds:schemaRefs>
    <ds:schemaRef ds:uri="http://schemas.microsoft.com/sharepoint/v3/contenttype/forms"/>
  </ds:schemaRefs>
</ds:datastoreItem>
</file>

<file path=customXml/itemProps4.xml><?xml version="1.0" encoding="utf-8"?>
<ds:datastoreItem xmlns:ds="http://schemas.openxmlformats.org/officeDocument/2006/customXml" ds:itemID="{7FA5450A-461D-4096-9858-1042C2A617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Daiva Nacyte</cp:lastModifiedBy>
  <cp:revision>2</cp:revision>
  <cp:lastPrinted>2015-09-09T07:37:00Z</cp:lastPrinted>
  <dcterms:created xsi:type="dcterms:W3CDTF">2021-03-12T13:07:00Z</dcterms:created>
  <dcterms:modified xsi:type="dcterms:W3CDTF">2021-03-12T13:07:00Z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