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207D18A" w14:textId="32E5AE42" w:rsidR="00026F99" w:rsidRPr="004323ED" w:rsidRDefault="00EA14CC" w:rsidP="00EA14CC">
      <w:pPr>
        <w:spacing w:after="120" w:line="240" w:lineRule="auto"/>
        <w:ind w:left="567" w:right="260"/>
        <w:jc w:val="both"/>
        <w:rPr>
          <w:rFonts w:ascii="Arial" w:hAnsi="Arial" w:cs="Arial"/>
          <w:sz w:val="24"/>
          <w:szCs w:val="24"/>
        </w:rPr>
      </w:pPr>
      <w:r w:rsidRPr="004323ED">
        <w:rPr>
          <w:rFonts w:ascii="Arial" w:hAnsi="Arial" w:cs="Arial"/>
          <w:sz w:val="24"/>
          <w:szCs w:val="24"/>
        </w:rPr>
        <w:t>HIST5109 Europe in Extremes: Communism, Fascism and Nazism, 1917-1939</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05239574" w:rsidR="009A2D37" w:rsidRDefault="00EA14CC" w:rsidP="00026F99">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A27BD4" w:rsidR="009A2D37" w:rsidRPr="00026F99" w:rsidRDefault="00026F99" w:rsidP="00EA14CC">
      <w:pPr>
        <w:spacing w:after="120" w:line="240" w:lineRule="auto"/>
        <w:ind w:left="567" w:right="260"/>
        <w:jc w:val="both"/>
        <w:rPr>
          <w:rFonts w:ascii="Arial" w:hAnsi="Arial" w:cs="Arial"/>
        </w:rPr>
      </w:pPr>
      <w:r w:rsidRPr="00350C8A">
        <w:rPr>
          <w:rFonts w:ascii="Arial" w:hAnsi="Arial" w:cs="Arial"/>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A145AC8"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0479A3">
        <w:rPr>
          <w:rFonts w:ascii="Arial" w:hAnsi="Arial" w:cs="Arial"/>
          <w:iCs/>
          <w:sz w:val="24"/>
          <w:szCs w:val="24"/>
        </w:rPr>
        <w:t>or</w:t>
      </w:r>
      <w:r w:rsidR="00EA14CC">
        <w:rPr>
          <w:rFonts w:ascii="Arial" w:hAnsi="Arial" w:cs="Arial"/>
          <w:iCs/>
          <w:sz w:val="24"/>
          <w:szCs w:val="24"/>
        </w:rPr>
        <w:t xml:space="preserve">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763353FB" w14:textId="120DDE2A" w:rsidR="00EA14CC" w:rsidRPr="00154D48" w:rsidRDefault="00041142" w:rsidP="00EA14CC">
      <w:pPr>
        <w:spacing w:after="120" w:line="240" w:lineRule="auto"/>
        <w:ind w:left="567" w:right="260"/>
        <w:rPr>
          <w:rFonts w:ascii="Arial" w:hAnsi="Arial" w:cs="Arial"/>
          <w:iCs/>
        </w:rPr>
      </w:pPr>
      <w:r>
        <w:rPr>
          <w:rFonts w:ascii="Arial" w:hAnsi="Arial" w:cs="Arial"/>
          <w:iCs/>
        </w:rPr>
        <w:t xml:space="preserve">Optional for </w:t>
      </w:r>
      <w:r w:rsidR="00EA14CC" w:rsidRPr="00726A0A">
        <w:rPr>
          <w:rFonts w:ascii="Arial" w:hAnsi="Arial" w:cs="Arial"/>
          <w:iCs/>
        </w:rPr>
        <w:t xml:space="preserve">BA History; BA Military History, and associated joint honours programmes.  </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D275243" w14:textId="1666F13F" w:rsidR="00EA14CC" w:rsidRPr="00EA14CC" w:rsidRDefault="00EA14CC" w:rsidP="001E4960">
      <w:pPr>
        <w:pStyle w:val="ListParagraph"/>
        <w:numPr>
          <w:ilvl w:val="1"/>
          <w:numId w:val="12"/>
        </w:numPr>
        <w:spacing w:after="120" w:line="240" w:lineRule="auto"/>
        <w:ind w:right="260"/>
        <w:jc w:val="both"/>
        <w:rPr>
          <w:rFonts w:ascii="Arial" w:hAnsi="Arial" w:cs="Arial"/>
        </w:rPr>
      </w:pPr>
      <w:r w:rsidRPr="00EA14CC">
        <w:rPr>
          <w:rFonts w:ascii="Arial" w:hAnsi="Arial" w:cs="Arial"/>
        </w:rPr>
        <w:t>Demonstrate an advanced understanding of the three main extreme ideologies which took hold of countries in Europe during the interwar period, understanding how they came to power, how they consolidated their grip on their respective polities and how they governed.</w:t>
      </w:r>
    </w:p>
    <w:p w14:paraId="088B8FE9" w14:textId="464E2B3C" w:rsidR="00EA14CC" w:rsidRPr="00EA14CC" w:rsidRDefault="00EA14CC" w:rsidP="001E4960">
      <w:pPr>
        <w:pStyle w:val="ListParagraph"/>
        <w:numPr>
          <w:ilvl w:val="1"/>
          <w:numId w:val="12"/>
        </w:numPr>
        <w:spacing w:after="120" w:line="240" w:lineRule="auto"/>
        <w:ind w:right="260"/>
        <w:jc w:val="both"/>
        <w:rPr>
          <w:rFonts w:ascii="Arial" w:hAnsi="Arial" w:cs="Arial"/>
        </w:rPr>
      </w:pPr>
      <w:r w:rsidRPr="00EA14CC">
        <w:rPr>
          <w:rFonts w:ascii="Arial" w:hAnsi="Arial" w:cs="Arial"/>
        </w:rPr>
        <w:t>Demonstrate an understanding of the similarities and differences between these three movements, with particular reference to their ideological foundations, leadership styles, propaganda and social control tactics, foreign policy, and relationship with violence and civil strife.</w:t>
      </w:r>
    </w:p>
    <w:p w14:paraId="6D1CA0A1" w14:textId="77777777" w:rsidR="00EA14CC" w:rsidRPr="00B95EEA" w:rsidRDefault="00EA14CC" w:rsidP="001E4960">
      <w:pPr>
        <w:pStyle w:val="ListParagraph"/>
        <w:numPr>
          <w:ilvl w:val="1"/>
          <w:numId w:val="12"/>
        </w:numPr>
        <w:spacing w:after="120" w:line="240" w:lineRule="auto"/>
        <w:ind w:right="260"/>
        <w:jc w:val="both"/>
        <w:rPr>
          <w:rFonts w:ascii="Arial" w:hAnsi="Arial" w:cs="Arial"/>
        </w:rPr>
      </w:pPr>
      <w:r>
        <w:rPr>
          <w:rFonts w:ascii="Arial" w:hAnsi="Arial" w:cs="Arial"/>
        </w:rPr>
        <w:t>Demonstrate an awareness of how these three systems related to one another, and to other European states (including the liberal democracies, such as France and Britain), and of how their foreign policies fed into major conflicts and disputes during the period 1917-1939, such as the Russian Civil War(s), the Spanish Civil War, the Abyssinian Crisis and the Second World War.</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EA14CC">
      <w:pPr>
        <w:pStyle w:val="Heading2"/>
        <w:numPr>
          <w:ilvl w:val="0"/>
          <w:numId w:val="12"/>
        </w:numPr>
        <w:ind w:left="567" w:hanging="567"/>
        <w:jc w:val="left"/>
      </w:pPr>
      <w:r w:rsidRPr="009D52D0">
        <w:lastRenderedPageBreak/>
        <w:t>The intended generic learning outcomes</w:t>
      </w:r>
      <w:r w:rsidR="00C729D7" w:rsidRPr="009D52D0">
        <w:t>.</w:t>
      </w:r>
      <w:r w:rsidR="00C729D7" w:rsidRPr="009D52D0">
        <w:br/>
        <w:t>On successfully completing the module students will be able to:</w:t>
      </w:r>
    </w:p>
    <w:p w14:paraId="66BA917B" w14:textId="77777777" w:rsidR="00EA14CC" w:rsidRPr="007641D5" w:rsidRDefault="00EA14CC" w:rsidP="001E4960">
      <w:pPr>
        <w:pStyle w:val="Default"/>
        <w:numPr>
          <w:ilvl w:val="0"/>
          <w:numId w:val="13"/>
        </w:numPr>
        <w:spacing w:after="120"/>
        <w:ind w:right="260"/>
        <w:jc w:val="both"/>
        <w:rPr>
          <w:color w:val="auto"/>
          <w:sz w:val="22"/>
          <w:szCs w:val="22"/>
        </w:rPr>
      </w:pPr>
      <w:r w:rsidRPr="007641D5">
        <w:rPr>
          <w:color w:val="auto"/>
          <w:sz w:val="22"/>
          <w:szCs w:val="22"/>
        </w:rPr>
        <w:t>Work with a moderate level of independence to research and develop their understanding of questions and issues.</w:t>
      </w:r>
    </w:p>
    <w:p w14:paraId="1E6BFD78" w14:textId="77777777" w:rsidR="00EA14CC" w:rsidRPr="007641D5" w:rsidRDefault="00EA14CC" w:rsidP="001E4960">
      <w:pPr>
        <w:pStyle w:val="Default"/>
        <w:numPr>
          <w:ilvl w:val="0"/>
          <w:numId w:val="13"/>
        </w:numPr>
        <w:spacing w:after="120"/>
        <w:ind w:right="260"/>
        <w:jc w:val="both"/>
        <w:rPr>
          <w:color w:val="auto"/>
          <w:sz w:val="22"/>
          <w:szCs w:val="22"/>
        </w:rPr>
      </w:pPr>
      <w:r w:rsidRPr="007641D5">
        <w:rPr>
          <w:color w:val="auto"/>
          <w:sz w:val="22"/>
          <w:szCs w:val="22"/>
        </w:rPr>
        <w:t>Demonstrate an ability to provide persuasive written and verbal presentations, including the use of a range of primary source materials and historiographical content.</w:t>
      </w:r>
    </w:p>
    <w:p w14:paraId="2FE7A808" w14:textId="0D281C85" w:rsidR="00EA14CC" w:rsidRPr="007641D5" w:rsidRDefault="00EA14CC" w:rsidP="001E4960">
      <w:pPr>
        <w:pStyle w:val="Default"/>
        <w:numPr>
          <w:ilvl w:val="0"/>
          <w:numId w:val="13"/>
        </w:numPr>
        <w:spacing w:after="120"/>
        <w:ind w:right="260"/>
        <w:jc w:val="both"/>
        <w:rPr>
          <w:color w:val="auto"/>
          <w:sz w:val="22"/>
          <w:szCs w:val="22"/>
        </w:rPr>
      </w:pPr>
      <w:r w:rsidRPr="007641D5">
        <w:rPr>
          <w:color w:val="auto"/>
          <w:sz w:val="22"/>
          <w:szCs w:val="22"/>
        </w:rPr>
        <w:t>Research and integrate primary sources into written and verbal assessments</w:t>
      </w:r>
      <w:r>
        <w:rPr>
          <w:color w:val="auto"/>
          <w:sz w:val="22"/>
          <w:szCs w:val="22"/>
        </w:rPr>
        <w:t xml:space="preserve"> and</w:t>
      </w:r>
      <w:r>
        <w:rPr>
          <w:color w:val="262626"/>
          <w:sz w:val="21"/>
          <w:szCs w:val="21"/>
          <w:shd w:val="clear" w:color="auto" w:fill="FFFFFF"/>
        </w:rPr>
        <w:t> communicate effectively to a variety of audiences and/or using a variety of methods</w:t>
      </w:r>
      <w:r w:rsidRPr="007641D5">
        <w:rPr>
          <w:color w:val="auto"/>
          <w:sz w:val="22"/>
          <w:szCs w:val="22"/>
        </w:rPr>
        <w:t>.</w:t>
      </w:r>
    </w:p>
    <w:p w14:paraId="31D8601B" w14:textId="2E424F37" w:rsidR="00273CF0" w:rsidRPr="00EA14CC" w:rsidRDefault="00EA14CC" w:rsidP="001E4960">
      <w:pPr>
        <w:pStyle w:val="Default"/>
        <w:numPr>
          <w:ilvl w:val="0"/>
          <w:numId w:val="13"/>
        </w:numPr>
        <w:spacing w:after="120"/>
        <w:ind w:right="260"/>
        <w:jc w:val="both"/>
        <w:rPr>
          <w:color w:val="auto"/>
          <w:sz w:val="22"/>
          <w:szCs w:val="22"/>
        </w:rPr>
      </w:pPr>
      <w:r w:rsidRPr="007641D5">
        <w:rPr>
          <w:color w:val="auto"/>
          <w:sz w:val="22"/>
          <w:szCs w:val="22"/>
        </w:rPr>
        <w:t>Apply their knowledge and skills to the production of a range of different outputs, including both written and oral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EA14CC">
      <w:pPr>
        <w:pStyle w:val="Heading2"/>
        <w:numPr>
          <w:ilvl w:val="0"/>
          <w:numId w:val="12"/>
        </w:numPr>
        <w:ind w:left="567" w:hanging="567"/>
      </w:pPr>
      <w:r w:rsidRPr="009D52D0">
        <w:t>A synopsis of the curriculum</w:t>
      </w:r>
    </w:p>
    <w:p w14:paraId="769C9137" w14:textId="77777777" w:rsidR="00EA14CC" w:rsidRPr="00154D48" w:rsidRDefault="00EA14CC" w:rsidP="001E4960">
      <w:pPr>
        <w:spacing w:after="120" w:line="240" w:lineRule="auto"/>
        <w:ind w:left="567" w:right="260"/>
        <w:jc w:val="both"/>
        <w:rPr>
          <w:rFonts w:ascii="Arial" w:hAnsi="Arial" w:cs="Arial"/>
          <w:iCs/>
        </w:rPr>
      </w:pPr>
      <w:r>
        <w:rPr>
          <w:rFonts w:ascii="Arial" w:hAnsi="Arial" w:cs="Arial"/>
          <w:iCs/>
        </w:rPr>
        <w:t xml:space="preserve">This module explores the three extreme ideologies which took hold of parts of Europe during the interwar period – communism (especially in Russia; later, the Soviet Union), fascism (especially in Italy, and later in Spain), and Nazism (in Germany). These ideologies will be assessed in three ways. Firstly, they will be examined individually, encompassing their emergence, rise to power and assumption of total control; here, the emphasis will be on the power of ideological thinking, the extent of popular support attained by the movements, and the country-specific reasons for their success. Secondly, the ideologies will be considered in comparison with one another, including the leadership styles of Lenin, Stalin, Mussolini, Hitler and Franco, the roles played by propaganda in their rise and rule, and the ways in which they utilised, or otherwise engaged in, violence to further their aims. And thirdly, the connections between them will be discussed, especially the notion that in the countries mentioned above, and later across Europe, the struggle between extreme ideologies of left and right became the defining issue of the period.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EA14CC">
      <w:pPr>
        <w:pStyle w:val="Heading2"/>
        <w:numPr>
          <w:ilvl w:val="0"/>
          <w:numId w:val="12"/>
        </w:numPr>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EA14CC">
      <w:pPr>
        <w:pStyle w:val="Heading2"/>
        <w:numPr>
          <w:ilvl w:val="0"/>
          <w:numId w:val="12"/>
        </w:numPr>
        <w:ind w:left="567" w:hanging="567"/>
      </w:pPr>
      <w:r>
        <w:t>Contact Hours</w:t>
      </w:r>
    </w:p>
    <w:p w14:paraId="1086FCCF" w14:textId="435A96AA" w:rsidR="00636058" w:rsidRPr="00636058" w:rsidRDefault="00636058" w:rsidP="009A1CD7">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A1CD7">
        <w:rPr>
          <w:rFonts w:ascii="Arial" w:hAnsi="Arial" w:cs="Arial"/>
          <w:sz w:val="24"/>
          <w:szCs w:val="24"/>
        </w:rPr>
        <w:t xml:space="preserve"> 270</w:t>
      </w:r>
    </w:p>
    <w:p w14:paraId="3BE5E6D9" w14:textId="47F30BAA" w:rsidR="00636058" w:rsidRPr="00636058" w:rsidRDefault="00636058" w:rsidP="009A1CD7">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9A1CD7">
        <w:rPr>
          <w:rFonts w:ascii="Arial" w:hAnsi="Arial" w:cs="Arial"/>
          <w:sz w:val="24"/>
          <w:szCs w:val="24"/>
        </w:rPr>
        <w:t>30</w:t>
      </w:r>
    </w:p>
    <w:p w14:paraId="260000FF" w14:textId="057BDD7D" w:rsidR="00636058" w:rsidRPr="00636058" w:rsidRDefault="00636058" w:rsidP="009A1CD7">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502E346D" w:rsidR="001E4960" w:rsidRDefault="001E4960">
      <w:pPr>
        <w:rPr>
          <w:rFonts w:ascii="Arial" w:hAnsi="Arial" w:cs="Arial"/>
          <w:iCs/>
          <w:sz w:val="24"/>
          <w:szCs w:val="24"/>
        </w:rPr>
      </w:pPr>
      <w:r>
        <w:rPr>
          <w:rFonts w:ascii="Arial" w:hAnsi="Arial" w:cs="Arial"/>
          <w:iCs/>
          <w:sz w:val="24"/>
          <w:szCs w:val="24"/>
        </w:rPr>
        <w:br w:type="page"/>
      </w:r>
    </w:p>
    <w:p w14:paraId="1C49B47B" w14:textId="77777777" w:rsidR="00B2615D" w:rsidRPr="00B2615D" w:rsidRDefault="00EF4933" w:rsidP="00EA14CC">
      <w:pPr>
        <w:pStyle w:val="Heading2"/>
        <w:numPr>
          <w:ilvl w:val="0"/>
          <w:numId w:val="12"/>
        </w:numPr>
        <w:ind w:left="567" w:hanging="567"/>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59971D57" w14:textId="1AB9F426" w:rsidR="00EA14CC" w:rsidRPr="00DD7C4E" w:rsidRDefault="00EA14CC" w:rsidP="000479A3">
      <w:pPr>
        <w:pStyle w:val="ListParagraph"/>
        <w:spacing w:after="120"/>
        <w:ind w:left="567" w:firstLine="153"/>
        <w:rPr>
          <w:rFonts w:ascii="Arial" w:hAnsi="Arial" w:cs="Arial"/>
          <w:iCs/>
        </w:rPr>
      </w:pPr>
      <w:r w:rsidRPr="00DD7C4E">
        <w:rPr>
          <w:rFonts w:ascii="Arial" w:hAnsi="Arial" w:cs="Arial"/>
          <w:iCs/>
        </w:rPr>
        <w:t>Gobbets Exercise (</w:t>
      </w:r>
      <w:r>
        <w:rPr>
          <w:rFonts w:ascii="Arial" w:hAnsi="Arial" w:cs="Arial"/>
          <w:iCs/>
        </w:rPr>
        <w:t>2</w:t>
      </w:r>
      <w:r w:rsidRPr="00DD7C4E">
        <w:rPr>
          <w:rFonts w:ascii="Arial" w:hAnsi="Arial" w:cs="Arial"/>
          <w:iCs/>
        </w:rPr>
        <w:t>,</w:t>
      </w:r>
      <w:r>
        <w:rPr>
          <w:rFonts w:ascii="Arial" w:hAnsi="Arial" w:cs="Arial"/>
          <w:iCs/>
        </w:rPr>
        <w:t>5</w:t>
      </w:r>
      <w:r w:rsidRPr="00DD7C4E">
        <w:rPr>
          <w:rFonts w:ascii="Arial" w:hAnsi="Arial" w:cs="Arial"/>
          <w:iCs/>
        </w:rPr>
        <w:t>00 words)</w:t>
      </w:r>
      <w:r w:rsidRPr="00DD7C4E">
        <w:rPr>
          <w:rFonts w:ascii="Arial" w:hAnsi="Arial" w:cs="Arial"/>
          <w:iCs/>
        </w:rPr>
        <w:tab/>
      </w:r>
      <w:r>
        <w:rPr>
          <w:rFonts w:ascii="Arial" w:hAnsi="Arial" w:cs="Arial"/>
          <w:iCs/>
        </w:rPr>
        <w:t>35</w:t>
      </w:r>
      <w:r w:rsidRPr="00DD7C4E">
        <w:rPr>
          <w:rFonts w:ascii="Arial" w:hAnsi="Arial" w:cs="Arial"/>
          <w:iCs/>
        </w:rPr>
        <w:t>%</w:t>
      </w:r>
    </w:p>
    <w:p w14:paraId="154D754A" w14:textId="71D90276" w:rsidR="00EA14CC" w:rsidRPr="00DD7C4E" w:rsidRDefault="00EA14CC" w:rsidP="000479A3">
      <w:pPr>
        <w:pStyle w:val="ListParagraph"/>
        <w:spacing w:after="120"/>
        <w:ind w:left="567" w:firstLine="153"/>
        <w:rPr>
          <w:rFonts w:ascii="Arial" w:hAnsi="Arial" w:cs="Arial"/>
          <w:iCs/>
        </w:rPr>
      </w:pPr>
      <w:r w:rsidRPr="00DD7C4E">
        <w:rPr>
          <w:rFonts w:ascii="Arial" w:hAnsi="Arial" w:cs="Arial"/>
          <w:iCs/>
        </w:rPr>
        <w:t>Essay  (</w:t>
      </w:r>
      <w:r>
        <w:rPr>
          <w:rFonts w:ascii="Arial" w:hAnsi="Arial" w:cs="Arial"/>
          <w:iCs/>
        </w:rPr>
        <w:t>3,000</w:t>
      </w:r>
      <w:r w:rsidRPr="00DD7C4E">
        <w:rPr>
          <w:rFonts w:ascii="Arial" w:hAnsi="Arial" w:cs="Arial"/>
          <w:iCs/>
        </w:rPr>
        <w:t xml:space="preserve"> words)</w:t>
      </w:r>
      <w:r w:rsidRPr="00DD7C4E">
        <w:rPr>
          <w:rFonts w:ascii="Arial" w:hAnsi="Arial" w:cs="Arial"/>
          <w:iCs/>
        </w:rPr>
        <w:tab/>
      </w:r>
      <w:r w:rsidR="00777FC8">
        <w:rPr>
          <w:rFonts w:ascii="Arial" w:hAnsi="Arial" w:cs="Arial"/>
          <w:iCs/>
        </w:rPr>
        <w:tab/>
      </w:r>
      <w:r w:rsidR="00777FC8">
        <w:rPr>
          <w:rFonts w:ascii="Arial" w:hAnsi="Arial" w:cs="Arial"/>
          <w:iCs/>
        </w:rPr>
        <w:tab/>
      </w:r>
      <w:r>
        <w:rPr>
          <w:rFonts w:ascii="Arial" w:hAnsi="Arial" w:cs="Arial"/>
          <w:iCs/>
        </w:rPr>
        <w:t>45</w:t>
      </w:r>
      <w:r w:rsidRPr="00DD7C4E">
        <w:rPr>
          <w:rFonts w:ascii="Arial" w:hAnsi="Arial" w:cs="Arial"/>
          <w:iCs/>
        </w:rPr>
        <w:t>%</w:t>
      </w:r>
    </w:p>
    <w:p w14:paraId="579953D3" w14:textId="2D406241" w:rsidR="00EA14CC" w:rsidRDefault="00EA14CC" w:rsidP="000479A3">
      <w:pPr>
        <w:pStyle w:val="ListParagraph"/>
        <w:spacing w:after="120"/>
        <w:ind w:left="567" w:firstLine="153"/>
        <w:rPr>
          <w:rFonts w:ascii="Arial" w:hAnsi="Arial" w:cs="Arial"/>
          <w:iCs/>
        </w:rPr>
      </w:pPr>
      <w:r w:rsidRPr="00DD7C4E">
        <w:rPr>
          <w:rFonts w:ascii="Arial" w:hAnsi="Arial" w:cs="Arial"/>
          <w:iCs/>
        </w:rPr>
        <w:t>Presentation</w:t>
      </w:r>
      <w:r w:rsidRPr="00DD7C4E">
        <w:rPr>
          <w:rFonts w:ascii="Arial" w:hAnsi="Arial" w:cs="Arial"/>
          <w:iCs/>
        </w:rPr>
        <w:tab/>
      </w:r>
      <w:r w:rsidR="00777FC8">
        <w:rPr>
          <w:rFonts w:ascii="Arial" w:hAnsi="Arial" w:cs="Arial"/>
          <w:iCs/>
        </w:rPr>
        <w:tab/>
      </w:r>
      <w:r w:rsidR="00777FC8">
        <w:rPr>
          <w:rFonts w:ascii="Arial" w:hAnsi="Arial" w:cs="Arial"/>
          <w:iCs/>
        </w:rPr>
        <w:tab/>
      </w:r>
      <w:r w:rsidR="00777FC8">
        <w:rPr>
          <w:rFonts w:ascii="Arial" w:hAnsi="Arial" w:cs="Arial"/>
          <w:iCs/>
        </w:rPr>
        <w:tab/>
      </w:r>
      <w:r>
        <w:rPr>
          <w:rFonts w:ascii="Arial" w:hAnsi="Arial" w:cs="Arial"/>
          <w:iCs/>
        </w:rPr>
        <w:t>20</w:t>
      </w:r>
      <w:r w:rsidRPr="00DD7C4E">
        <w:rPr>
          <w:rFonts w:ascii="Arial" w:hAnsi="Arial" w:cs="Arial"/>
          <w:iCs/>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5A853D5" w:rsidR="00274ED7" w:rsidRPr="009D52D0" w:rsidRDefault="006F3F8B" w:rsidP="00EA14CC">
      <w:pPr>
        <w:pStyle w:val="Heading2"/>
        <w:numPr>
          <w:ilvl w:val="0"/>
          <w:numId w:val="12"/>
        </w:numPr>
        <w:ind w:left="567" w:hanging="567"/>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048" w:type="dxa"/>
        <w:tblInd w:w="610" w:type="dxa"/>
        <w:tblLayout w:type="fixed"/>
        <w:tblLook w:val="04A0" w:firstRow="1" w:lastRow="0" w:firstColumn="1" w:lastColumn="0" w:noHBand="0" w:noVBand="1"/>
      </w:tblPr>
      <w:tblGrid>
        <w:gridCol w:w="3825"/>
        <w:gridCol w:w="889"/>
        <w:gridCol w:w="889"/>
        <w:gridCol w:w="889"/>
        <w:gridCol w:w="889"/>
        <w:gridCol w:w="889"/>
        <w:gridCol w:w="889"/>
        <w:gridCol w:w="889"/>
      </w:tblGrid>
      <w:tr w:rsidR="00EA14CC" w:rsidRPr="009D52D0" w14:paraId="5413EC92" w14:textId="46C4E61B" w:rsidTr="00EA14CC">
        <w:trPr>
          <w:cantSplit/>
          <w:trHeight w:val="812"/>
          <w:tblHeader/>
        </w:trPr>
        <w:tc>
          <w:tcPr>
            <w:tcW w:w="3825" w:type="dxa"/>
            <w:shd w:val="clear" w:color="auto" w:fill="D9D9D9" w:themeFill="background1" w:themeFillShade="D9"/>
          </w:tcPr>
          <w:p w14:paraId="140365DD" w14:textId="77777777" w:rsidR="00EA14CC" w:rsidRPr="009D52D0" w:rsidRDefault="00EA14C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89" w:type="dxa"/>
          </w:tcPr>
          <w:p w14:paraId="6167848F" w14:textId="77777777"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8.1</w:t>
            </w:r>
          </w:p>
        </w:tc>
        <w:tc>
          <w:tcPr>
            <w:tcW w:w="889" w:type="dxa"/>
          </w:tcPr>
          <w:p w14:paraId="5B554168" w14:textId="77777777"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8.2</w:t>
            </w:r>
          </w:p>
        </w:tc>
        <w:tc>
          <w:tcPr>
            <w:tcW w:w="889" w:type="dxa"/>
          </w:tcPr>
          <w:p w14:paraId="70BB1C5A" w14:textId="77777777"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8.3</w:t>
            </w:r>
          </w:p>
        </w:tc>
        <w:tc>
          <w:tcPr>
            <w:tcW w:w="889" w:type="dxa"/>
          </w:tcPr>
          <w:p w14:paraId="3B577D4A" w14:textId="0DCA0E63"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9.1</w:t>
            </w:r>
          </w:p>
        </w:tc>
        <w:tc>
          <w:tcPr>
            <w:tcW w:w="889" w:type="dxa"/>
          </w:tcPr>
          <w:p w14:paraId="266E4126" w14:textId="77777777"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9.2</w:t>
            </w:r>
          </w:p>
        </w:tc>
        <w:tc>
          <w:tcPr>
            <w:tcW w:w="889" w:type="dxa"/>
          </w:tcPr>
          <w:p w14:paraId="6EC60A4C" w14:textId="77777777" w:rsidR="00EA14CC" w:rsidRPr="009D52D0" w:rsidRDefault="00EA14CC" w:rsidP="004F0496">
            <w:pPr>
              <w:spacing w:after="120"/>
              <w:ind w:right="543"/>
              <w:rPr>
                <w:rFonts w:ascii="Arial" w:hAnsi="Arial" w:cs="Arial"/>
                <w:sz w:val="20"/>
                <w:szCs w:val="20"/>
              </w:rPr>
            </w:pPr>
            <w:r w:rsidRPr="009D52D0">
              <w:rPr>
                <w:rFonts w:ascii="Arial" w:hAnsi="Arial" w:cs="Arial"/>
                <w:sz w:val="20"/>
                <w:szCs w:val="20"/>
              </w:rPr>
              <w:t>9.3</w:t>
            </w:r>
          </w:p>
        </w:tc>
        <w:tc>
          <w:tcPr>
            <w:tcW w:w="889" w:type="dxa"/>
          </w:tcPr>
          <w:p w14:paraId="0ABC68F0" w14:textId="50FE95F3" w:rsidR="00EA14CC" w:rsidRPr="009D52D0" w:rsidRDefault="00EA14CC" w:rsidP="004F0496">
            <w:pPr>
              <w:spacing w:after="120"/>
              <w:ind w:right="543"/>
              <w:rPr>
                <w:rFonts w:ascii="Arial" w:hAnsi="Arial" w:cs="Arial"/>
                <w:sz w:val="20"/>
                <w:szCs w:val="20"/>
              </w:rPr>
            </w:pPr>
            <w:r>
              <w:rPr>
                <w:rFonts w:ascii="Arial" w:hAnsi="Arial" w:cs="Arial"/>
                <w:sz w:val="20"/>
                <w:szCs w:val="20"/>
              </w:rPr>
              <w:t>9.4</w:t>
            </w:r>
          </w:p>
        </w:tc>
      </w:tr>
      <w:tr w:rsidR="00EA14CC" w:rsidRPr="009D52D0" w14:paraId="780DC4A5" w14:textId="79126B78" w:rsidTr="00EA14CC">
        <w:trPr>
          <w:trHeight w:val="345"/>
        </w:trPr>
        <w:tc>
          <w:tcPr>
            <w:tcW w:w="3825" w:type="dxa"/>
          </w:tcPr>
          <w:p w14:paraId="16F79E00" w14:textId="77777777" w:rsidR="00EA14CC" w:rsidRPr="009D52D0" w:rsidRDefault="00EA14C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889" w:type="dxa"/>
          </w:tcPr>
          <w:p w14:paraId="34752F0E" w14:textId="1AE7F424"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0E9B09C0" w14:textId="5D5AA698"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6CD1C02C" w14:textId="094BF219"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2A716802" w14:textId="7B97ED6B"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5BAFD1A4" w14:textId="427D04A7"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030A7445" w14:textId="75DFC9B0"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52B1C1D8" w14:textId="13EBF0FF" w:rsidR="00EA14CC" w:rsidRDefault="00EA14CC" w:rsidP="004F0496">
            <w:pPr>
              <w:spacing w:after="120"/>
              <w:ind w:right="543"/>
              <w:rPr>
                <w:rFonts w:ascii="Arial" w:hAnsi="Arial" w:cs="Arial"/>
                <w:b/>
                <w:sz w:val="20"/>
                <w:szCs w:val="20"/>
              </w:rPr>
            </w:pPr>
            <w:r>
              <w:rPr>
                <w:rFonts w:ascii="Arial" w:hAnsi="Arial" w:cs="Arial"/>
                <w:b/>
                <w:sz w:val="20"/>
                <w:szCs w:val="20"/>
              </w:rPr>
              <w:t>X</w:t>
            </w:r>
          </w:p>
        </w:tc>
      </w:tr>
      <w:tr w:rsidR="00EA14CC" w:rsidRPr="009D52D0" w14:paraId="5C50A519" w14:textId="08666100" w:rsidTr="00EA14CC">
        <w:trPr>
          <w:trHeight w:val="345"/>
        </w:trPr>
        <w:tc>
          <w:tcPr>
            <w:tcW w:w="3825" w:type="dxa"/>
          </w:tcPr>
          <w:p w14:paraId="433DE3A7" w14:textId="22F5860B" w:rsidR="00EA14CC" w:rsidRPr="00510BC2" w:rsidRDefault="00EA14CC" w:rsidP="004F0496">
            <w:pPr>
              <w:spacing w:after="120"/>
              <w:ind w:right="543"/>
              <w:rPr>
                <w:rFonts w:ascii="Arial" w:hAnsi="Arial" w:cs="Arial"/>
                <w:iCs/>
                <w:sz w:val="20"/>
                <w:szCs w:val="20"/>
              </w:rPr>
            </w:pPr>
            <w:r>
              <w:rPr>
                <w:rFonts w:ascii="Arial" w:hAnsi="Arial" w:cs="Arial"/>
                <w:iCs/>
                <w:sz w:val="20"/>
                <w:szCs w:val="20"/>
              </w:rPr>
              <w:t>Lectures</w:t>
            </w:r>
          </w:p>
        </w:tc>
        <w:tc>
          <w:tcPr>
            <w:tcW w:w="889" w:type="dxa"/>
          </w:tcPr>
          <w:p w14:paraId="3853654B" w14:textId="470F4364"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7261D01A" w14:textId="5AFD349D"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2D7957D4" w14:textId="58A28D8C"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2AE9F109" w14:textId="111D8FD7" w:rsidR="00EA14CC" w:rsidRPr="009D52D0" w:rsidRDefault="00EA14CC" w:rsidP="004F0496">
            <w:pPr>
              <w:spacing w:after="120"/>
              <w:ind w:right="543"/>
              <w:rPr>
                <w:rFonts w:ascii="Arial" w:hAnsi="Arial" w:cs="Arial"/>
                <w:b/>
                <w:sz w:val="20"/>
                <w:szCs w:val="20"/>
              </w:rPr>
            </w:pPr>
          </w:p>
        </w:tc>
        <w:tc>
          <w:tcPr>
            <w:tcW w:w="889" w:type="dxa"/>
          </w:tcPr>
          <w:p w14:paraId="6BD0A090" w14:textId="7A0E66C5" w:rsidR="00EA14CC" w:rsidRPr="009D52D0" w:rsidRDefault="00EA14CC" w:rsidP="004F0496">
            <w:pPr>
              <w:spacing w:after="120"/>
              <w:ind w:right="543"/>
              <w:rPr>
                <w:rFonts w:ascii="Arial" w:hAnsi="Arial" w:cs="Arial"/>
                <w:b/>
                <w:sz w:val="20"/>
                <w:szCs w:val="20"/>
              </w:rPr>
            </w:pPr>
          </w:p>
        </w:tc>
        <w:tc>
          <w:tcPr>
            <w:tcW w:w="889" w:type="dxa"/>
          </w:tcPr>
          <w:p w14:paraId="3DAC9A4A" w14:textId="0B0D20C7" w:rsidR="00EA14CC" w:rsidRPr="009D52D0" w:rsidRDefault="00EA14CC" w:rsidP="004F0496">
            <w:pPr>
              <w:spacing w:after="120"/>
              <w:ind w:right="543"/>
              <w:rPr>
                <w:rFonts w:ascii="Arial" w:hAnsi="Arial" w:cs="Arial"/>
                <w:b/>
                <w:sz w:val="20"/>
                <w:szCs w:val="20"/>
              </w:rPr>
            </w:pPr>
          </w:p>
        </w:tc>
        <w:tc>
          <w:tcPr>
            <w:tcW w:w="889" w:type="dxa"/>
          </w:tcPr>
          <w:p w14:paraId="5AA3F532" w14:textId="77777777" w:rsidR="00EA14CC" w:rsidRPr="009D52D0" w:rsidRDefault="00EA14CC" w:rsidP="004F0496">
            <w:pPr>
              <w:spacing w:after="120"/>
              <w:ind w:right="543"/>
              <w:rPr>
                <w:rFonts w:ascii="Arial" w:hAnsi="Arial" w:cs="Arial"/>
                <w:b/>
                <w:sz w:val="20"/>
                <w:szCs w:val="20"/>
              </w:rPr>
            </w:pPr>
          </w:p>
        </w:tc>
      </w:tr>
      <w:tr w:rsidR="00EA14CC" w:rsidRPr="009D52D0" w14:paraId="460BDA99" w14:textId="5F0261D8" w:rsidTr="00EA14CC">
        <w:trPr>
          <w:trHeight w:val="345"/>
        </w:trPr>
        <w:tc>
          <w:tcPr>
            <w:tcW w:w="3825" w:type="dxa"/>
          </w:tcPr>
          <w:p w14:paraId="1CDAA785" w14:textId="788DB3D7" w:rsidR="00EA14CC" w:rsidRPr="00510BC2" w:rsidRDefault="00EA14CC" w:rsidP="004F0496">
            <w:pPr>
              <w:spacing w:after="120"/>
              <w:ind w:right="543"/>
              <w:rPr>
                <w:rFonts w:ascii="Arial" w:hAnsi="Arial" w:cs="Arial"/>
                <w:iCs/>
                <w:sz w:val="20"/>
                <w:szCs w:val="20"/>
              </w:rPr>
            </w:pPr>
            <w:r>
              <w:rPr>
                <w:rFonts w:ascii="Arial" w:hAnsi="Arial" w:cs="Arial"/>
                <w:iCs/>
                <w:sz w:val="20"/>
                <w:szCs w:val="20"/>
              </w:rPr>
              <w:t>Seminars</w:t>
            </w:r>
          </w:p>
        </w:tc>
        <w:tc>
          <w:tcPr>
            <w:tcW w:w="889" w:type="dxa"/>
          </w:tcPr>
          <w:p w14:paraId="0B596153" w14:textId="7726113C"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7EF775FB" w14:textId="55590A8D"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76760D4D" w14:textId="02B3A778"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1C240711" w14:textId="624A17F8"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2D2FDCA3" w14:textId="5182AC53"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20301B4E" w14:textId="11F3620F" w:rsidR="00EA14CC" w:rsidRPr="009D52D0" w:rsidRDefault="00EA14CC" w:rsidP="004F0496">
            <w:pPr>
              <w:spacing w:after="120"/>
              <w:ind w:right="543"/>
              <w:rPr>
                <w:rFonts w:ascii="Arial" w:hAnsi="Arial" w:cs="Arial"/>
                <w:b/>
                <w:sz w:val="20"/>
                <w:szCs w:val="20"/>
              </w:rPr>
            </w:pPr>
            <w:r>
              <w:rPr>
                <w:rFonts w:ascii="Arial" w:hAnsi="Arial" w:cs="Arial"/>
                <w:b/>
                <w:sz w:val="20"/>
                <w:szCs w:val="20"/>
              </w:rPr>
              <w:t>X</w:t>
            </w:r>
          </w:p>
        </w:tc>
        <w:tc>
          <w:tcPr>
            <w:tcW w:w="889" w:type="dxa"/>
          </w:tcPr>
          <w:p w14:paraId="79707DC6" w14:textId="4F19C54C" w:rsidR="00EA14CC" w:rsidRDefault="00EA14C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88" w:type="dxa"/>
        <w:tblLayout w:type="fixed"/>
        <w:tblLook w:val="04A0" w:firstRow="1" w:lastRow="0" w:firstColumn="1" w:lastColumn="0" w:noHBand="0" w:noVBand="1"/>
      </w:tblPr>
      <w:tblGrid>
        <w:gridCol w:w="3687"/>
        <w:gridCol w:w="869"/>
        <w:gridCol w:w="869"/>
        <w:gridCol w:w="1087"/>
        <w:gridCol w:w="869"/>
        <w:gridCol w:w="869"/>
        <w:gridCol w:w="869"/>
        <w:gridCol w:w="869"/>
      </w:tblGrid>
      <w:tr w:rsidR="00EA14CC" w:rsidRPr="009D52D0" w14:paraId="7367825C" w14:textId="5C0610FF" w:rsidTr="00EA14CC">
        <w:trPr>
          <w:trHeight w:val="810"/>
          <w:tblHeader/>
        </w:trPr>
        <w:tc>
          <w:tcPr>
            <w:tcW w:w="3687" w:type="dxa"/>
            <w:shd w:val="clear" w:color="auto" w:fill="D9D9D9" w:themeFill="background1" w:themeFillShade="D9"/>
          </w:tcPr>
          <w:p w14:paraId="4E99BFB5" w14:textId="77777777" w:rsidR="00EA14CC" w:rsidRPr="009D52D0" w:rsidRDefault="00EA14C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69" w:type="dxa"/>
          </w:tcPr>
          <w:p w14:paraId="7B5C6163" w14:textId="77777777"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8.1</w:t>
            </w:r>
          </w:p>
        </w:tc>
        <w:tc>
          <w:tcPr>
            <w:tcW w:w="869" w:type="dxa"/>
          </w:tcPr>
          <w:p w14:paraId="2210FC9E" w14:textId="77777777"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8.2</w:t>
            </w:r>
          </w:p>
        </w:tc>
        <w:tc>
          <w:tcPr>
            <w:tcW w:w="1087" w:type="dxa"/>
          </w:tcPr>
          <w:p w14:paraId="00B7F160" w14:textId="77777777"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8.3</w:t>
            </w:r>
          </w:p>
        </w:tc>
        <w:tc>
          <w:tcPr>
            <w:tcW w:w="869" w:type="dxa"/>
          </w:tcPr>
          <w:p w14:paraId="0D56B3A5" w14:textId="7DEA39C6"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9.1</w:t>
            </w:r>
          </w:p>
        </w:tc>
        <w:tc>
          <w:tcPr>
            <w:tcW w:w="869" w:type="dxa"/>
          </w:tcPr>
          <w:p w14:paraId="523687DC" w14:textId="77777777"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9.2</w:t>
            </w:r>
          </w:p>
        </w:tc>
        <w:tc>
          <w:tcPr>
            <w:tcW w:w="869" w:type="dxa"/>
          </w:tcPr>
          <w:p w14:paraId="1106ECFC" w14:textId="77777777" w:rsidR="00EA14CC" w:rsidRPr="009D52D0" w:rsidRDefault="00EA14CC" w:rsidP="00636058">
            <w:pPr>
              <w:spacing w:after="120"/>
              <w:ind w:right="543"/>
              <w:rPr>
                <w:rFonts w:ascii="Arial" w:hAnsi="Arial" w:cs="Arial"/>
                <w:sz w:val="20"/>
                <w:szCs w:val="20"/>
              </w:rPr>
            </w:pPr>
            <w:r w:rsidRPr="009D52D0">
              <w:rPr>
                <w:rFonts w:ascii="Arial" w:hAnsi="Arial" w:cs="Arial"/>
                <w:sz w:val="20"/>
                <w:szCs w:val="20"/>
              </w:rPr>
              <w:t>9.3</w:t>
            </w:r>
          </w:p>
        </w:tc>
        <w:tc>
          <w:tcPr>
            <w:tcW w:w="869" w:type="dxa"/>
          </w:tcPr>
          <w:p w14:paraId="6FC6FA66" w14:textId="10F88E7B" w:rsidR="00EA14CC" w:rsidRPr="009D52D0" w:rsidRDefault="00EA14CC" w:rsidP="00636058">
            <w:pPr>
              <w:spacing w:after="120"/>
              <w:ind w:right="543"/>
              <w:rPr>
                <w:rFonts w:ascii="Arial" w:hAnsi="Arial" w:cs="Arial"/>
                <w:sz w:val="20"/>
                <w:szCs w:val="20"/>
              </w:rPr>
            </w:pPr>
            <w:r>
              <w:rPr>
                <w:rFonts w:ascii="Arial" w:hAnsi="Arial" w:cs="Arial"/>
                <w:sz w:val="20"/>
                <w:szCs w:val="20"/>
              </w:rPr>
              <w:t>9.4</w:t>
            </w:r>
          </w:p>
        </w:tc>
      </w:tr>
      <w:tr w:rsidR="00EA14CC" w:rsidRPr="009D52D0" w14:paraId="6D8FD37D" w14:textId="3F810D3F" w:rsidTr="00EA14CC">
        <w:trPr>
          <w:trHeight w:val="345"/>
          <w:tblHeader/>
        </w:trPr>
        <w:tc>
          <w:tcPr>
            <w:tcW w:w="3687" w:type="dxa"/>
          </w:tcPr>
          <w:p w14:paraId="6500FA2E" w14:textId="2389A27A" w:rsidR="00EA14CC" w:rsidRPr="00510BC2" w:rsidRDefault="00EA14CC" w:rsidP="00636058">
            <w:pPr>
              <w:spacing w:after="120"/>
              <w:ind w:right="543"/>
              <w:rPr>
                <w:rFonts w:ascii="Arial" w:hAnsi="Arial" w:cs="Arial"/>
                <w:iCs/>
                <w:sz w:val="20"/>
                <w:szCs w:val="20"/>
              </w:rPr>
            </w:pPr>
            <w:r>
              <w:rPr>
                <w:rFonts w:ascii="Arial" w:hAnsi="Arial" w:cs="Arial"/>
                <w:iCs/>
                <w:sz w:val="20"/>
                <w:szCs w:val="20"/>
              </w:rPr>
              <w:t>Presentation</w:t>
            </w:r>
          </w:p>
        </w:tc>
        <w:tc>
          <w:tcPr>
            <w:tcW w:w="869" w:type="dxa"/>
          </w:tcPr>
          <w:p w14:paraId="718AB32A" w14:textId="1FEA85A8"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71084725" w14:textId="2BBF4B13"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1087" w:type="dxa"/>
          </w:tcPr>
          <w:p w14:paraId="659E3E11" w14:textId="48D6A0AE"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60747C35" w14:textId="19148BA7" w:rsidR="00EA14CC" w:rsidRPr="009D52D0" w:rsidRDefault="00EA14CC" w:rsidP="00636058">
            <w:pPr>
              <w:spacing w:after="120"/>
              <w:ind w:right="543"/>
              <w:rPr>
                <w:rFonts w:ascii="Arial" w:hAnsi="Arial" w:cs="Arial"/>
                <w:b/>
                <w:sz w:val="20"/>
                <w:szCs w:val="20"/>
              </w:rPr>
            </w:pPr>
          </w:p>
        </w:tc>
        <w:tc>
          <w:tcPr>
            <w:tcW w:w="869" w:type="dxa"/>
          </w:tcPr>
          <w:p w14:paraId="6FCDE494" w14:textId="38649623"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48C6EE1D" w14:textId="13CFAC4A" w:rsidR="00EA14CC" w:rsidRPr="009D52D0" w:rsidRDefault="00EA14CC" w:rsidP="00636058">
            <w:pPr>
              <w:spacing w:after="120"/>
              <w:ind w:right="543"/>
              <w:rPr>
                <w:rFonts w:ascii="Arial" w:hAnsi="Arial" w:cs="Arial"/>
                <w:b/>
                <w:sz w:val="20"/>
                <w:szCs w:val="20"/>
              </w:rPr>
            </w:pPr>
          </w:p>
        </w:tc>
        <w:tc>
          <w:tcPr>
            <w:tcW w:w="869" w:type="dxa"/>
          </w:tcPr>
          <w:p w14:paraId="54E5FCD5" w14:textId="5573B144"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r>
      <w:tr w:rsidR="00EA14CC" w:rsidRPr="009D52D0" w14:paraId="33EAAC8E" w14:textId="16215425" w:rsidTr="00EA14CC">
        <w:trPr>
          <w:trHeight w:val="345"/>
          <w:tblHeader/>
        </w:trPr>
        <w:tc>
          <w:tcPr>
            <w:tcW w:w="3687" w:type="dxa"/>
          </w:tcPr>
          <w:p w14:paraId="41B161CA" w14:textId="3415B32E" w:rsidR="00EA14CC" w:rsidRPr="00510BC2" w:rsidRDefault="00EA14CC" w:rsidP="00636058">
            <w:pPr>
              <w:spacing w:after="120"/>
              <w:ind w:right="543"/>
              <w:rPr>
                <w:rFonts w:ascii="Arial" w:hAnsi="Arial" w:cs="Arial"/>
                <w:iCs/>
                <w:sz w:val="20"/>
                <w:szCs w:val="20"/>
              </w:rPr>
            </w:pPr>
            <w:r>
              <w:rPr>
                <w:rFonts w:ascii="Arial" w:hAnsi="Arial" w:cs="Arial"/>
                <w:iCs/>
                <w:sz w:val="20"/>
                <w:szCs w:val="20"/>
              </w:rPr>
              <w:t>Gobbets exercise</w:t>
            </w:r>
          </w:p>
        </w:tc>
        <w:tc>
          <w:tcPr>
            <w:tcW w:w="869" w:type="dxa"/>
          </w:tcPr>
          <w:p w14:paraId="4D015421" w14:textId="1202B5D1"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47055659" w14:textId="4F21E815"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1087" w:type="dxa"/>
          </w:tcPr>
          <w:p w14:paraId="32CE5E70" w14:textId="29AE63C7"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43F1F7E1" w14:textId="48C1DD51"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34BF4922" w14:textId="5B1624E1"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29656163" w14:textId="5DB78170"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17A5BDFA" w14:textId="171CD117" w:rsidR="00EA14CC" w:rsidRDefault="00EA14CC" w:rsidP="00636058">
            <w:pPr>
              <w:spacing w:after="120"/>
              <w:ind w:right="543"/>
              <w:rPr>
                <w:rFonts w:ascii="Arial" w:hAnsi="Arial" w:cs="Arial"/>
                <w:b/>
                <w:sz w:val="20"/>
                <w:szCs w:val="20"/>
              </w:rPr>
            </w:pPr>
            <w:r>
              <w:rPr>
                <w:rFonts w:ascii="Arial" w:hAnsi="Arial" w:cs="Arial"/>
                <w:b/>
                <w:sz w:val="20"/>
                <w:szCs w:val="20"/>
              </w:rPr>
              <w:t>X</w:t>
            </w:r>
          </w:p>
        </w:tc>
      </w:tr>
      <w:tr w:rsidR="00EA14CC" w:rsidRPr="009D52D0" w14:paraId="3E872A1E" w14:textId="4C75CB94" w:rsidTr="00EA14CC">
        <w:trPr>
          <w:trHeight w:val="345"/>
          <w:tblHeader/>
        </w:trPr>
        <w:tc>
          <w:tcPr>
            <w:tcW w:w="3687" w:type="dxa"/>
          </w:tcPr>
          <w:p w14:paraId="4CEA8453" w14:textId="41F3A88D" w:rsidR="00EA14CC" w:rsidRPr="00510BC2" w:rsidRDefault="00EA14CC" w:rsidP="00636058">
            <w:pPr>
              <w:spacing w:after="120"/>
              <w:ind w:right="543"/>
              <w:rPr>
                <w:rFonts w:ascii="Arial" w:hAnsi="Arial" w:cs="Arial"/>
                <w:iCs/>
                <w:sz w:val="20"/>
                <w:szCs w:val="20"/>
              </w:rPr>
            </w:pPr>
            <w:r>
              <w:rPr>
                <w:rFonts w:ascii="Arial" w:hAnsi="Arial" w:cs="Arial"/>
                <w:iCs/>
                <w:sz w:val="20"/>
                <w:szCs w:val="20"/>
              </w:rPr>
              <w:t>Essay</w:t>
            </w:r>
          </w:p>
        </w:tc>
        <w:tc>
          <w:tcPr>
            <w:tcW w:w="869" w:type="dxa"/>
          </w:tcPr>
          <w:p w14:paraId="5BE33B98" w14:textId="0FA24228"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37720F16" w14:textId="4BECACE5"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1087" w:type="dxa"/>
          </w:tcPr>
          <w:p w14:paraId="2DB982CE" w14:textId="1EA73F61"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641E8425" w14:textId="5CB143DB"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01C0711D" w14:textId="2A2602B8"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4EC007B4" w14:textId="3874CEFB" w:rsidR="00EA14CC" w:rsidRPr="009D52D0" w:rsidRDefault="00EA14CC" w:rsidP="00636058">
            <w:pPr>
              <w:spacing w:after="120"/>
              <w:ind w:right="543"/>
              <w:rPr>
                <w:rFonts w:ascii="Arial" w:hAnsi="Arial" w:cs="Arial"/>
                <w:b/>
                <w:sz w:val="20"/>
                <w:szCs w:val="20"/>
              </w:rPr>
            </w:pPr>
            <w:r>
              <w:rPr>
                <w:rFonts w:ascii="Arial" w:hAnsi="Arial" w:cs="Arial"/>
                <w:b/>
                <w:sz w:val="20"/>
                <w:szCs w:val="20"/>
              </w:rPr>
              <w:t>X</w:t>
            </w:r>
          </w:p>
        </w:tc>
        <w:tc>
          <w:tcPr>
            <w:tcW w:w="869" w:type="dxa"/>
          </w:tcPr>
          <w:p w14:paraId="5E0FC99A" w14:textId="067CA846" w:rsidR="00EA14CC" w:rsidRDefault="00EA14CC" w:rsidP="00636058">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EA14CC">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EA14CC">
      <w:pPr>
        <w:pStyle w:val="Heading2"/>
        <w:numPr>
          <w:ilvl w:val="0"/>
          <w:numId w:val="12"/>
        </w:numPr>
        <w:ind w:left="567" w:hanging="567"/>
        <w:rPr>
          <w:iCs/>
        </w:rPr>
      </w:pPr>
      <w:r w:rsidRPr="009D52D0">
        <w:t xml:space="preserve">Inclusive module design </w:t>
      </w:r>
    </w:p>
    <w:p w14:paraId="39DA4ADC" w14:textId="1BB15A6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EA14CC">
      <w:pPr>
        <w:pStyle w:val="Heading2"/>
        <w:numPr>
          <w:ilvl w:val="0"/>
          <w:numId w:val="12"/>
        </w:numPr>
        <w:ind w:left="567" w:hanging="567"/>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1E4960">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EA14CC">
      <w:pPr>
        <w:pStyle w:val="Heading2"/>
        <w:numPr>
          <w:ilvl w:val="0"/>
          <w:numId w:val="12"/>
        </w:numPr>
        <w:ind w:left="567" w:hanging="567"/>
      </w:pPr>
      <w:r w:rsidRPr="009D52D0">
        <w:t xml:space="preserve">Internationalisation </w:t>
      </w:r>
    </w:p>
    <w:p w14:paraId="4260A45A" w14:textId="7246B74E" w:rsidR="00922E9E" w:rsidRPr="00EA14CC" w:rsidRDefault="00EA14CC" w:rsidP="001E4960">
      <w:pPr>
        <w:spacing w:after="120" w:line="240" w:lineRule="auto"/>
        <w:ind w:left="567" w:right="260"/>
        <w:jc w:val="both"/>
        <w:rPr>
          <w:rFonts w:ascii="Arial" w:hAnsi="Arial" w:cs="Arial"/>
          <w:iCs/>
        </w:rPr>
      </w:pPr>
      <w:r>
        <w:rPr>
          <w:rFonts w:ascii="Arial" w:hAnsi="Arial" w:cs="Arial"/>
          <w:iCs/>
        </w:rPr>
        <w:t>This module is, at its core, a study of international history – exploring how different states with different ideologies interacted with one another and influenced/were influenced by major international events, such as the Treaty of Versailles, the Spanish Civil War, the Italian invasion of Abyssinia, and the outbreak of the Second World War. Moreover, international bodies, such as the League of Nations, will be considered directly alongside an in-depth analysis of the role played by diplomacy in this period. Students will be encouraged to think critically about the relationship between domestic political ideology and international relations. In addition, it is intended to initiate an annual School of History field trip to Berlin, in which students on this module would be encouraged to participate.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8F0E1FE" w:rsidR="00422B69" w:rsidRPr="009D52D0" w:rsidRDefault="004323ED"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0342EC6E" w:rsidR="00422B69" w:rsidRPr="009D52D0" w:rsidRDefault="00041142"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5A4187FC" w:rsidR="00422B69" w:rsidRPr="009D52D0" w:rsidRDefault="00041142"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7B7FEA49" w:rsidR="00422B69" w:rsidRPr="009D52D0" w:rsidRDefault="00041142"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33BE" w14:textId="77777777" w:rsidR="008B7C39" w:rsidRDefault="008B7C39" w:rsidP="009A2D37">
      <w:pPr>
        <w:spacing w:after="0" w:line="240" w:lineRule="auto"/>
      </w:pPr>
      <w:r>
        <w:separator/>
      </w:r>
    </w:p>
  </w:endnote>
  <w:endnote w:type="continuationSeparator" w:id="0">
    <w:p w14:paraId="31BDBB89" w14:textId="77777777" w:rsidR="008B7C39" w:rsidRDefault="008B7C39" w:rsidP="009A2D37">
      <w:pPr>
        <w:spacing w:after="0" w:line="240" w:lineRule="auto"/>
      </w:pPr>
      <w:r>
        <w:continuationSeparator/>
      </w:r>
    </w:p>
  </w:endnote>
  <w:endnote w:type="continuationNotice" w:id="1">
    <w:p w14:paraId="0CC8EF5A" w14:textId="77777777" w:rsidR="008B7C39" w:rsidRDefault="008B7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A4B05DC" w:rsidR="008B2543" w:rsidRDefault="0019787E" w:rsidP="009A2D37">
        <w:pPr>
          <w:pStyle w:val="Footer"/>
          <w:jc w:val="center"/>
        </w:pPr>
        <w:r>
          <w:fldChar w:fldCharType="begin"/>
        </w:r>
        <w:r>
          <w:instrText xml:space="preserve"> PAGE   \* MERGEFORMAT </w:instrText>
        </w:r>
        <w:r>
          <w:fldChar w:fldCharType="separate"/>
        </w:r>
        <w:r w:rsidR="009A1CD7">
          <w:rPr>
            <w:noProof/>
          </w:rPr>
          <w:t>5</w:t>
        </w:r>
        <w:r>
          <w:rPr>
            <w:noProof/>
          </w:rPr>
          <w:fldChar w:fldCharType="end"/>
        </w:r>
      </w:p>
    </w:sdtContent>
  </w:sdt>
  <w:p w14:paraId="24E49343" w14:textId="77777777" w:rsidR="00041142" w:rsidRPr="00041142" w:rsidRDefault="00041142" w:rsidP="00041142">
    <w:pPr>
      <w:pStyle w:val="Footer"/>
      <w:jc w:val="center"/>
      <w:rPr>
        <w:sz w:val="18"/>
        <w:szCs w:val="18"/>
      </w:rPr>
    </w:pPr>
    <w:r w:rsidRPr="00041142">
      <w:rPr>
        <w:rFonts w:ascii="Arial" w:hAnsi="Arial" w:cs="Arial"/>
        <w:sz w:val="18"/>
        <w:szCs w:val="18"/>
      </w:rPr>
      <w:t>Europe in Extremes: Communism, Fascism and Nazism, 1917-1939</w:t>
    </w:r>
  </w:p>
  <w:p w14:paraId="26569854" w14:textId="634338BD" w:rsidR="008B2543" w:rsidRPr="007B7724" w:rsidRDefault="008B2543" w:rsidP="0004114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A8C94B8" w:rsidR="00EB41D1" w:rsidRDefault="00EB41D1" w:rsidP="00EB41D1">
        <w:pPr>
          <w:pStyle w:val="Footer"/>
          <w:jc w:val="center"/>
        </w:pPr>
        <w:r>
          <w:fldChar w:fldCharType="begin"/>
        </w:r>
        <w:r>
          <w:instrText xml:space="preserve"> PAGE   \* MERGEFORMAT </w:instrText>
        </w:r>
        <w:r>
          <w:fldChar w:fldCharType="separate"/>
        </w:r>
        <w:r w:rsidR="009A1CD7">
          <w:rPr>
            <w:noProof/>
          </w:rPr>
          <w:t>1</w:t>
        </w:r>
        <w:r>
          <w:rPr>
            <w:noProof/>
          </w:rPr>
          <w:fldChar w:fldCharType="end"/>
        </w:r>
      </w:p>
    </w:sdtContent>
  </w:sdt>
  <w:p w14:paraId="24F79DDC" w14:textId="78ECCAAF" w:rsidR="00F17B94" w:rsidRPr="00041142" w:rsidRDefault="00041142" w:rsidP="00041142">
    <w:pPr>
      <w:pStyle w:val="Footer"/>
      <w:jc w:val="center"/>
      <w:rPr>
        <w:sz w:val="18"/>
        <w:szCs w:val="18"/>
      </w:rPr>
    </w:pPr>
    <w:bookmarkStart w:id="0" w:name="_Hlk150523349"/>
    <w:bookmarkStart w:id="1" w:name="_Hlk150523350"/>
    <w:bookmarkStart w:id="2" w:name="_Hlk150523355"/>
    <w:bookmarkStart w:id="3" w:name="_Hlk150523356"/>
    <w:r w:rsidRPr="00041142">
      <w:rPr>
        <w:rFonts w:ascii="Arial" w:hAnsi="Arial" w:cs="Arial"/>
        <w:sz w:val="18"/>
        <w:szCs w:val="18"/>
      </w:rPr>
      <w:t>Europe in Extremes: Communism, Fascism and Nazism, 1917-1939</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5A0B" w14:textId="77777777" w:rsidR="008B7C39" w:rsidRDefault="008B7C39" w:rsidP="009A2D37">
      <w:pPr>
        <w:spacing w:after="0" w:line="240" w:lineRule="auto"/>
      </w:pPr>
      <w:r>
        <w:separator/>
      </w:r>
    </w:p>
  </w:footnote>
  <w:footnote w:type="continuationSeparator" w:id="0">
    <w:p w14:paraId="76AEC75C" w14:textId="77777777" w:rsidR="008B7C39" w:rsidRDefault="008B7C39" w:rsidP="009A2D37">
      <w:pPr>
        <w:spacing w:after="0" w:line="240" w:lineRule="auto"/>
      </w:pPr>
      <w:r>
        <w:continuationSeparator/>
      </w:r>
    </w:p>
  </w:footnote>
  <w:footnote w:type="continuationNotice" w:id="1">
    <w:p w14:paraId="1EE96F27" w14:textId="77777777" w:rsidR="008B7C39" w:rsidRDefault="008B7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lang w:eastAsia="en-GB"/>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23EBA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4135A56"/>
    <w:multiLevelType w:val="hybridMultilevel"/>
    <w:tmpl w:val="C41E2B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175B2A"/>
    <w:multiLevelType w:val="hybridMultilevel"/>
    <w:tmpl w:val="E26E194E"/>
    <w:lvl w:ilvl="0" w:tplc="53289148">
      <w:start w:val="1"/>
      <w:numFmt w:val="decimal"/>
      <w:suff w:val="space"/>
      <w:lvlText w:val="9.%1."/>
      <w:lvlJc w:val="left"/>
      <w:pPr>
        <w:ind w:left="92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8" w15:restartNumberingAfterBreak="0">
    <w:nsid w:val="56DB5689"/>
    <w:multiLevelType w:val="multilevel"/>
    <w:tmpl w:val="E3389D50"/>
    <w:lvl w:ilvl="0">
      <w:start w:val="8"/>
      <w:numFmt w:val="decimal"/>
      <w:lvlText w:val="%1"/>
      <w:lvlJc w:val="left"/>
      <w:pPr>
        <w:ind w:left="644" w:hanging="360"/>
      </w:pPr>
      <w:rPr>
        <w:rFonts w:hint="default"/>
        <w:i w:val="0"/>
        <w:iCs w:val="0"/>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638802770">
    <w:abstractNumId w:val="2"/>
  </w:num>
  <w:num w:numId="2" w16cid:durableId="2033148215">
    <w:abstractNumId w:val="0"/>
  </w:num>
  <w:num w:numId="3" w16cid:durableId="514349221">
    <w:abstractNumId w:val="3"/>
  </w:num>
  <w:num w:numId="4" w16cid:durableId="104858091">
    <w:abstractNumId w:val="1"/>
  </w:num>
  <w:num w:numId="5" w16cid:durableId="1699354605">
    <w:abstractNumId w:val="11"/>
  </w:num>
  <w:num w:numId="6" w16cid:durableId="1366370162">
    <w:abstractNumId w:val="9"/>
  </w:num>
  <w:num w:numId="7" w16cid:durableId="812676875">
    <w:abstractNumId w:val="12"/>
  </w:num>
  <w:num w:numId="8" w16cid:durableId="2106149433">
    <w:abstractNumId w:val="10"/>
  </w:num>
  <w:num w:numId="9" w16cid:durableId="770246739">
    <w:abstractNumId w:val="4"/>
  </w:num>
  <w:num w:numId="10" w16cid:durableId="2071728094">
    <w:abstractNumId w:val="5"/>
  </w:num>
  <w:num w:numId="11" w16cid:durableId="1600945427">
    <w:abstractNumId w:val="13"/>
  </w:num>
  <w:num w:numId="12" w16cid:durableId="68819067">
    <w:abstractNumId w:val="8"/>
  </w:num>
  <w:num w:numId="13" w16cid:durableId="392391375">
    <w:abstractNumId w:val="7"/>
  </w:num>
  <w:num w:numId="14" w16cid:durableId="756941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1142"/>
    <w:rsid w:val="00045373"/>
    <w:rsid w:val="000479A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960"/>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ED"/>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3215"/>
    <w:rsid w:val="00754069"/>
    <w:rsid w:val="00765ED0"/>
    <w:rsid w:val="007667DF"/>
    <w:rsid w:val="0077080B"/>
    <w:rsid w:val="00777FC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285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7C39"/>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5FBB"/>
    <w:rsid w:val="00996204"/>
    <w:rsid w:val="009A1CD7"/>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A14CC"/>
    <w:rsid w:val="00EB0365"/>
    <w:rsid w:val="00EB1C2D"/>
    <w:rsid w:val="00EB41D1"/>
    <w:rsid w:val="00EC1810"/>
    <w:rsid w:val="00EC3FCC"/>
    <w:rsid w:val="00ED32FF"/>
    <w:rsid w:val="00EF039B"/>
    <w:rsid w:val="00EF4933"/>
    <w:rsid w:val="00EF5044"/>
    <w:rsid w:val="00EF5DCE"/>
    <w:rsid w:val="00F01956"/>
    <w:rsid w:val="00F01AF0"/>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96D1A-5A59-4097-A5BE-798A26DC2AC1}"/>
</file>

<file path=customXml/itemProps2.xml><?xml version="1.0" encoding="utf-8"?>
<ds:datastoreItem xmlns:ds="http://schemas.openxmlformats.org/officeDocument/2006/customXml" ds:itemID="{8795F4BB-BBE7-487D-A53B-B9E16C5D4D70}">
  <ds:schemaRefs>
    <ds:schemaRef ds:uri="http://schemas.openxmlformats.org/officeDocument/2006/bibliography"/>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2024-02-26T09:58:00Z</dcterms:created>
  <dcterms:modified xsi:type="dcterms:W3CDTF">2024-02-26T09:58:00Z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