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BD120F8" w14:textId="77777777" w:rsidR="00D877AA" w:rsidRPr="00FD1E16" w:rsidRDefault="00D877AA" w:rsidP="00D877AA">
      <w:pPr>
        <w:spacing w:after="120" w:line="240" w:lineRule="auto"/>
        <w:ind w:left="567" w:right="260"/>
        <w:jc w:val="both"/>
        <w:rPr>
          <w:rFonts w:ascii="Arial" w:hAnsi="Arial" w:cs="Arial"/>
          <w:iCs/>
          <w:sz w:val="24"/>
          <w:szCs w:val="24"/>
        </w:rPr>
      </w:pPr>
      <w:r w:rsidRPr="00FD1E16">
        <w:rPr>
          <w:rFonts w:ascii="Arial" w:hAnsi="Arial" w:cs="Arial"/>
          <w:sz w:val="24"/>
          <w:szCs w:val="24"/>
        </w:rPr>
        <w:t>HIST5096/HIST5097 Modern German History, 1918-1990</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08D5B901" w:rsidR="009A2D37" w:rsidRDefault="00026F99" w:rsidP="00026F99">
      <w:pPr>
        <w:spacing w:after="120" w:line="240" w:lineRule="auto"/>
        <w:ind w:left="567" w:right="543"/>
        <w:jc w:val="both"/>
        <w:rPr>
          <w:rFonts w:ascii="Arial" w:hAnsi="Arial" w:cs="Arial"/>
          <w:iCs/>
          <w:sz w:val="24"/>
          <w:szCs w:val="24"/>
        </w:rPr>
      </w:pPr>
      <w:r>
        <w:rPr>
          <w:rFonts w:ascii="Arial" w:hAnsi="Arial" w:cs="Arial"/>
          <w:iCs/>
          <w:sz w:val="24"/>
          <w:szCs w:val="24"/>
        </w:rPr>
        <w:t xml:space="preserve">Arts &amp; Humanities </w:t>
      </w:r>
      <w:r w:rsidR="00D877AA">
        <w:rPr>
          <w:rFonts w:ascii="Arial" w:hAnsi="Arial" w:cs="Arial"/>
          <w:iCs/>
          <w:sz w:val="24"/>
          <w:szCs w:val="24"/>
        </w:rPr>
        <w:t>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01E3AAC" w14:textId="4A979F4F" w:rsidR="00D877AA" w:rsidRPr="00FD1E16" w:rsidRDefault="00D877AA" w:rsidP="00D877AA">
      <w:pPr>
        <w:spacing w:after="120" w:line="240" w:lineRule="auto"/>
        <w:ind w:left="567" w:right="260"/>
        <w:jc w:val="both"/>
        <w:rPr>
          <w:rFonts w:ascii="Arial" w:hAnsi="Arial" w:cs="Arial"/>
          <w:sz w:val="24"/>
          <w:szCs w:val="24"/>
        </w:rPr>
      </w:pPr>
      <w:r w:rsidRPr="00FD1E16">
        <w:rPr>
          <w:rFonts w:ascii="Arial" w:hAnsi="Arial" w:cs="Arial"/>
          <w:sz w:val="24"/>
          <w:szCs w:val="24"/>
        </w:rPr>
        <w:t>Level 5</w:t>
      </w:r>
      <w:r w:rsidR="00126B32">
        <w:rPr>
          <w:rFonts w:ascii="Arial" w:hAnsi="Arial" w:cs="Arial"/>
          <w:sz w:val="24"/>
          <w:szCs w:val="24"/>
        </w:rPr>
        <w:t xml:space="preserve"> (HIST5096)</w:t>
      </w:r>
      <w:r w:rsidRPr="00FD1E16">
        <w:rPr>
          <w:rFonts w:ascii="Arial" w:hAnsi="Arial" w:cs="Arial"/>
          <w:sz w:val="24"/>
          <w:szCs w:val="24"/>
        </w:rPr>
        <w:t xml:space="preserve"> or Level 6</w:t>
      </w:r>
      <w:r w:rsidR="00126B32">
        <w:rPr>
          <w:rFonts w:ascii="Arial" w:hAnsi="Arial" w:cs="Arial"/>
          <w:sz w:val="24"/>
          <w:szCs w:val="24"/>
        </w:rPr>
        <w:t xml:space="preserve"> (HIST5097)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B8C6859" w14:textId="77777777" w:rsidR="00126B32" w:rsidRDefault="00126B32" w:rsidP="00D877AA">
      <w:pPr>
        <w:spacing w:after="120" w:line="240" w:lineRule="auto"/>
        <w:ind w:left="567" w:right="260"/>
        <w:jc w:val="both"/>
        <w:rPr>
          <w:rFonts w:ascii="Arial" w:hAnsi="Arial" w:cs="Arial"/>
          <w:iCs/>
          <w:sz w:val="24"/>
          <w:szCs w:val="24"/>
        </w:rPr>
      </w:pPr>
      <w:r>
        <w:rPr>
          <w:rFonts w:ascii="Arial" w:hAnsi="Arial" w:cs="Arial"/>
          <w:iCs/>
          <w:sz w:val="24"/>
          <w:szCs w:val="24"/>
        </w:rPr>
        <w:t>Optional for:</w:t>
      </w:r>
    </w:p>
    <w:p w14:paraId="7B80E34C" w14:textId="0A49C80E" w:rsidR="00D877AA" w:rsidRPr="00FD1E16" w:rsidRDefault="00D877AA" w:rsidP="00D877AA">
      <w:pPr>
        <w:spacing w:after="120" w:line="240" w:lineRule="auto"/>
        <w:ind w:left="567" w:right="260"/>
        <w:jc w:val="both"/>
        <w:rPr>
          <w:rFonts w:ascii="Arial" w:hAnsi="Arial" w:cs="Arial"/>
          <w:sz w:val="24"/>
          <w:szCs w:val="24"/>
        </w:rPr>
      </w:pPr>
      <w:r w:rsidRPr="00FD1E16">
        <w:rPr>
          <w:rFonts w:ascii="Arial" w:hAnsi="Arial" w:cs="Arial"/>
          <w:iCs/>
          <w:sz w:val="24"/>
          <w:szCs w:val="24"/>
        </w:rPr>
        <w:t>BA (Hons) History, BA (Hons) History Joint Honours Programmes</w:t>
      </w:r>
      <w:r>
        <w:rPr>
          <w:rFonts w:ascii="Arial" w:hAnsi="Arial" w:cs="Arial"/>
          <w:iCs/>
          <w:sz w:val="24"/>
          <w:szCs w:val="24"/>
        </w:rPr>
        <w:t>, BA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DF7147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8.1 Demonstrate a critical understanding of the historiography and history of Germany between the end of the First World War in 1918 and German reunification in 1990.</w:t>
      </w:r>
    </w:p>
    <w:p w14:paraId="6AD7F3F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8.2 Apply historical methodologies and approaches to analyse a range of primary and secondary sources on the subject, and where possible, visual and material evidence.</w:t>
      </w:r>
    </w:p>
    <w:p w14:paraId="79B62390"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 xml:space="preserve">8.3 Demonstrate the necessary skills to organise, contextualise, analyse, evaluate and communicate their knowledge of modern German history. </w:t>
      </w:r>
    </w:p>
    <w:p w14:paraId="5B7F425F" w14:textId="7DECA926" w:rsidR="00334FE6" w:rsidRDefault="00334FE6">
      <w:pPr>
        <w:rPr>
          <w:rFonts w:ascii="Arial" w:hAnsi="Arial" w:cs="Arial"/>
          <w:sz w:val="24"/>
          <w:szCs w:val="24"/>
        </w:rPr>
      </w:pPr>
      <w:r>
        <w:rPr>
          <w:rFonts w:ascii="Arial" w:hAnsi="Arial" w:cs="Arial"/>
          <w:sz w:val="24"/>
          <w:szCs w:val="24"/>
        </w:rPr>
        <w:br w:type="page"/>
      </w:r>
    </w:p>
    <w:p w14:paraId="3C22287A" w14:textId="77777777" w:rsidR="00D877AA" w:rsidRPr="00FD1E16" w:rsidRDefault="00D877AA" w:rsidP="00D877AA">
      <w:pPr>
        <w:spacing w:after="120" w:line="240" w:lineRule="auto"/>
        <w:ind w:left="567" w:right="260"/>
        <w:rPr>
          <w:rFonts w:ascii="Arial" w:hAnsi="Arial" w:cs="Arial"/>
          <w:b/>
          <w:sz w:val="24"/>
          <w:szCs w:val="24"/>
        </w:rPr>
      </w:pPr>
      <w:r w:rsidRPr="00FD1E16">
        <w:rPr>
          <w:rFonts w:ascii="Arial" w:hAnsi="Arial" w:cs="Arial"/>
          <w:b/>
          <w:sz w:val="24"/>
          <w:szCs w:val="24"/>
        </w:rPr>
        <w:lastRenderedPageBreak/>
        <w:t>In addition level 6 students will be able to:</w:t>
      </w:r>
    </w:p>
    <w:p w14:paraId="0577B4BA"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8.4 Demonstrate a systematic understanding of the historiography and the methodological complexities in the historical record within the history of modern Germany.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828DA05"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9.1 Demonstrate a critical understanding of different historical approaches and degrees of bias as well as of the methodological complexities in the historical record itself.</w:t>
      </w:r>
    </w:p>
    <w:p w14:paraId="5240E2BC"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9.2 Demonstrate analytical and reflective skills and the ability to express complex ideas and arguments orally and in writing, skills which can be transferred to other areas of study and employment.</w:t>
      </w:r>
    </w:p>
    <w:p w14:paraId="1E4715F3" w14:textId="77777777" w:rsidR="00D877AA" w:rsidRPr="00FD1E16" w:rsidRDefault="00D877AA" w:rsidP="00BB0F69">
      <w:pPr>
        <w:spacing w:after="120" w:line="240" w:lineRule="auto"/>
        <w:ind w:left="567" w:right="260"/>
        <w:jc w:val="both"/>
        <w:rPr>
          <w:rFonts w:ascii="Arial" w:hAnsi="Arial" w:cs="Arial"/>
          <w:sz w:val="24"/>
          <w:szCs w:val="24"/>
        </w:rPr>
      </w:pPr>
      <w:r w:rsidRPr="00FD1E16">
        <w:rPr>
          <w:rFonts w:ascii="Arial" w:hAnsi="Arial" w:cs="Arial"/>
          <w:sz w:val="24"/>
          <w:szCs w:val="24"/>
        </w:rPr>
        <w:t>9.3 Demonstrate effective communication, presentation and information technology skills.</w:t>
      </w:r>
    </w:p>
    <w:p w14:paraId="2821C1FA" w14:textId="77777777" w:rsidR="00D877AA" w:rsidRPr="00FD1E16" w:rsidRDefault="00D877AA" w:rsidP="00D877AA">
      <w:pPr>
        <w:spacing w:after="120" w:line="240" w:lineRule="auto"/>
        <w:ind w:left="567" w:right="260"/>
        <w:rPr>
          <w:rFonts w:ascii="Arial" w:hAnsi="Arial" w:cs="Arial"/>
          <w:sz w:val="24"/>
          <w:szCs w:val="24"/>
        </w:rPr>
      </w:pPr>
    </w:p>
    <w:p w14:paraId="321B5E3A" w14:textId="77777777" w:rsidR="00D877AA" w:rsidRPr="00FD1E16" w:rsidRDefault="00D877AA" w:rsidP="00D877AA">
      <w:pPr>
        <w:spacing w:after="120" w:line="240" w:lineRule="auto"/>
        <w:ind w:left="567" w:right="260"/>
        <w:rPr>
          <w:rFonts w:ascii="Arial" w:hAnsi="Arial" w:cs="Arial"/>
          <w:b/>
          <w:sz w:val="24"/>
          <w:szCs w:val="24"/>
        </w:rPr>
      </w:pPr>
      <w:r w:rsidRPr="00FD1E16">
        <w:rPr>
          <w:rFonts w:ascii="Arial" w:hAnsi="Arial" w:cs="Arial"/>
          <w:b/>
          <w:sz w:val="24"/>
          <w:szCs w:val="24"/>
        </w:rPr>
        <w:t>In addition level 6 students will be able to:</w:t>
      </w:r>
    </w:p>
    <w:p w14:paraId="5EFA98B5" w14:textId="77777777" w:rsidR="00D877AA" w:rsidRPr="00FD1E16" w:rsidRDefault="00D877AA" w:rsidP="00BB0F69">
      <w:pPr>
        <w:pStyle w:val="Default"/>
        <w:spacing w:after="120"/>
        <w:ind w:left="567" w:right="260"/>
        <w:jc w:val="both"/>
        <w:rPr>
          <w:color w:val="auto"/>
        </w:rPr>
      </w:pPr>
      <w:r w:rsidRPr="00FD1E16">
        <w:rPr>
          <w:color w:val="auto"/>
        </w:rPr>
        <w:t xml:space="preserve">9.4 Demonstrate the ability to </w:t>
      </w:r>
      <w:proofErr w:type="gramStart"/>
      <w:r w:rsidRPr="00FD1E16">
        <w:rPr>
          <w:color w:val="auto"/>
        </w:rPr>
        <w:t>appropriately and accurately deploy techniques of historical enquiry and analysis</w:t>
      </w:r>
      <w:proofErr w:type="gramEnd"/>
      <w:r w:rsidRPr="00FD1E16">
        <w:rPr>
          <w:color w:val="auto"/>
        </w:rPr>
        <w:t>.</w:t>
      </w:r>
    </w:p>
    <w:p w14:paraId="4EC13617" w14:textId="77777777" w:rsidR="00D877AA" w:rsidRPr="00FD1E16" w:rsidRDefault="00D877AA" w:rsidP="00BB0F69">
      <w:pPr>
        <w:pStyle w:val="Default"/>
        <w:spacing w:after="120"/>
        <w:ind w:left="567" w:right="260"/>
        <w:jc w:val="both"/>
        <w:rPr>
          <w:color w:val="auto"/>
        </w:rPr>
      </w:pPr>
      <w:r w:rsidRPr="00FD1E16">
        <w:rPr>
          <w:color w:val="auto"/>
        </w:rPr>
        <w:t>9.5 Demonstrate the ability to manage their own learning, making use of relevant primary and secondary sources to inform their learning and research.</w:t>
      </w:r>
    </w:p>
    <w:p w14:paraId="31D8601B" w14:textId="77777777" w:rsidR="00273CF0" w:rsidRDefault="00273CF0" w:rsidP="009D52D0">
      <w:pPr>
        <w:spacing w:after="120" w:line="240" w:lineRule="auto"/>
        <w:ind w:left="567" w:right="543"/>
        <w:rPr>
          <w:rFonts w:ascii="Arial" w:hAnsi="Arial" w:cs="Arial"/>
          <w:sz w:val="24"/>
          <w:szCs w:val="24"/>
        </w:rPr>
      </w:pP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12B41C3" w14:textId="453557BD" w:rsidR="00334FE6" w:rsidRDefault="00D877AA" w:rsidP="00DC1ED2">
      <w:pPr>
        <w:spacing w:after="120" w:line="240" w:lineRule="auto"/>
        <w:ind w:left="567" w:right="260"/>
        <w:jc w:val="both"/>
        <w:rPr>
          <w:rFonts w:ascii="Arial" w:hAnsi="Arial" w:cs="Arial"/>
          <w:iCs/>
          <w:sz w:val="24"/>
          <w:szCs w:val="24"/>
        </w:rPr>
      </w:pPr>
      <w:r w:rsidRPr="00FD1E16">
        <w:rPr>
          <w:rFonts w:ascii="Arial" w:hAnsi="Arial" w:cs="Arial"/>
          <w:iCs/>
          <w:sz w:val="24"/>
          <w:szCs w:val="24"/>
        </w:rPr>
        <w:t>Focusing on the history of modern Germany in the Twentieth Century, the module examines major changes and continuities in the development of a highly advanced, industrialised but also militarised European nation state which played a central role in shaping the modern European geographical and political landscape. The module explores the end of the Imperial Monarchy after the end of the First World War in 1918, the role of the Allied reparation demands, hyper-inflation and political instability of the Weimar Republic, and the rise of National Socialism and the Third Reich during the 1930s. The course will chart the influence of anti-Semitism, racial eugenics and geopolitics in Germany’s quest for world domination during the Second World War and assess the legacy of the Holocaust in defining post-war German identity and society. By examining the Federal Republic of Germany (FRG) and the German Democratic Republic (GDR), the module will take a critical look at the politics, ideology and day-to-day history (</w:t>
      </w:r>
      <w:proofErr w:type="spellStart"/>
      <w:r w:rsidRPr="00FD1E16">
        <w:rPr>
          <w:rFonts w:ascii="Arial" w:hAnsi="Arial" w:cs="Arial"/>
          <w:iCs/>
          <w:sz w:val="24"/>
          <w:szCs w:val="24"/>
        </w:rPr>
        <w:t>Alltagsgeschichte</w:t>
      </w:r>
      <w:proofErr w:type="spellEnd"/>
      <w:r w:rsidRPr="00FD1E16">
        <w:rPr>
          <w:rFonts w:ascii="Arial" w:hAnsi="Arial" w:cs="Arial"/>
          <w:iCs/>
          <w:sz w:val="24"/>
          <w:szCs w:val="24"/>
        </w:rPr>
        <w:t>) of East and West German society during the Cold War, and explore the underlying factors which led to the fall of the Berlin wall in 1989 and subsequent German reunification.</w:t>
      </w:r>
    </w:p>
    <w:p w14:paraId="2A73B6DE" w14:textId="77777777" w:rsidR="00334FE6" w:rsidRDefault="00334FE6">
      <w:pPr>
        <w:rPr>
          <w:rFonts w:ascii="Arial" w:hAnsi="Arial" w:cs="Arial"/>
          <w:iCs/>
          <w:sz w:val="24"/>
          <w:szCs w:val="24"/>
        </w:rPr>
      </w:pPr>
      <w:r>
        <w:rPr>
          <w:rFonts w:ascii="Arial" w:hAnsi="Arial" w:cs="Arial"/>
          <w:iCs/>
          <w:sz w:val="24"/>
          <w:szCs w:val="24"/>
        </w:rPr>
        <w:br w:type="page"/>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75881A4"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07748D">
        <w:rPr>
          <w:rFonts w:ascii="Arial" w:hAnsi="Arial" w:cs="Arial"/>
          <w:sz w:val="24"/>
          <w:szCs w:val="24"/>
        </w:rPr>
        <w:t>270</w:t>
      </w:r>
    </w:p>
    <w:p w14:paraId="3BE5E6D9" w14:textId="3C04B21D"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07748D">
        <w:rPr>
          <w:rFonts w:ascii="Arial" w:hAnsi="Arial" w:cs="Arial"/>
          <w:sz w:val="24"/>
          <w:szCs w:val="24"/>
        </w:rPr>
        <w:t>3</w:t>
      </w:r>
      <w:r w:rsidR="00026F99">
        <w:rPr>
          <w:rFonts w:ascii="Arial" w:hAnsi="Arial" w:cs="Arial"/>
          <w:sz w:val="24"/>
          <w:szCs w:val="24"/>
        </w:rPr>
        <w:t>0</w:t>
      </w:r>
    </w:p>
    <w:p w14:paraId="260000FF" w14:textId="057BDD7D" w:rsidR="00636058" w:rsidRPr="00636058" w:rsidRDefault="00636058" w:rsidP="00334FE6">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4BA4097D" w14:textId="343B3359"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Essay 1 (3,000 words) – </w:t>
      </w:r>
      <w:r>
        <w:rPr>
          <w:rFonts w:ascii="Arial" w:hAnsi="Arial" w:cs="Arial"/>
          <w:iCs/>
          <w:sz w:val="24"/>
          <w:szCs w:val="24"/>
        </w:rPr>
        <w:t>40</w:t>
      </w:r>
      <w:r w:rsidRPr="00FD1E16">
        <w:rPr>
          <w:rFonts w:ascii="Arial" w:hAnsi="Arial" w:cs="Arial"/>
          <w:iCs/>
          <w:sz w:val="24"/>
          <w:szCs w:val="24"/>
        </w:rPr>
        <w:t>%</w:t>
      </w:r>
    </w:p>
    <w:p w14:paraId="6F0CE09E" w14:textId="5E2DA8DC"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Essay 2 (3,000 words) – </w:t>
      </w:r>
      <w:r>
        <w:rPr>
          <w:rFonts w:ascii="Arial" w:hAnsi="Arial" w:cs="Arial"/>
          <w:iCs/>
          <w:sz w:val="24"/>
          <w:szCs w:val="24"/>
        </w:rPr>
        <w:t>40</w:t>
      </w:r>
      <w:r w:rsidRPr="00FD1E16">
        <w:rPr>
          <w:rFonts w:ascii="Arial" w:hAnsi="Arial" w:cs="Arial"/>
          <w:iCs/>
          <w:sz w:val="24"/>
          <w:szCs w:val="24"/>
        </w:rPr>
        <w:t>%</w:t>
      </w:r>
    </w:p>
    <w:p w14:paraId="5C11EFEE" w14:textId="18B3DD5C" w:rsidR="00D877AA" w:rsidRPr="00FD1E16" w:rsidRDefault="00D877AA" w:rsidP="00D877AA">
      <w:pPr>
        <w:spacing w:after="120" w:line="240" w:lineRule="auto"/>
        <w:ind w:left="567" w:right="260"/>
        <w:rPr>
          <w:rFonts w:ascii="Arial" w:hAnsi="Arial" w:cs="Arial"/>
          <w:iCs/>
          <w:sz w:val="24"/>
          <w:szCs w:val="24"/>
        </w:rPr>
      </w:pPr>
      <w:r w:rsidRPr="00FD1E16">
        <w:rPr>
          <w:rFonts w:ascii="Arial" w:hAnsi="Arial" w:cs="Arial"/>
          <w:iCs/>
          <w:sz w:val="24"/>
          <w:szCs w:val="24"/>
        </w:rPr>
        <w:t xml:space="preserve">Seminar Presentation (10 mins) – </w:t>
      </w:r>
      <w:r>
        <w:rPr>
          <w:rFonts w:ascii="Arial" w:hAnsi="Arial" w:cs="Arial"/>
          <w:iCs/>
          <w:sz w:val="24"/>
          <w:szCs w:val="24"/>
        </w:rPr>
        <w:t>20</w:t>
      </w:r>
      <w:r w:rsidRPr="00FD1E16">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9CD6ED7" w14:textId="77777777" w:rsidR="00D877AA" w:rsidRPr="00D877AA" w:rsidRDefault="00D877AA" w:rsidP="00D877AA">
      <w:pPr>
        <w:spacing w:after="120" w:line="240" w:lineRule="auto"/>
        <w:ind w:left="426" w:right="260" w:firstLine="141"/>
        <w:rPr>
          <w:rFonts w:ascii="Arial" w:eastAsia="Times New Roman" w:hAnsi="Arial" w:cs="Arial"/>
          <w:iCs/>
          <w:sz w:val="24"/>
          <w:szCs w:val="24"/>
        </w:rPr>
      </w:pPr>
      <w:r w:rsidRPr="00D877AA">
        <w:rPr>
          <w:rFonts w:ascii="Arial" w:eastAsia="Times New Roman" w:hAnsi="Arial" w:cs="Arial"/>
          <w:iCs/>
          <w:sz w:val="24"/>
          <w:szCs w:val="24"/>
        </w:rPr>
        <w:t>100% Coursework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175F29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877AA" w:rsidRPr="009D52D0" w14:paraId="5413EC92" w14:textId="24F21B1B" w:rsidTr="00D877AA">
        <w:trPr>
          <w:cantSplit/>
          <w:tblHeader/>
        </w:trPr>
        <w:tc>
          <w:tcPr>
            <w:tcW w:w="2439" w:type="dxa"/>
            <w:shd w:val="clear" w:color="auto" w:fill="D9D9D9" w:themeFill="background1" w:themeFillShade="D9"/>
          </w:tcPr>
          <w:p w14:paraId="140365DD" w14:textId="77777777" w:rsidR="00D877AA" w:rsidRPr="00334FE6" w:rsidRDefault="00D877AA" w:rsidP="004F0496">
            <w:pPr>
              <w:spacing w:after="120"/>
              <w:ind w:left="33" w:right="543"/>
              <w:rPr>
                <w:rFonts w:ascii="Arial" w:hAnsi="Arial" w:cs="Arial"/>
                <w:b/>
                <w:sz w:val="16"/>
                <w:szCs w:val="16"/>
              </w:rPr>
            </w:pPr>
            <w:r w:rsidRPr="00334FE6">
              <w:rPr>
                <w:rFonts w:ascii="Arial" w:hAnsi="Arial" w:cs="Arial"/>
                <w:b/>
                <w:sz w:val="16"/>
                <w:szCs w:val="16"/>
              </w:rPr>
              <w:t>Module learning outcome</w:t>
            </w:r>
          </w:p>
        </w:tc>
        <w:tc>
          <w:tcPr>
            <w:tcW w:w="567" w:type="dxa"/>
          </w:tcPr>
          <w:p w14:paraId="6167848F"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8.1</w:t>
            </w:r>
          </w:p>
        </w:tc>
        <w:tc>
          <w:tcPr>
            <w:tcW w:w="567" w:type="dxa"/>
          </w:tcPr>
          <w:p w14:paraId="5B554168"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8.2</w:t>
            </w:r>
          </w:p>
        </w:tc>
        <w:tc>
          <w:tcPr>
            <w:tcW w:w="567" w:type="dxa"/>
          </w:tcPr>
          <w:p w14:paraId="70BB1C5A"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8.3</w:t>
            </w:r>
          </w:p>
        </w:tc>
        <w:tc>
          <w:tcPr>
            <w:tcW w:w="567" w:type="dxa"/>
          </w:tcPr>
          <w:p w14:paraId="553BA646"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8.4</w:t>
            </w:r>
          </w:p>
        </w:tc>
        <w:tc>
          <w:tcPr>
            <w:tcW w:w="567" w:type="dxa"/>
          </w:tcPr>
          <w:p w14:paraId="3B577D4A" w14:textId="0DCA0E63"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9.1</w:t>
            </w:r>
          </w:p>
        </w:tc>
        <w:tc>
          <w:tcPr>
            <w:tcW w:w="567" w:type="dxa"/>
          </w:tcPr>
          <w:p w14:paraId="266E4126"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9.2</w:t>
            </w:r>
          </w:p>
        </w:tc>
        <w:tc>
          <w:tcPr>
            <w:tcW w:w="567" w:type="dxa"/>
          </w:tcPr>
          <w:p w14:paraId="6EC60A4C"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9.3</w:t>
            </w:r>
          </w:p>
        </w:tc>
        <w:tc>
          <w:tcPr>
            <w:tcW w:w="567" w:type="dxa"/>
          </w:tcPr>
          <w:p w14:paraId="3E85E7FE" w14:textId="77777777"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9.4</w:t>
            </w:r>
          </w:p>
        </w:tc>
        <w:tc>
          <w:tcPr>
            <w:tcW w:w="567" w:type="dxa"/>
          </w:tcPr>
          <w:p w14:paraId="7706A56F" w14:textId="100DF7F8" w:rsidR="00D877AA" w:rsidRPr="00334FE6" w:rsidRDefault="00D877AA" w:rsidP="004F0496">
            <w:pPr>
              <w:spacing w:after="120"/>
              <w:ind w:right="543"/>
              <w:rPr>
                <w:rFonts w:ascii="Arial" w:hAnsi="Arial" w:cs="Arial"/>
                <w:sz w:val="16"/>
                <w:szCs w:val="16"/>
              </w:rPr>
            </w:pPr>
            <w:r w:rsidRPr="00334FE6">
              <w:rPr>
                <w:rFonts w:ascii="Arial" w:hAnsi="Arial" w:cs="Arial"/>
                <w:sz w:val="16"/>
                <w:szCs w:val="16"/>
              </w:rPr>
              <w:t>9.5</w:t>
            </w:r>
          </w:p>
        </w:tc>
      </w:tr>
      <w:tr w:rsidR="00D877AA" w:rsidRPr="009D52D0" w14:paraId="780DC4A5" w14:textId="5505903B" w:rsidTr="00D877AA">
        <w:tc>
          <w:tcPr>
            <w:tcW w:w="2439" w:type="dxa"/>
          </w:tcPr>
          <w:p w14:paraId="16F79E00" w14:textId="77777777" w:rsidR="00D877AA" w:rsidRPr="00D877AA" w:rsidRDefault="00D877AA" w:rsidP="004F0496">
            <w:pPr>
              <w:spacing w:after="120"/>
              <w:ind w:right="543"/>
              <w:rPr>
                <w:rFonts w:ascii="Arial" w:hAnsi="Arial" w:cs="Arial"/>
                <w:bCs/>
                <w:sz w:val="20"/>
                <w:szCs w:val="20"/>
              </w:rPr>
            </w:pPr>
            <w:r w:rsidRPr="00D877AA">
              <w:rPr>
                <w:rFonts w:ascii="Arial" w:hAnsi="Arial" w:cs="Arial"/>
                <w:bCs/>
                <w:sz w:val="20"/>
                <w:szCs w:val="20"/>
              </w:rPr>
              <w:t>Private Study</w:t>
            </w:r>
          </w:p>
        </w:tc>
        <w:tc>
          <w:tcPr>
            <w:tcW w:w="567" w:type="dxa"/>
          </w:tcPr>
          <w:p w14:paraId="34752F0E" w14:textId="1AE7F424"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D5AA69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94BF21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F87B3B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B97ED6B"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7D04A7"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E2502A9" w:rsidR="00D877AA" w:rsidRPr="009D52D0" w:rsidRDefault="00D877AA" w:rsidP="004F0496">
            <w:pPr>
              <w:spacing w:after="120"/>
              <w:ind w:right="543"/>
              <w:rPr>
                <w:rFonts w:ascii="Arial" w:hAnsi="Arial" w:cs="Arial"/>
                <w:b/>
                <w:sz w:val="20"/>
                <w:szCs w:val="20"/>
              </w:rPr>
            </w:pPr>
          </w:p>
        </w:tc>
        <w:tc>
          <w:tcPr>
            <w:tcW w:w="567" w:type="dxa"/>
          </w:tcPr>
          <w:p w14:paraId="431B3FED" w14:textId="7028C0D7"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17AF97B" w14:textId="52C6C2BD" w:rsidR="00D877AA" w:rsidRDefault="00D877AA" w:rsidP="004F0496">
            <w:pPr>
              <w:spacing w:after="120"/>
              <w:ind w:right="543"/>
              <w:rPr>
                <w:rFonts w:ascii="Arial" w:hAnsi="Arial" w:cs="Arial"/>
                <w:b/>
                <w:sz w:val="20"/>
                <w:szCs w:val="20"/>
              </w:rPr>
            </w:pPr>
            <w:r>
              <w:rPr>
                <w:rFonts w:ascii="Arial" w:hAnsi="Arial" w:cs="Arial"/>
                <w:b/>
                <w:sz w:val="20"/>
                <w:szCs w:val="20"/>
              </w:rPr>
              <w:t>X</w:t>
            </w:r>
          </w:p>
        </w:tc>
      </w:tr>
      <w:tr w:rsidR="00D877AA" w:rsidRPr="009D52D0" w14:paraId="5C50A519" w14:textId="75C1B98C" w:rsidTr="00D877AA">
        <w:tc>
          <w:tcPr>
            <w:tcW w:w="2439" w:type="dxa"/>
          </w:tcPr>
          <w:p w14:paraId="433DE3A7" w14:textId="22F5860B" w:rsidR="00D877AA" w:rsidRPr="00510BC2" w:rsidRDefault="00D877AA"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470F4364"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FD349D"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8A28D8C"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ACD1881"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34C7D0"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BA4583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BF483DF" w:rsidR="00D877AA" w:rsidRPr="009D52D0" w:rsidRDefault="00D877AA" w:rsidP="004F0496">
            <w:pPr>
              <w:spacing w:after="120"/>
              <w:ind w:right="543"/>
              <w:rPr>
                <w:rFonts w:ascii="Arial" w:hAnsi="Arial" w:cs="Arial"/>
                <w:b/>
                <w:sz w:val="20"/>
                <w:szCs w:val="20"/>
              </w:rPr>
            </w:pPr>
          </w:p>
        </w:tc>
        <w:tc>
          <w:tcPr>
            <w:tcW w:w="567" w:type="dxa"/>
          </w:tcPr>
          <w:p w14:paraId="21A7EAF7" w14:textId="1C18EDAE"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83635" w14:textId="4AA72BEE" w:rsidR="00D877AA" w:rsidRDefault="00D877AA" w:rsidP="004F0496">
            <w:pPr>
              <w:spacing w:after="120"/>
              <w:ind w:right="543"/>
              <w:rPr>
                <w:rFonts w:ascii="Arial" w:hAnsi="Arial" w:cs="Arial"/>
                <w:b/>
                <w:sz w:val="20"/>
                <w:szCs w:val="20"/>
              </w:rPr>
            </w:pPr>
            <w:r>
              <w:rPr>
                <w:rFonts w:ascii="Arial" w:hAnsi="Arial" w:cs="Arial"/>
                <w:b/>
                <w:sz w:val="20"/>
                <w:szCs w:val="20"/>
              </w:rPr>
              <w:t>X</w:t>
            </w:r>
          </w:p>
        </w:tc>
      </w:tr>
      <w:tr w:rsidR="00D877AA" w:rsidRPr="009D52D0" w14:paraId="460BDA99" w14:textId="04445CF5" w:rsidTr="00D877AA">
        <w:tc>
          <w:tcPr>
            <w:tcW w:w="2439" w:type="dxa"/>
          </w:tcPr>
          <w:p w14:paraId="1CDAA785" w14:textId="788DB3D7" w:rsidR="00D877AA" w:rsidRPr="00510BC2" w:rsidRDefault="00D877AA"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7726113C"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5590A8D"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2B3A77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9B2F77A"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4A17F8"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182AC53"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1F3620F"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12890D9" w:rsidR="00D877AA" w:rsidRPr="009D52D0" w:rsidRDefault="00D877A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AEE457" w14:textId="51F1405A" w:rsidR="00D877AA" w:rsidRDefault="00D877AA"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6496F9B6" w14:textId="77777777" w:rsidR="00126B32" w:rsidRDefault="00126B32"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510BC2" w:rsidRPr="009D52D0" w14:paraId="7367825C" w14:textId="77777777" w:rsidTr="00510BC2">
        <w:trPr>
          <w:tblHeader/>
        </w:trPr>
        <w:tc>
          <w:tcPr>
            <w:tcW w:w="2405" w:type="dxa"/>
            <w:shd w:val="clear" w:color="auto" w:fill="D9D9D9" w:themeFill="background1" w:themeFillShade="D9"/>
          </w:tcPr>
          <w:p w14:paraId="4E99BFB5" w14:textId="77777777" w:rsidR="00510BC2" w:rsidRPr="009D52D0" w:rsidRDefault="00510BC2"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9EF6777" w14:textId="4780056E" w:rsidR="00510BC2" w:rsidRPr="009D52D0" w:rsidRDefault="00510BC2" w:rsidP="00636058">
            <w:pPr>
              <w:spacing w:after="120"/>
              <w:ind w:right="543"/>
              <w:rPr>
                <w:rFonts w:ascii="Arial" w:hAnsi="Arial" w:cs="Arial"/>
                <w:sz w:val="20"/>
                <w:szCs w:val="20"/>
              </w:rPr>
            </w:pPr>
            <w:r>
              <w:rPr>
                <w:rFonts w:ascii="Arial" w:hAnsi="Arial" w:cs="Arial"/>
                <w:sz w:val="20"/>
                <w:szCs w:val="20"/>
              </w:rPr>
              <w:t>8.6</w:t>
            </w:r>
          </w:p>
        </w:tc>
        <w:tc>
          <w:tcPr>
            <w:tcW w:w="567" w:type="dxa"/>
          </w:tcPr>
          <w:p w14:paraId="1DB74D6E" w14:textId="75FB898B" w:rsidR="00510BC2" w:rsidRPr="009D52D0" w:rsidRDefault="00510BC2" w:rsidP="00636058">
            <w:pPr>
              <w:spacing w:after="120"/>
              <w:ind w:right="543"/>
              <w:rPr>
                <w:rFonts w:ascii="Arial" w:hAnsi="Arial" w:cs="Arial"/>
                <w:sz w:val="20"/>
                <w:szCs w:val="20"/>
              </w:rPr>
            </w:pPr>
            <w:r>
              <w:rPr>
                <w:rFonts w:ascii="Arial" w:hAnsi="Arial" w:cs="Arial"/>
                <w:sz w:val="20"/>
                <w:szCs w:val="20"/>
              </w:rPr>
              <w:t>8.7</w:t>
            </w:r>
          </w:p>
        </w:tc>
        <w:tc>
          <w:tcPr>
            <w:tcW w:w="567" w:type="dxa"/>
          </w:tcPr>
          <w:p w14:paraId="0D56B3A5" w14:textId="7DEA39C6"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9.4</w:t>
            </w:r>
          </w:p>
        </w:tc>
      </w:tr>
      <w:tr w:rsidR="00510BC2" w:rsidRPr="009D52D0" w14:paraId="6D8FD37D" w14:textId="77777777" w:rsidTr="00510BC2">
        <w:trPr>
          <w:tblHeader/>
        </w:trPr>
        <w:tc>
          <w:tcPr>
            <w:tcW w:w="2405" w:type="dxa"/>
          </w:tcPr>
          <w:p w14:paraId="6500FA2E" w14:textId="505F0E36" w:rsidR="00510BC2" w:rsidRPr="00510BC2" w:rsidRDefault="00510BC2" w:rsidP="00636058">
            <w:pPr>
              <w:spacing w:after="120"/>
              <w:ind w:right="543"/>
              <w:rPr>
                <w:rFonts w:ascii="Arial" w:hAnsi="Arial" w:cs="Arial"/>
                <w:iCs/>
                <w:sz w:val="20"/>
                <w:szCs w:val="20"/>
              </w:rPr>
            </w:pPr>
            <w:r>
              <w:rPr>
                <w:rFonts w:ascii="Arial" w:hAnsi="Arial" w:cs="Arial"/>
                <w:iCs/>
                <w:sz w:val="20"/>
                <w:szCs w:val="20"/>
              </w:rPr>
              <w:t>Essay</w:t>
            </w:r>
            <w:r w:rsidR="00D877AA">
              <w:rPr>
                <w:rFonts w:ascii="Arial" w:hAnsi="Arial" w:cs="Arial"/>
                <w:iCs/>
                <w:sz w:val="20"/>
                <w:szCs w:val="20"/>
              </w:rPr>
              <w:t>s</w:t>
            </w:r>
          </w:p>
        </w:tc>
        <w:tc>
          <w:tcPr>
            <w:tcW w:w="567" w:type="dxa"/>
          </w:tcPr>
          <w:p w14:paraId="718AB32A" w14:textId="1FEA85A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BBF4B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8D6A0AE"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FF03D8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3BCCAB4"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33D105" w14:textId="5C7B9C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8D2153" w14:textId="3F3E271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C9DAE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864962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080D037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C4ACDB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r w:rsidR="00510BC2" w:rsidRPr="009D52D0" w14:paraId="3E872A1E" w14:textId="77777777" w:rsidTr="00510BC2">
        <w:trPr>
          <w:tblHeader/>
        </w:trPr>
        <w:tc>
          <w:tcPr>
            <w:tcW w:w="2405" w:type="dxa"/>
          </w:tcPr>
          <w:p w14:paraId="4CEA8453" w14:textId="571DB021" w:rsidR="00510BC2" w:rsidRPr="00510BC2" w:rsidRDefault="00510BC2" w:rsidP="00636058">
            <w:pPr>
              <w:spacing w:after="120"/>
              <w:ind w:right="543"/>
              <w:rPr>
                <w:rFonts w:ascii="Arial" w:hAnsi="Arial" w:cs="Arial"/>
                <w:iCs/>
                <w:sz w:val="20"/>
                <w:szCs w:val="20"/>
              </w:rPr>
            </w:pPr>
            <w:r>
              <w:rPr>
                <w:rFonts w:ascii="Arial" w:hAnsi="Arial" w:cs="Arial"/>
                <w:iCs/>
                <w:sz w:val="20"/>
                <w:szCs w:val="20"/>
              </w:rPr>
              <w:t>Presentation</w:t>
            </w:r>
            <w:r w:rsidRPr="00510BC2">
              <w:rPr>
                <w:rFonts w:ascii="Arial" w:hAnsi="Arial" w:cs="Arial"/>
                <w:iCs/>
                <w:sz w:val="20"/>
                <w:szCs w:val="20"/>
              </w:rPr>
              <w:t xml:space="preserve"> </w:t>
            </w:r>
          </w:p>
        </w:tc>
        <w:tc>
          <w:tcPr>
            <w:tcW w:w="567" w:type="dxa"/>
          </w:tcPr>
          <w:p w14:paraId="5BE33B98" w14:textId="0FA2422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BECACE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1EA73F6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DB1AB9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23FB38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E58229D" w14:textId="3AEEE1A9"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FFBBF2" w14:textId="4CAC5A9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CB143D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A2602B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874CEF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944C60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F69D9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334FE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B5A789B" w14:textId="77777777" w:rsidR="00D877AA" w:rsidRPr="00FD1E16" w:rsidRDefault="00D877AA" w:rsidP="00DC1ED2">
      <w:pPr>
        <w:spacing w:after="120" w:line="240" w:lineRule="auto"/>
        <w:ind w:left="567" w:right="260"/>
        <w:jc w:val="both"/>
        <w:rPr>
          <w:rFonts w:ascii="Arial" w:hAnsi="Arial" w:cs="Arial"/>
          <w:iCs/>
          <w:sz w:val="24"/>
          <w:szCs w:val="24"/>
        </w:rPr>
      </w:pPr>
      <w:r w:rsidRPr="00FD1E16">
        <w:rPr>
          <w:rFonts w:ascii="Arial" w:hAnsi="Arial" w:cs="Arial"/>
          <w:iCs/>
          <w:sz w:val="24"/>
          <w:szCs w:val="24"/>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As this entire module relates to the history of Modern Germany it is international in outlook by its nature. The learning outcomes in section 8 make this clear.  </w:t>
      </w:r>
    </w:p>
    <w:p w14:paraId="4260A45A" w14:textId="77777777" w:rsidR="00922E9E" w:rsidRDefault="00922E9E" w:rsidP="00510BC2">
      <w:pPr>
        <w:spacing w:after="120" w:line="240" w:lineRule="auto"/>
        <w:ind w:left="567"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lastRenderedPageBreak/>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126B32">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26B32" w:rsidRPr="00126B32" w14:paraId="7A7E0F43" w14:textId="77777777" w:rsidTr="00126B32">
        <w:trPr>
          <w:trHeight w:val="305"/>
        </w:trPr>
        <w:tc>
          <w:tcPr>
            <w:tcW w:w="1593" w:type="dxa"/>
          </w:tcPr>
          <w:p w14:paraId="19298C39"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25/02/19</w:t>
            </w:r>
          </w:p>
        </w:tc>
        <w:tc>
          <w:tcPr>
            <w:tcW w:w="2271" w:type="dxa"/>
          </w:tcPr>
          <w:p w14:paraId="69F525A5"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Major</w:t>
            </w:r>
          </w:p>
        </w:tc>
        <w:tc>
          <w:tcPr>
            <w:tcW w:w="1896" w:type="dxa"/>
          </w:tcPr>
          <w:p w14:paraId="7CB21AF5"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January 2020</w:t>
            </w:r>
          </w:p>
        </w:tc>
        <w:tc>
          <w:tcPr>
            <w:tcW w:w="2246" w:type="dxa"/>
          </w:tcPr>
          <w:p w14:paraId="57C1180C" w14:textId="77777777" w:rsidR="00126B32" w:rsidRPr="00126B32" w:rsidRDefault="00126B32" w:rsidP="00126B32">
            <w:pPr>
              <w:spacing w:after="120"/>
              <w:ind w:right="-330"/>
              <w:jc w:val="both"/>
              <w:rPr>
                <w:rFonts w:ascii="Arial" w:hAnsi="Arial" w:cs="Arial"/>
                <w:sz w:val="20"/>
                <w:szCs w:val="20"/>
              </w:rPr>
            </w:pPr>
            <w:r w:rsidRPr="00126B32">
              <w:rPr>
                <w:rFonts w:ascii="Arial" w:hAnsi="Arial" w:cs="Arial"/>
                <w:sz w:val="20"/>
                <w:szCs w:val="20"/>
              </w:rPr>
              <w:t>8,9,12,13,14,17</w:t>
            </w:r>
          </w:p>
        </w:tc>
        <w:tc>
          <w:tcPr>
            <w:tcW w:w="2676" w:type="dxa"/>
          </w:tcPr>
          <w:p w14:paraId="25C465B1" w14:textId="77777777" w:rsidR="00126B32" w:rsidRPr="00126B32" w:rsidRDefault="00126B32" w:rsidP="00A57952">
            <w:pPr>
              <w:spacing w:after="120"/>
              <w:ind w:right="-330"/>
              <w:rPr>
                <w:rFonts w:ascii="Arial" w:hAnsi="Arial" w:cs="Arial"/>
                <w:sz w:val="20"/>
                <w:szCs w:val="20"/>
              </w:rPr>
            </w:pPr>
          </w:p>
        </w:tc>
      </w:tr>
      <w:tr w:rsidR="00126B32" w:rsidRPr="00126B32" w14:paraId="295E0845" w14:textId="77777777" w:rsidTr="00126B32">
        <w:trPr>
          <w:trHeight w:val="305"/>
        </w:trPr>
        <w:tc>
          <w:tcPr>
            <w:tcW w:w="1593" w:type="dxa"/>
          </w:tcPr>
          <w:p w14:paraId="511C86FB"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17/02/2023</w:t>
            </w:r>
          </w:p>
        </w:tc>
        <w:tc>
          <w:tcPr>
            <w:tcW w:w="2271" w:type="dxa"/>
          </w:tcPr>
          <w:p w14:paraId="4E733EF2"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Minor</w:t>
            </w:r>
          </w:p>
        </w:tc>
        <w:tc>
          <w:tcPr>
            <w:tcW w:w="1896" w:type="dxa"/>
          </w:tcPr>
          <w:p w14:paraId="3642BC1B"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2023/24</w:t>
            </w:r>
          </w:p>
        </w:tc>
        <w:tc>
          <w:tcPr>
            <w:tcW w:w="2246" w:type="dxa"/>
          </w:tcPr>
          <w:p w14:paraId="39372AC1" w14:textId="77777777" w:rsidR="00126B32" w:rsidRPr="00126B32" w:rsidRDefault="00126B32" w:rsidP="00A57952">
            <w:pPr>
              <w:spacing w:after="120"/>
              <w:ind w:right="-330"/>
              <w:rPr>
                <w:rFonts w:ascii="Arial" w:hAnsi="Arial" w:cs="Arial"/>
                <w:sz w:val="20"/>
                <w:szCs w:val="20"/>
              </w:rPr>
            </w:pPr>
            <w:r w:rsidRPr="00126B32">
              <w:rPr>
                <w:rFonts w:ascii="Arial" w:hAnsi="Arial" w:cs="Arial"/>
                <w:sz w:val="20"/>
                <w:szCs w:val="20"/>
              </w:rPr>
              <w:t>13</w:t>
            </w:r>
          </w:p>
        </w:tc>
        <w:tc>
          <w:tcPr>
            <w:tcW w:w="2676" w:type="dxa"/>
          </w:tcPr>
          <w:p w14:paraId="14700AE1" w14:textId="77777777" w:rsidR="00126B32" w:rsidRPr="00126B32" w:rsidRDefault="00126B32" w:rsidP="00A57952">
            <w:pPr>
              <w:spacing w:after="120"/>
              <w:ind w:right="-330"/>
              <w:rPr>
                <w:rFonts w:ascii="Arial" w:hAnsi="Arial" w:cs="Arial"/>
                <w:sz w:val="20"/>
                <w:szCs w:val="20"/>
              </w:rPr>
            </w:pPr>
          </w:p>
        </w:tc>
      </w:tr>
      <w:tr w:rsidR="00302082" w:rsidRPr="009D52D0" w14:paraId="29EF87B4" w14:textId="77777777" w:rsidTr="00126B32">
        <w:trPr>
          <w:trHeight w:val="305"/>
        </w:trPr>
        <w:tc>
          <w:tcPr>
            <w:tcW w:w="1593" w:type="dxa"/>
          </w:tcPr>
          <w:p w14:paraId="4474539E" w14:textId="37FAF746" w:rsidR="00422B69" w:rsidRPr="009D52D0" w:rsidRDefault="00097965"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3DB8B056" w14:textId="36882F8E" w:rsidR="00422B69" w:rsidRPr="009D52D0" w:rsidRDefault="00126B32"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52E566A8" w:rsidR="00422B69" w:rsidRPr="009D52D0" w:rsidRDefault="00126B32" w:rsidP="009D52D0">
            <w:pPr>
              <w:spacing w:after="120"/>
              <w:ind w:right="543"/>
              <w:rPr>
                <w:rFonts w:ascii="Arial" w:hAnsi="Arial" w:cs="Arial"/>
                <w:sz w:val="20"/>
                <w:szCs w:val="20"/>
              </w:rPr>
            </w:pPr>
            <w:r>
              <w:rPr>
                <w:rFonts w:ascii="Arial" w:hAnsi="Arial" w:cs="Arial"/>
                <w:sz w:val="20"/>
                <w:szCs w:val="20"/>
              </w:rPr>
              <w:t>2024/25</w:t>
            </w:r>
          </w:p>
        </w:tc>
        <w:tc>
          <w:tcPr>
            <w:tcW w:w="2246" w:type="dxa"/>
          </w:tcPr>
          <w:p w14:paraId="64AEF8B4" w14:textId="660E5F46" w:rsidR="00422B69" w:rsidRPr="009D52D0" w:rsidRDefault="00126B32"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126B32">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E6D" w14:textId="77777777" w:rsidR="00197D4A" w:rsidRDefault="00197D4A" w:rsidP="009A2D37">
      <w:pPr>
        <w:spacing w:after="0" w:line="240" w:lineRule="auto"/>
      </w:pPr>
      <w:r>
        <w:separator/>
      </w:r>
    </w:p>
  </w:endnote>
  <w:endnote w:type="continuationSeparator" w:id="0">
    <w:p w14:paraId="6E91106C" w14:textId="77777777" w:rsidR="00197D4A" w:rsidRDefault="00197D4A" w:rsidP="009A2D37">
      <w:pPr>
        <w:spacing w:after="0" w:line="240" w:lineRule="auto"/>
      </w:pPr>
      <w:r>
        <w:continuationSeparator/>
      </w:r>
    </w:p>
  </w:endnote>
  <w:endnote w:type="continuationNotice" w:id="1">
    <w:p w14:paraId="21A0E66F" w14:textId="77777777" w:rsidR="00197D4A" w:rsidRDefault="00197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56F5EBD9" w14:textId="77777777" w:rsidR="00126B32" w:rsidRPr="00126B32" w:rsidRDefault="00126B32" w:rsidP="00126B32">
    <w:pPr>
      <w:pStyle w:val="Footer"/>
      <w:jc w:val="center"/>
      <w:rPr>
        <w:sz w:val="18"/>
        <w:szCs w:val="18"/>
      </w:rPr>
    </w:pPr>
    <w:r w:rsidRPr="00126B32">
      <w:rPr>
        <w:rFonts w:ascii="Arial" w:hAnsi="Arial" w:cs="Arial"/>
        <w:sz w:val="18"/>
        <w:szCs w:val="18"/>
      </w:rPr>
      <w:t>Modern German History, 1918-1990</w:t>
    </w:r>
  </w:p>
  <w:p w14:paraId="26569854" w14:textId="622F9863" w:rsidR="008B2543" w:rsidRPr="007B7724" w:rsidRDefault="008B2543" w:rsidP="00126B3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27CACEF" w:rsidR="00F17B94" w:rsidRPr="00126B32" w:rsidRDefault="00126B32" w:rsidP="00126B32">
    <w:pPr>
      <w:pStyle w:val="Footer"/>
      <w:jc w:val="center"/>
      <w:rPr>
        <w:sz w:val="18"/>
        <w:szCs w:val="18"/>
      </w:rPr>
    </w:pPr>
    <w:r w:rsidRPr="00126B32">
      <w:rPr>
        <w:rFonts w:ascii="Arial" w:hAnsi="Arial" w:cs="Arial"/>
        <w:sz w:val="18"/>
        <w:szCs w:val="18"/>
      </w:rPr>
      <w:t>Modern German History, 1918-1990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4907" w14:textId="77777777" w:rsidR="00197D4A" w:rsidRDefault="00197D4A" w:rsidP="009A2D37">
      <w:pPr>
        <w:spacing w:after="0" w:line="240" w:lineRule="auto"/>
      </w:pPr>
      <w:r>
        <w:separator/>
      </w:r>
    </w:p>
  </w:footnote>
  <w:footnote w:type="continuationSeparator" w:id="0">
    <w:p w14:paraId="1334AE19" w14:textId="77777777" w:rsidR="00197D4A" w:rsidRDefault="00197D4A" w:rsidP="009A2D37">
      <w:pPr>
        <w:spacing w:after="0" w:line="240" w:lineRule="auto"/>
      </w:pPr>
      <w:r>
        <w:continuationSeparator/>
      </w:r>
    </w:p>
  </w:footnote>
  <w:footnote w:type="continuationNotice" w:id="1">
    <w:p w14:paraId="2DA07330" w14:textId="77777777" w:rsidR="00197D4A" w:rsidRDefault="00197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D032D45"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7748D"/>
    <w:rsid w:val="00094810"/>
    <w:rsid w:val="00094825"/>
    <w:rsid w:val="00096DA4"/>
    <w:rsid w:val="00097965"/>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0784"/>
    <w:rsid w:val="001214D3"/>
    <w:rsid w:val="00121BFC"/>
    <w:rsid w:val="00125087"/>
    <w:rsid w:val="00126B32"/>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97D4A"/>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4FE6"/>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3215"/>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0F69"/>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877AA"/>
    <w:rsid w:val="00DA64B6"/>
    <w:rsid w:val="00DB2B91"/>
    <w:rsid w:val="00DB5C9D"/>
    <w:rsid w:val="00DC1ED2"/>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6E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D4ACF61-DDC4-44A4-8B36-0B4E66B1A492}"/>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2024-02-26T09:57:00Z</dcterms:created>
  <dcterms:modified xsi:type="dcterms:W3CDTF">2024-02-26T09:57:00Z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