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rsidR="009A2D37" w:rsidRDefault="00CA499F" w:rsidP="00154D48">
      <w:pPr>
        <w:spacing w:after="120" w:line="240" w:lineRule="auto"/>
        <w:ind w:left="567" w:right="260"/>
        <w:jc w:val="both"/>
        <w:rPr>
          <w:rFonts w:ascii="Arial" w:hAnsi="Arial" w:cs="Arial"/>
        </w:rPr>
      </w:pPr>
      <w:r w:rsidRPr="00CA499F">
        <w:rPr>
          <w:rFonts w:ascii="Arial" w:hAnsi="Arial" w:cs="Arial"/>
        </w:rPr>
        <w:t>HIST4260 (HI426) Making History: Theory and Practice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A499F" w:rsidP="00154D48">
      <w:pPr>
        <w:spacing w:after="120" w:line="240" w:lineRule="auto"/>
        <w:ind w:left="567" w:right="260"/>
        <w:rPr>
          <w:rFonts w:ascii="Arial" w:hAnsi="Arial" w:cs="Arial"/>
          <w:iCs/>
        </w:rPr>
      </w:pPr>
      <w:r w:rsidRPr="00CA499F">
        <w:rPr>
          <w:rFonts w:ascii="Arial" w:hAnsi="Arial" w:cs="Arial"/>
          <w:iCs/>
        </w:rPr>
        <w:t>School of History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CA499F" w:rsidP="00154D48">
      <w:pPr>
        <w:spacing w:after="120" w:line="240" w:lineRule="auto"/>
        <w:ind w:left="567" w:right="260"/>
        <w:rPr>
          <w:rFonts w:ascii="Arial" w:hAnsi="Arial" w:cs="Arial"/>
        </w:rPr>
      </w:pPr>
      <w:r>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CA499F" w:rsidP="00154D48">
      <w:pPr>
        <w:spacing w:after="120" w:line="240" w:lineRule="auto"/>
        <w:ind w:left="567" w:right="260"/>
        <w:rPr>
          <w:rFonts w:ascii="Arial" w:hAnsi="Arial" w:cs="Arial"/>
        </w:rPr>
      </w:pPr>
      <w:r>
        <w:rPr>
          <w:rFonts w:ascii="Arial" w:hAnsi="Arial" w:cs="Arial"/>
        </w:rPr>
        <w:t>30 (15ECTS)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CA499F" w:rsidP="00154D48">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CA499F"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CA499F" w:rsidP="00154D48">
      <w:pPr>
        <w:spacing w:after="120" w:line="240" w:lineRule="auto"/>
        <w:ind w:left="567" w:right="260"/>
        <w:rPr>
          <w:rFonts w:ascii="Arial" w:hAnsi="Arial" w:cs="Arial"/>
          <w:iCs/>
        </w:rPr>
      </w:pPr>
      <w:r w:rsidRPr="00CA499F">
        <w:rPr>
          <w:rFonts w:ascii="Arial" w:hAnsi="Arial" w:cs="Arial"/>
          <w:iCs/>
        </w:rPr>
        <w:t>BA Single and Joint Honours History students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A499F" w:rsidRPr="00CA499F" w:rsidRDefault="00CA499F" w:rsidP="00CA499F">
      <w:pPr>
        <w:spacing w:after="120" w:line="240" w:lineRule="auto"/>
        <w:ind w:left="567" w:right="260"/>
        <w:rPr>
          <w:rFonts w:ascii="Arial" w:hAnsi="Arial" w:cs="Arial"/>
        </w:rPr>
      </w:pPr>
      <w:r w:rsidRPr="00CA499F">
        <w:rPr>
          <w:rFonts w:ascii="Arial" w:hAnsi="Arial" w:cs="Arial"/>
        </w:rPr>
        <w:t xml:space="preserve">8.1 </w:t>
      </w:r>
      <w:r w:rsidRPr="00CA499F">
        <w:rPr>
          <w:rFonts w:ascii="Arial" w:hAnsi="Arial" w:cs="Arial"/>
        </w:rPr>
        <w:tab/>
        <w:t>Demonstrate the ability to undertake research with the aim of addressing a particular question, or problem, relating to a variety of historiographical approaches.</w:t>
      </w:r>
    </w:p>
    <w:p w:rsidR="00CA499F" w:rsidRPr="00CA499F" w:rsidRDefault="00CA499F" w:rsidP="00CA499F">
      <w:pPr>
        <w:spacing w:after="120" w:line="240" w:lineRule="auto"/>
        <w:ind w:left="567" w:right="260"/>
        <w:rPr>
          <w:rFonts w:ascii="Arial" w:hAnsi="Arial" w:cs="Arial"/>
        </w:rPr>
      </w:pPr>
      <w:r w:rsidRPr="00CA499F">
        <w:rPr>
          <w:rFonts w:ascii="Arial" w:hAnsi="Arial" w:cs="Arial"/>
        </w:rPr>
        <w:t xml:space="preserve">8.2 </w:t>
      </w:r>
      <w:r w:rsidRPr="00CA499F">
        <w:rPr>
          <w:rFonts w:ascii="Arial" w:hAnsi="Arial" w:cs="Arial"/>
        </w:rPr>
        <w:tab/>
        <w:t xml:space="preserve">Demonstrate the ability to communicate their analysis of historical sources accurately and appropriately, using coherent and well-structured arguments, and utilising historical methodologies and approaches.  </w:t>
      </w:r>
    </w:p>
    <w:p w:rsidR="00CA499F" w:rsidRPr="00CA499F" w:rsidRDefault="00CA499F" w:rsidP="00CA499F">
      <w:pPr>
        <w:spacing w:after="120" w:line="240" w:lineRule="auto"/>
        <w:ind w:left="567" w:right="260"/>
        <w:rPr>
          <w:rFonts w:ascii="Arial" w:hAnsi="Arial" w:cs="Arial"/>
        </w:rPr>
      </w:pPr>
      <w:r w:rsidRPr="00CA499F">
        <w:rPr>
          <w:rFonts w:ascii="Arial" w:hAnsi="Arial" w:cs="Arial"/>
        </w:rPr>
        <w:t xml:space="preserve">8.3 </w:t>
      </w:r>
      <w:r w:rsidRPr="00CA499F">
        <w:rPr>
          <w:rFonts w:ascii="Arial" w:hAnsi="Arial" w:cs="Arial"/>
        </w:rPr>
        <w:tab/>
        <w:t xml:space="preserve">Demonstrate knowledge of the conceptual, practical and intellectual principles in the discipline of history that they will build upon during the remainder of their degree. </w:t>
      </w:r>
    </w:p>
    <w:p w:rsidR="00CA499F" w:rsidRPr="00CA499F" w:rsidRDefault="00CA499F" w:rsidP="00CA499F">
      <w:pPr>
        <w:spacing w:after="120" w:line="240" w:lineRule="auto"/>
        <w:ind w:left="567" w:right="260"/>
        <w:rPr>
          <w:rFonts w:ascii="Arial" w:hAnsi="Arial" w:cs="Arial"/>
        </w:rPr>
      </w:pPr>
      <w:r w:rsidRPr="00CA499F">
        <w:rPr>
          <w:rFonts w:ascii="Arial" w:hAnsi="Arial" w:cs="Arial"/>
        </w:rPr>
        <w:t xml:space="preserve">8.4 </w:t>
      </w:r>
      <w:r w:rsidRPr="00CA499F">
        <w:rPr>
          <w:rFonts w:ascii="Arial" w:hAnsi="Arial" w:cs="Arial"/>
        </w:rPr>
        <w:tab/>
        <w:t xml:space="preserve">Use and understand a wide variety of historical methods, schools and genres that will increase their understanding of the discipline and the historian’s relation to it, as well as giving some epistemological awareness of the different types of historical knowledge. </w:t>
      </w:r>
    </w:p>
    <w:p w:rsidR="00273CF0" w:rsidRPr="00154D48" w:rsidRDefault="00CA499F" w:rsidP="00CA499F">
      <w:pPr>
        <w:spacing w:after="120" w:line="240" w:lineRule="auto"/>
        <w:ind w:left="567" w:right="260"/>
        <w:rPr>
          <w:rFonts w:ascii="Arial" w:hAnsi="Arial" w:cs="Arial"/>
        </w:rPr>
      </w:pPr>
      <w:r w:rsidRPr="00CA499F">
        <w:rPr>
          <w:rFonts w:ascii="Arial" w:hAnsi="Arial" w:cs="Arial"/>
        </w:rPr>
        <w:t>8.5    Identify and use a range of historical sources (both primary and secondary) to help promote critical thinking and analytical awareness.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CA499F" w:rsidRPr="00CA499F" w:rsidRDefault="00CA499F" w:rsidP="00CA499F">
      <w:pPr>
        <w:pStyle w:val="Default"/>
        <w:spacing w:after="120"/>
        <w:ind w:left="567" w:right="260"/>
        <w:rPr>
          <w:color w:val="auto"/>
          <w:sz w:val="22"/>
          <w:szCs w:val="22"/>
        </w:rPr>
      </w:pPr>
      <w:r w:rsidRPr="00CA499F">
        <w:rPr>
          <w:color w:val="auto"/>
          <w:sz w:val="22"/>
          <w:szCs w:val="22"/>
        </w:rPr>
        <w:t>9.1</w:t>
      </w:r>
      <w:r>
        <w:rPr>
          <w:color w:val="auto"/>
          <w:sz w:val="22"/>
          <w:szCs w:val="22"/>
        </w:rPr>
        <w:tab/>
      </w:r>
      <w:r w:rsidRPr="00CA499F">
        <w:rPr>
          <w:color w:val="auto"/>
          <w:sz w:val="22"/>
          <w:szCs w:val="22"/>
        </w:rPr>
        <w:t>Demonstrate</w:t>
      </w:r>
      <w:r w:rsidR="0007304A">
        <w:rPr>
          <w:color w:val="auto"/>
          <w:sz w:val="22"/>
          <w:szCs w:val="22"/>
        </w:rPr>
        <w:t xml:space="preserve"> </w:t>
      </w:r>
      <w:r w:rsidRPr="00CA499F">
        <w:rPr>
          <w:color w:val="auto"/>
          <w:sz w:val="22"/>
          <w:szCs w:val="22"/>
        </w:rPr>
        <w:t xml:space="preserve">a number of transferable skills and general academic disciplines necessary for study at degree level, including; general IT skills, communication skills, research skills.  </w:t>
      </w:r>
    </w:p>
    <w:p w:rsidR="00CA499F" w:rsidRPr="00CA499F" w:rsidRDefault="00CA499F" w:rsidP="00CA499F">
      <w:pPr>
        <w:pStyle w:val="Default"/>
        <w:spacing w:after="120"/>
        <w:ind w:left="567" w:right="260"/>
        <w:rPr>
          <w:color w:val="auto"/>
          <w:sz w:val="22"/>
          <w:szCs w:val="22"/>
        </w:rPr>
      </w:pPr>
      <w:r w:rsidRPr="00CA499F">
        <w:rPr>
          <w:color w:val="auto"/>
          <w:sz w:val="22"/>
          <w:szCs w:val="22"/>
        </w:rPr>
        <w:lastRenderedPageBreak/>
        <w:t xml:space="preserve">9.2 </w:t>
      </w:r>
      <w:r>
        <w:rPr>
          <w:color w:val="auto"/>
          <w:sz w:val="22"/>
          <w:szCs w:val="22"/>
        </w:rPr>
        <w:tab/>
      </w:r>
      <w:r w:rsidRPr="00CA499F">
        <w:rPr>
          <w:color w:val="auto"/>
          <w:sz w:val="22"/>
          <w:szCs w:val="22"/>
        </w:rPr>
        <w:t>Demonstrate effective use of library catalogues, online journals, and other web-based resources.</w:t>
      </w:r>
    </w:p>
    <w:p w:rsidR="00154D48" w:rsidRDefault="00CA499F" w:rsidP="00154D48">
      <w:pPr>
        <w:pStyle w:val="Default"/>
        <w:spacing w:after="120"/>
        <w:ind w:left="567" w:right="260"/>
        <w:rPr>
          <w:color w:val="auto"/>
          <w:sz w:val="22"/>
          <w:szCs w:val="22"/>
        </w:rPr>
      </w:pPr>
      <w:r w:rsidRPr="00CA499F">
        <w:rPr>
          <w:color w:val="auto"/>
          <w:sz w:val="22"/>
          <w:szCs w:val="22"/>
        </w:rPr>
        <w:t xml:space="preserve">9.3 </w:t>
      </w:r>
      <w:r>
        <w:rPr>
          <w:color w:val="auto"/>
          <w:sz w:val="22"/>
          <w:szCs w:val="22"/>
        </w:rPr>
        <w:tab/>
      </w:r>
      <w:r w:rsidRPr="00CA499F">
        <w:rPr>
          <w:color w:val="auto"/>
          <w:sz w:val="22"/>
          <w:szCs w:val="22"/>
        </w:rPr>
        <w:t xml:space="preserve">Work effectively in groups and to be able to </w:t>
      </w:r>
      <w:r w:rsidR="0007304A">
        <w:rPr>
          <w:color w:val="262626"/>
          <w:sz w:val="21"/>
          <w:szCs w:val="21"/>
          <w:shd w:val="clear" w:color="auto" w:fill="FFFFFF"/>
        </w:rPr>
        <w:t>ability to communicate effectively to a variety of audiences and/or using a variety of methods</w:t>
      </w:r>
      <w:r w:rsidR="0007304A">
        <w:rPr>
          <w:color w:val="auto"/>
          <w:sz w:val="22"/>
          <w:szCs w:val="22"/>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CA499F" w:rsidRPr="00CA499F" w:rsidRDefault="00CA499F" w:rsidP="00CA499F">
      <w:pPr>
        <w:spacing w:after="120" w:line="240" w:lineRule="auto"/>
        <w:ind w:left="567" w:right="260"/>
        <w:rPr>
          <w:rFonts w:ascii="Arial" w:hAnsi="Arial" w:cs="Arial"/>
          <w:iCs/>
        </w:rPr>
      </w:pPr>
      <w:r w:rsidRPr="00CA499F">
        <w:rPr>
          <w:rFonts w:ascii="Arial" w:hAnsi="Arial" w:cs="Arial"/>
          <w:iCs/>
        </w:rPr>
        <w:t>This module has two aims: 1) to contribute towards equipping the students with the necessary practical and intellectual skills for them to think and write as historians at an undergraduate level; 2) to encourage them to think reflectively and critically about the nature of the historical discipline, its epistemological claims, and why we, as historians, do what we do in the way we do it.</w:t>
      </w:r>
    </w:p>
    <w:p w:rsidR="00CA499F" w:rsidRPr="00CA499F" w:rsidRDefault="00CA499F" w:rsidP="00CA499F">
      <w:pPr>
        <w:spacing w:after="120" w:line="240" w:lineRule="auto"/>
        <w:ind w:left="567" w:right="260"/>
        <w:rPr>
          <w:rFonts w:ascii="Arial" w:hAnsi="Arial" w:cs="Arial"/>
          <w:iCs/>
        </w:rPr>
      </w:pPr>
      <w:r w:rsidRPr="00CA499F">
        <w:rPr>
          <w:rFonts w:ascii="Arial" w:hAnsi="Arial" w:cs="Arial"/>
          <w:iCs/>
        </w:rPr>
        <w:t xml:space="preserve">It will focus on the process of ‘getting used to’ undergraduate history; the difference between university life from school/college.  These sessions are reinforced with </w:t>
      </w:r>
      <w:proofErr w:type="spellStart"/>
      <w:r w:rsidRPr="00CA499F">
        <w:rPr>
          <w:rFonts w:ascii="Arial" w:hAnsi="Arial" w:cs="Arial"/>
          <w:iCs/>
        </w:rPr>
        <w:t>inhouse</w:t>
      </w:r>
      <w:proofErr w:type="spellEnd"/>
      <w:r w:rsidRPr="00CA499F">
        <w:rPr>
          <w:rFonts w:ascii="Arial" w:hAnsi="Arial" w:cs="Arial"/>
          <w:iCs/>
        </w:rPr>
        <w:t xml:space="preserve"> study skills sessions. This will be reinforced through the seminar teaching in the remainder of the module.  </w:t>
      </w:r>
    </w:p>
    <w:p w:rsidR="00CA499F" w:rsidRPr="00CA499F" w:rsidRDefault="00CA499F" w:rsidP="00CA499F">
      <w:pPr>
        <w:spacing w:after="120" w:line="240" w:lineRule="auto"/>
        <w:ind w:left="567" w:right="260"/>
        <w:rPr>
          <w:rFonts w:ascii="Arial" w:hAnsi="Arial" w:cs="Arial"/>
          <w:iCs/>
        </w:rPr>
      </w:pPr>
      <w:r w:rsidRPr="00CA499F">
        <w:rPr>
          <w:rFonts w:ascii="Arial" w:hAnsi="Arial" w:cs="Arial"/>
          <w:iCs/>
        </w:rPr>
        <w:t>The module identifies and explores three main areas of history, asking: what is medieval history; what is early modern history; what is modern history? Students will also explore different central historical themes and approaches in historical scholarship, such as Marxism or nationalism, thereby introducing them to history at university level at both a practical and conceptual level. This will cover the development of university history in the broad sweep of history from approximately the twelfth century to the late twentieth century. It will also consider the impact of the Social Sciences on the historical profession during the twentieth century.</w:t>
      </w:r>
    </w:p>
    <w:p w:rsidR="00154D48" w:rsidRPr="00154D48" w:rsidRDefault="00CA499F" w:rsidP="00CA499F">
      <w:pPr>
        <w:spacing w:after="120" w:line="240" w:lineRule="auto"/>
        <w:ind w:left="567" w:right="260"/>
        <w:rPr>
          <w:rFonts w:ascii="Arial" w:hAnsi="Arial" w:cs="Arial"/>
          <w:iCs/>
        </w:rPr>
      </w:pPr>
      <w:r w:rsidRPr="00CA499F">
        <w:rPr>
          <w:rFonts w:ascii="Arial" w:hAnsi="Arial" w:cs="Arial"/>
          <w:iCs/>
        </w:rPr>
        <w:t>The seminars will reinforce these sessions through discussion of selected readings on relevant topics. Students will also study how to use and analyse a primary source and a variety of historical methodologies.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A499F" w:rsidRPr="00CA499F" w:rsidRDefault="00CA499F" w:rsidP="00CA499F">
      <w:pPr>
        <w:spacing w:after="120" w:line="240" w:lineRule="auto"/>
        <w:ind w:left="567" w:right="260"/>
        <w:jc w:val="both"/>
        <w:rPr>
          <w:rFonts w:ascii="Arial" w:hAnsi="Arial" w:cs="Arial"/>
        </w:rPr>
      </w:pPr>
      <w:r w:rsidRPr="00CA499F">
        <w:rPr>
          <w:rFonts w:ascii="Arial" w:hAnsi="Arial" w:cs="Arial"/>
        </w:rPr>
        <w:t>•</w:t>
      </w:r>
      <w:r w:rsidRPr="00CA499F">
        <w:rPr>
          <w:rFonts w:ascii="Arial" w:hAnsi="Arial" w:cs="Arial"/>
        </w:rPr>
        <w:tab/>
        <w:t>Stefan Berger et al (</w:t>
      </w:r>
      <w:proofErr w:type="spellStart"/>
      <w:proofErr w:type="gramStart"/>
      <w:r w:rsidRPr="00CA499F">
        <w:rPr>
          <w:rFonts w:ascii="Arial" w:hAnsi="Arial" w:cs="Arial"/>
        </w:rPr>
        <w:t>eds</w:t>
      </w:r>
      <w:proofErr w:type="spellEnd"/>
      <w:proofErr w:type="gramEnd"/>
      <w:r w:rsidRPr="00CA499F">
        <w:rPr>
          <w:rFonts w:ascii="Arial" w:hAnsi="Arial" w:cs="Arial"/>
        </w:rPr>
        <w:t xml:space="preserve">), Writing History: Theory and Practice, 2nd </w:t>
      </w:r>
      <w:proofErr w:type="spellStart"/>
      <w:r w:rsidRPr="00CA499F">
        <w:rPr>
          <w:rFonts w:ascii="Arial" w:hAnsi="Arial" w:cs="Arial"/>
        </w:rPr>
        <w:t>edn</w:t>
      </w:r>
      <w:proofErr w:type="spellEnd"/>
      <w:r w:rsidRPr="00CA499F">
        <w:rPr>
          <w:rFonts w:ascii="Arial" w:hAnsi="Arial" w:cs="Arial"/>
        </w:rPr>
        <w:t xml:space="preserve"> (Hodder Education, London, 2010)</w:t>
      </w:r>
    </w:p>
    <w:p w:rsidR="00CA499F" w:rsidRPr="00CA499F" w:rsidRDefault="00CA499F" w:rsidP="00CA499F">
      <w:pPr>
        <w:spacing w:after="120" w:line="240" w:lineRule="auto"/>
        <w:ind w:left="567" w:right="260"/>
        <w:jc w:val="both"/>
        <w:rPr>
          <w:rFonts w:ascii="Arial" w:hAnsi="Arial" w:cs="Arial"/>
        </w:rPr>
      </w:pPr>
      <w:r w:rsidRPr="00CA499F">
        <w:rPr>
          <w:rFonts w:ascii="Arial" w:hAnsi="Arial" w:cs="Arial"/>
        </w:rPr>
        <w:t>•</w:t>
      </w:r>
      <w:r w:rsidRPr="00CA499F">
        <w:rPr>
          <w:rFonts w:ascii="Arial" w:hAnsi="Arial" w:cs="Arial"/>
        </w:rPr>
        <w:tab/>
        <w:t>Anna Green and Kathleen Troup (</w:t>
      </w:r>
      <w:proofErr w:type="spellStart"/>
      <w:proofErr w:type="gramStart"/>
      <w:r w:rsidRPr="00CA499F">
        <w:rPr>
          <w:rFonts w:ascii="Arial" w:hAnsi="Arial" w:cs="Arial"/>
        </w:rPr>
        <w:t>eds</w:t>
      </w:r>
      <w:proofErr w:type="spellEnd"/>
      <w:proofErr w:type="gramEnd"/>
      <w:r w:rsidRPr="00CA499F">
        <w:rPr>
          <w:rFonts w:ascii="Arial" w:hAnsi="Arial" w:cs="Arial"/>
        </w:rPr>
        <w:t>), The Houses of History: A Critical Reader in Twentieth-Century History and Theory (Manchester University Press, Manchester, 1999)</w:t>
      </w:r>
    </w:p>
    <w:p w:rsidR="00CA499F" w:rsidRPr="00CA499F" w:rsidRDefault="00CA499F" w:rsidP="00CA499F">
      <w:pPr>
        <w:spacing w:after="120" w:line="240" w:lineRule="auto"/>
        <w:ind w:left="567" w:right="260"/>
        <w:jc w:val="both"/>
        <w:rPr>
          <w:rFonts w:ascii="Arial" w:hAnsi="Arial" w:cs="Arial"/>
        </w:rPr>
      </w:pPr>
      <w:r w:rsidRPr="00CA499F">
        <w:rPr>
          <w:rFonts w:ascii="Arial" w:hAnsi="Arial" w:cs="Arial"/>
        </w:rPr>
        <w:t>•</w:t>
      </w:r>
      <w:r w:rsidRPr="00CA499F">
        <w:rPr>
          <w:rFonts w:ascii="Arial" w:hAnsi="Arial" w:cs="Arial"/>
        </w:rPr>
        <w:tab/>
        <w:t xml:space="preserve">George. G. </w:t>
      </w:r>
      <w:proofErr w:type="spellStart"/>
      <w:r w:rsidRPr="00CA499F">
        <w:rPr>
          <w:rFonts w:ascii="Arial" w:hAnsi="Arial" w:cs="Arial"/>
        </w:rPr>
        <w:t>Iggers</w:t>
      </w:r>
      <w:proofErr w:type="spellEnd"/>
      <w:r w:rsidRPr="00CA499F">
        <w:rPr>
          <w:rFonts w:ascii="Arial" w:hAnsi="Arial" w:cs="Arial"/>
        </w:rPr>
        <w:t xml:space="preserve"> and Q. Edward Wang, </w:t>
      </w:r>
      <w:proofErr w:type="gramStart"/>
      <w:r w:rsidRPr="00CA499F">
        <w:rPr>
          <w:rFonts w:ascii="Arial" w:hAnsi="Arial" w:cs="Arial"/>
        </w:rPr>
        <w:t>A</w:t>
      </w:r>
      <w:proofErr w:type="gramEnd"/>
      <w:r w:rsidRPr="00CA499F">
        <w:rPr>
          <w:rFonts w:ascii="Arial" w:hAnsi="Arial" w:cs="Arial"/>
        </w:rPr>
        <w:t xml:space="preserve"> Global History of Modern Historiography </w:t>
      </w:r>
      <w:r w:rsidR="0007304A">
        <w:rPr>
          <w:rFonts w:ascii="Arial" w:hAnsi="Arial" w:cs="Arial"/>
        </w:rPr>
        <w:t>2</w:t>
      </w:r>
      <w:r w:rsidR="0007304A" w:rsidRPr="005D020B">
        <w:rPr>
          <w:rFonts w:ascii="Arial" w:hAnsi="Arial" w:cs="Arial"/>
          <w:vertAlign w:val="superscript"/>
        </w:rPr>
        <w:t>nd</w:t>
      </w:r>
      <w:r w:rsidR="0007304A">
        <w:rPr>
          <w:rFonts w:ascii="Arial" w:hAnsi="Arial" w:cs="Arial"/>
        </w:rPr>
        <w:t xml:space="preserve"> </w:t>
      </w:r>
      <w:proofErr w:type="spellStart"/>
      <w:r w:rsidR="0007304A">
        <w:rPr>
          <w:rFonts w:ascii="Arial" w:hAnsi="Arial" w:cs="Arial"/>
        </w:rPr>
        <w:t>edn</w:t>
      </w:r>
      <w:proofErr w:type="spellEnd"/>
      <w:r w:rsidR="0007304A">
        <w:rPr>
          <w:rFonts w:ascii="Arial" w:hAnsi="Arial" w:cs="Arial"/>
        </w:rPr>
        <w:t xml:space="preserve"> </w:t>
      </w:r>
      <w:r w:rsidRPr="00CA499F">
        <w:rPr>
          <w:rFonts w:ascii="Arial" w:hAnsi="Arial" w:cs="Arial"/>
        </w:rPr>
        <w:t>(Routledge, London, 2</w:t>
      </w:r>
      <w:r w:rsidR="0007304A">
        <w:rPr>
          <w:rFonts w:ascii="Arial" w:hAnsi="Arial" w:cs="Arial"/>
        </w:rPr>
        <w:t>017</w:t>
      </w:r>
      <w:r w:rsidRPr="00CA499F">
        <w:rPr>
          <w:rFonts w:ascii="Arial" w:hAnsi="Arial" w:cs="Arial"/>
        </w:rPr>
        <w:t>)</w:t>
      </w:r>
    </w:p>
    <w:p w:rsidR="00CA499F" w:rsidRPr="00CA499F" w:rsidRDefault="00CA499F" w:rsidP="00CA499F">
      <w:pPr>
        <w:spacing w:after="120" w:line="240" w:lineRule="auto"/>
        <w:ind w:left="567" w:right="260"/>
        <w:jc w:val="both"/>
        <w:rPr>
          <w:rFonts w:ascii="Arial" w:hAnsi="Arial" w:cs="Arial"/>
        </w:rPr>
      </w:pPr>
      <w:r w:rsidRPr="00CA499F">
        <w:rPr>
          <w:rFonts w:ascii="Arial" w:hAnsi="Arial" w:cs="Arial"/>
        </w:rPr>
        <w:t>•</w:t>
      </w:r>
      <w:r w:rsidRPr="00CA499F">
        <w:rPr>
          <w:rFonts w:ascii="Arial" w:hAnsi="Arial" w:cs="Arial"/>
        </w:rPr>
        <w:tab/>
        <w:t xml:space="preserve">Bonnie Smith, </w:t>
      </w:r>
      <w:proofErr w:type="gramStart"/>
      <w:r w:rsidRPr="00CA499F">
        <w:rPr>
          <w:rFonts w:ascii="Arial" w:hAnsi="Arial" w:cs="Arial"/>
        </w:rPr>
        <w:t>The</w:t>
      </w:r>
      <w:proofErr w:type="gramEnd"/>
      <w:r w:rsidRPr="00CA499F">
        <w:rPr>
          <w:rFonts w:ascii="Arial" w:hAnsi="Arial" w:cs="Arial"/>
        </w:rPr>
        <w:t xml:space="preserve"> Gender of History: Men, Women and Historical Practice (Harvard University Press, Cambridge, 1998)</w:t>
      </w:r>
    </w:p>
    <w:p w:rsidR="009A2D37" w:rsidRPr="00154D48" w:rsidRDefault="00CA499F" w:rsidP="00CA499F">
      <w:pPr>
        <w:spacing w:after="120" w:line="240" w:lineRule="auto"/>
        <w:ind w:left="567" w:right="260"/>
        <w:jc w:val="both"/>
        <w:rPr>
          <w:rFonts w:ascii="Arial" w:hAnsi="Arial" w:cs="Arial"/>
        </w:rPr>
      </w:pPr>
      <w:r w:rsidRPr="00CA499F">
        <w:rPr>
          <w:rFonts w:ascii="Arial" w:hAnsi="Arial" w:cs="Arial"/>
        </w:rPr>
        <w:t>•</w:t>
      </w:r>
      <w:r w:rsidRPr="00CA499F">
        <w:rPr>
          <w:rFonts w:ascii="Arial" w:hAnsi="Arial" w:cs="Arial"/>
        </w:rPr>
        <w:tab/>
      </w:r>
      <w:proofErr w:type="spellStart"/>
      <w:r w:rsidRPr="00CA499F">
        <w:rPr>
          <w:rFonts w:ascii="Arial" w:hAnsi="Arial" w:cs="Arial"/>
        </w:rPr>
        <w:t>Garthine</w:t>
      </w:r>
      <w:proofErr w:type="spellEnd"/>
      <w:r w:rsidRPr="00CA499F">
        <w:rPr>
          <w:rFonts w:ascii="Arial" w:hAnsi="Arial" w:cs="Arial"/>
        </w:rPr>
        <w:t xml:space="preserve"> Walker (ed.), Writing Early Modern History (Bloomsbury, London, 2005)</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CA499F" w:rsidRPr="00CA499F" w:rsidRDefault="00CA499F" w:rsidP="00CA499F">
      <w:pPr>
        <w:spacing w:after="120" w:line="240" w:lineRule="auto"/>
        <w:ind w:left="567" w:right="260"/>
        <w:rPr>
          <w:rFonts w:ascii="Arial" w:hAnsi="Arial" w:cs="Arial"/>
          <w:iCs/>
        </w:rPr>
      </w:pPr>
      <w:r w:rsidRPr="00CA499F">
        <w:rPr>
          <w:rFonts w:ascii="Arial" w:hAnsi="Arial" w:cs="Arial"/>
          <w:iCs/>
        </w:rPr>
        <w:t>Lecture, Seminar and Workshop Hours: 44</w:t>
      </w:r>
    </w:p>
    <w:p w:rsidR="00CA499F" w:rsidRPr="00CA499F" w:rsidRDefault="00CA499F" w:rsidP="00CA499F">
      <w:pPr>
        <w:spacing w:after="120" w:line="240" w:lineRule="auto"/>
        <w:ind w:left="567" w:right="260"/>
        <w:rPr>
          <w:rFonts w:ascii="Arial" w:hAnsi="Arial" w:cs="Arial"/>
          <w:iCs/>
        </w:rPr>
      </w:pPr>
      <w:r w:rsidRPr="00CA499F">
        <w:rPr>
          <w:rFonts w:ascii="Arial" w:hAnsi="Arial" w:cs="Arial"/>
          <w:iCs/>
        </w:rPr>
        <w:t>Independent Study Hours: 256</w:t>
      </w:r>
    </w:p>
    <w:p w:rsidR="009A2D37" w:rsidRPr="00154D48" w:rsidRDefault="00CA499F" w:rsidP="00CA499F">
      <w:pPr>
        <w:spacing w:after="120" w:line="240" w:lineRule="auto"/>
        <w:ind w:left="567" w:right="260"/>
        <w:rPr>
          <w:rFonts w:ascii="Arial" w:hAnsi="Arial" w:cs="Arial"/>
          <w:iCs/>
        </w:rPr>
      </w:pPr>
      <w:r w:rsidRPr="00CA499F">
        <w:rPr>
          <w:rFonts w:ascii="Arial" w:hAnsi="Arial" w:cs="Arial"/>
          <w:iCs/>
        </w:rPr>
        <w:t>Total Hours: 300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758E0" w:rsidRDefault="00CA499F" w:rsidP="00154D48">
      <w:pPr>
        <w:spacing w:after="120" w:line="240" w:lineRule="auto"/>
        <w:ind w:left="567" w:right="260"/>
        <w:rPr>
          <w:rFonts w:ascii="Arial" w:hAnsi="Arial" w:cs="Arial"/>
          <w:iCs/>
        </w:rPr>
      </w:pPr>
      <w:r w:rsidRPr="00CA499F">
        <w:rPr>
          <w:rFonts w:ascii="Arial" w:hAnsi="Arial" w:cs="Arial"/>
          <w:iCs/>
        </w:rPr>
        <w:t xml:space="preserve">100% coursework  </w:t>
      </w:r>
    </w:p>
    <w:p w:rsidR="00F758E0" w:rsidRDefault="00F758E0" w:rsidP="00154D48">
      <w:pPr>
        <w:spacing w:after="120" w:line="240" w:lineRule="auto"/>
        <w:ind w:left="567" w:right="260"/>
        <w:rPr>
          <w:rFonts w:ascii="Arial" w:hAnsi="Arial" w:cs="Arial"/>
          <w:iCs/>
        </w:rPr>
      </w:pPr>
      <w:r>
        <w:rPr>
          <w:rFonts w:ascii="Arial" w:hAnsi="Arial" w:cs="Arial"/>
          <w:iCs/>
        </w:rPr>
        <w:t>S</w:t>
      </w:r>
      <w:r w:rsidR="00CA499F" w:rsidRPr="00CA499F">
        <w:rPr>
          <w:rFonts w:ascii="Arial" w:hAnsi="Arial" w:cs="Arial"/>
          <w:iCs/>
        </w:rPr>
        <w:t>ource analysis 1</w:t>
      </w:r>
      <w:r w:rsidR="0007304A">
        <w:rPr>
          <w:rFonts w:ascii="Arial" w:hAnsi="Arial" w:cs="Arial"/>
          <w:iCs/>
        </w:rPr>
        <w:t xml:space="preserve"> (1000 words)</w:t>
      </w:r>
      <w:r w:rsidR="00CA499F" w:rsidRPr="00CA499F">
        <w:rPr>
          <w:rFonts w:ascii="Arial" w:hAnsi="Arial" w:cs="Arial"/>
          <w:iCs/>
        </w:rPr>
        <w:t xml:space="preserve"> (2</w:t>
      </w:r>
      <w:r>
        <w:rPr>
          <w:rFonts w:ascii="Arial" w:hAnsi="Arial" w:cs="Arial"/>
          <w:iCs/>
        </w:rPr>
        <w:t>5</w:t>
      </w:r>
      <w:r w:rsidR="00CA499F" w:rsidRPr="00CA499F">
        <w:rPr>
          <w:rFonts w:ascii="Arial" w:hAnsi="Arial" w:cs="Arial"/>
          <w:iCs/>
        </w:rPr>
        <w:t xml:space="preserve">%); </w:t>
      </w:r>
    </w:p>
    <w:p w:rsidR="005F6C80" w:rsidRDefault="00F758E0" w:rsidP="00154D48">
      <w:pPr>
        <w:spacing w:after="120" w:line="240" w:lineRule="auto"/>
        <w:ind w:left="567" w:right="260"/>
        <w:rPr>
          <w:rFonts w:ascii="Arial" w:hAnsi="Arial" w:cs="Arial"/>
          <w:iCs/>
        </w:rPr>
      </w:pPr>
      <w:r>
        <w:rPr>
          <w:rFonts w:ascii="Arial" w:hAnsi="Arial" w:cs="Arial"/>
          <w:iCs/>
        </w:rPr>
        <w:lastRenderedPageBreak/>
        <w:t>S</w:t>
      </w:r>
      <w:r w:rsidR="00CA499F" w:rsidRPr="00CA499F">
        <w:rPr>
          <w:rFonts w:ascii="Arial" w:hAnsi="Arial" w:cs="Arial"/>
          <w:iCs/>
        </w:rPr>
        <w:t xml:space="preserve">ource analysis 2 </w:t>
      </w:r>
      <w:r w:rsidR="0007304A">
        <w:rPr>
          <w:rFonts w:ascii="Arial" w:hAnsi="Arial" w:cs="Arial"/>
          <w:iCs/>
        </w:rPr>
        <w:t>(1000 words</w:t>
      </w:r>
      <w:proofErr w:type="gramStart"/>
      <w:r w:rsidR="0007304A">
        <w:rPr>
          <w:rFonts w:ascii="Arial" w:hAnsi="Arial" w:cs="Arial"/>
          <w:iCs/>
        </w:rPr>
        <w:t>)</w:t>
      </w:r>
      <w:r w:rsidR="00CA499F" w:rsidRPr="00CA499F">
        <w:rPr>
          <w:rFonts w:ascii="Arial" w:hAnsi="Arial" w:cs="Arial"/>
          <w:iCs/>
        </w:rPr>
        <w:t>(</w:t>
      </w:r>
      <w:proofErr w:type="gramEnd"/>
      <w:r w:rsidR="00CA499F" w:rsidRPr="00CA499F">
        <w:rPr>
          <w:rFonts w:ascii="Arial" w:hAnsi="Arial" w:cs="Arial"/>
          <w:iCs/>
        </w:rPr>
        <w:t>2</w:t>
      </w:r>
      <w:r>
        <w:rPr>
          <w:rFonts w:ascii="Arial" w:hAnsi="Arial" w:cs="Arial"/>
          <w:iCs/>
        </w:rPr>
        <w:t>5</w:t>
      </w:r>
      <w:r w:rsidR="00CA499F" w:rsidRPr="00CA499F">
        <w:rPr>
          <w:rFonts w:ascii="Arial" w:hAnsi="Arial" w:cs="Arial"/>
          <w:iCs/>
        </w:rPr>
        <w:t xml:space="preserve">%); </w:t>
      </w:r>
    </w:p>
    <w:p w:rsidR="005F6C80" w:rsidRDefault="005F6C80" w:rsidP="00154D48">
      <w:pPr>
        <w:spacing w:after="120" w:line="240" w:lineRule="auto"/>
        <w:ind w:left="567" w:right="260"/>
        <w:rPr>
          <w:rFonts w:ascii="Arial" w:hAnsi="Arial" w:cs="Arial"/>
          <w:iCs/>
        </w:rPr>
      </w:pPr>
      <w:r>
        <w:rPr>
          <w:rFonts w:ascii="Arial" w:hAnsi="Arial" w:cs="Arial"/>
          <w:iCs/>
        </w:rPr>
        <w:t>G</w:t>
      </w:r>
      <w:r w:rsidR="00CA499F" w:rsidRPr="00CA499F">
        <w:rPr>
          <w:rFonts w:ascii="Arial" w:hAnsi="Arial" w:cs="Arial"/>
          <w:iCs/>
        </w:rPr>
        <w:t xml:space="preserve">roup conference presentation (10%); and a </w:t>
      </w:r>
    </w:p>
    <w:p w:rsidR="003F3578" w:rsidRPr="00154D48" w:rsidRDefault="00CA499F" w:rsidP="00154D48">
      <w:pPr>
        <w:spacing w:after="120" w:line="240" w:lineRule="auto"/>
        <w:ind w:left="567" w:right="260"/>
        <w:rPr>
          <w:rFonts w:ascii="Arial" w:hAnsi="Arial" w:cs="Arial"/>
          <w:iCs/>
        </w:rPr>
      </w:pPr>
      <w:r w:rsidRPr="00CA499F">
        <w:rPr>
          <w:rFonts w:ascii="Arial" w:hAnsi="Arial" w:cs="Arial"/>
          <w:iCs/>
        </w:rPr>
        <w:t xml:space="preserve">2,000 word essay (40%). </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CA499F" w:rsidP="00154D48">
      <w:pPr>
        <w:spacing w:after="120" w:line="240" w:lineRule="auto"/>
        <w:ind w:left="567" w:right="260"/>
        <w:rPr>
          <w:rFonts w:ascii="Arial" w:hAnsi="Arial" w:cs="Arial"/>
          <w:iCs/>
        </w:rPr>
      </w:pPr>
      <w:r>
        <w:rPr>
          <w:rFonts w:ascii="Arial" w:hAnsi="Arial" w:cs="Arial"/>
          <w:iCs/>
        </w:rPr>
        <w:t>100% Coursework</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CA499F" w:rsidRPr="00302082" w:rsidTr="00CA499F">
        <w:tc>
          <w:tcPr>
            <w:tcW w:w="2439" w:type="dxa"/>
            <w:shd w:val="clear" w:color="auto" w:fill="D9D9D9" w:themeFill="background1" w:themeFillShade="D9"/>
          </w:tcPr>
          <w:p w:rsidR="00CA499F" w:rsidRPr="00302082" w:rsidRDefault="00CA499F" w:rsidP="00302082">
            <w:pPr>
              <w:spacing w:after="120"/>
              <w:ind w:left="33"/>
              <w:rPr>
                <w:rFonts w:ascii="Arial" w:hAnsi="Arial" w:cs="Arial"/>
                <w:b/>
              </w:rPr>
            </w:pPr>
            <w:r w:rsidRPr="00302082">
              <w:rPr>
                <w:rFonts w:ascii="Arial" w:hAnsi="Arial" w:cs="Arial"/>
                <w:b/>
              </w:rPr>
              <w:t>Module learning outcome</w:t>
            </w:r>
          </w:p>
        </w:tc>
        <w:tc>
          <w:tcPr>
            <w:tcW w:w="567" w:type="dxa"/>
          </w:tcPr>
          <w:p w:rsidR="00CA499F" w:rsidRPr="002302FD" w:rsidRDefault="00CA499F" w:rsidP="00302082">
            <w:pPr>
              <w:spacing w:after="120"/>
              <w:rPr>
                <w:rFonts w:ascii="Arial" w:hAnsi="Arial" w:cs="Arial"/>
              </w:rPr>
            </w:pPr>
            <w:r w:rsidRPr="002302FD">
              <w:rPr>
                <w:rFonts w:ascii="Arial" w:hAnsi="Arial" w:cs="Arial"/>
              </w:rPr>
              <w:t>8.1</w:t>
            </w:r>
          </w:p>
        </w:tc>
        <w:tc>
          <w:tcPr>
            <w:tcW w:w="567" w:type="dxa"/>
          </w:tcPr>
          <w:p w:rsidR="00CA499F" w:rsidRPr="002302FD" w:rsidRDefault="00CA499F" w:rsidP="00302082">
            <w:pPr>
              <w:spacing w:after="120"/>
              <w:rPr>
                <w:rFonts w:ascii="Arial" w:hAnsi="Arial" w:cs="Arial"/>
              </w:rPr>
            </w:pPr>
            <w:r w:rsidRPr="002302FD">
              <w:rPr>
                <w:rFonts w:ascii="Arial" w:hAnsi="Arial" w:cs="Arial"/>
              </w:rPr>
              <w:t>8.2</w:t>
            </w:r>
          </w:p>
        </w:tc>
        <w:tc>
          <w:tcPr>
            <w:tcW w:w="567" w:type="dxa"/>
          </w:tcPr>
          <w:p w:rsidR="00CA499F" w:rsidRPr="002302FD" w:rsidRDefault="00CA499F" w:rsidP="00302082">
            <w:pPr>
              <w:spacing w:after="120"/>
              <w:rPr>
                <w:rFonts w:ascii="Arial" w:hAnsi="Arial" w:cs="Arial"/>
              </w:rPr>
            </w:pPr>
            <w:r w:rsidRPr="002302FD">
              <w:rPr>
                <w:rFonts w:ascii="Arial" w:hAnsi="Arial" w:cs="Arial"/>
              </w:rPr>
              <w:t>8.3</w:t>
            </w:r>
          </w:p>
        </w:tc>
        <w:tc>
          <w:tcPr>
            <w:tcW w:w="567" w:type="dxa"/>
          </w:tcPr>
          <w:p w:rsidR="00CA499F" w:rsidRPr="002302FD" w:rsidRDefault="00CA499F" w:rsidP="00302082">
            <w:pPr>
              <w:spacing w:after="120"/>
              <w:rPr>
                <w:rFonts w:ascii="Arial" w:hAnsi="Arial" w:cs="Arial"/>
              </w:rPr>
            </w:pPr>
            <w:r w:rsidRPr="002302FD">
              <w:rPr>
                <w:rFonts w:ascii="Arial" w:hAnsi="Arial" w:cs="Arial"/>
              </w:rPr>
              <w:t>8.4</w:t>
            </w:r>
          </w:p>
        </w:tc>
        <w:tc>
          <w:tcPr>
            <w:tcW w:w="567" w:type="dxa"/>
          </w:tcPr>
          <w:p w:rsidR="00CA499F" w:rsidRPr="002302FD" w:rsidRDefault="00CA499F" w:rsidP="00302082">
            <w:pPr>
              <w:spacing w:after="120"/>
              <w:rPr>
                <w:rFonts w:ascii="Arial" w:hAnsi="Arial" w:cs="Arial"/>
              </w:rPr>
            </w:pPr>
            <w:r w:rsidRPr="002302FD">
              <w:rPr>
                <w:rFonts w:ascii="Arial" w:hAnsi="Arial" w:cs="Arial"/>
              </w:rPr>
              <w:t>8.5</w:t>
            </w:r>
          </w:p>
        </w:tc>
        <w:tc>
          <w:tcPr>
            <w:tcW w:w="567" w:type="dxa"/>
          </w:tcPr>
          <w:p w:rsidR="00CA499F" w:rsidRPr="002302FD" w:rsidRDefault="00CA499F" w:rsidP="00302082">
            <w:pPr>
              <w:spacing w:after="120"/>
              <w:rPr>
                <w:rFonts w:ascii="Arial" w:hAnsi="Arial" w:cs="Arial"/>
              </w:rPr>
            </w:pPr>
            <w:r w:rsidRPr="002302FD">
              <w:rPr>
                <w:rFonts w:ascii="Arial" w:hAnsi="Arial" w:cs="Arial"/>
              </w:rPr>
              <w:t>9.1</w:t>
            </w:r>
          </w:p>
        </w:tc>
        <w:tc>
          <w:tcPr>
            <w:tcW w:w="567" w:type="dxa"/>
          </w:tcPr>
          <w:p w:rsidR="00CA499F" w:rsidRPr="002302FD" w:rsidRDefault="00CA499F" w:rsidP="00302082">
            <w:pPr>
              <w:spacing w:after="120"/>
              <w:rPr>
                <w:rFonts w:ascii="Arial" w:hAnsi="Arial" w:cs="Arial"/>
              </w:rPr>
            </w:pPr>
            <w:r w:rsidRPr="002302FD">
              <w:rPr>
                <w:rFonts w:ascii="Arial" w:hAnsi="Arial" w:cs="Arial"/>
              </w:rPr>
              <w:t>9.2</w:t>
            </w:r>
          </w:p>
        </w:tc>
        <w:tc>
          <w:tcPr>
            <w:tcW w:w="567" w:type="dxa"/>
          </w:tcPr>
          <w:p w:rsidR="00CA499F" w:rsidRPr="002302FD" w:rsidRDefault="00CA499F" w:rsidP="00302082">
            <w:pPr>
              <w:spacing w:after="120"/>
              <w:rPr>
                <w:rFonts w:ascii="Arial" w:hAnsi="Arial" w:cs="Arial"/>
              </w:rPr>
            </w:pPr>
            <w:r w:rsidRPr="002302FD">
              <w:rPr>
                <w:rFonts w:ascii="Arial" w:hAnsi="Arial" w:cs="Arial"/>
              </w:rPr>
              <w:t>9.3</w:t>
            </w:r>
          </w:p>
        </w:tc>
      </w:tr>
      <w:tr w:rsidR="00CA499F" w:rsidRPr="00302082" w:rsidTr="00CA499F">
        <w:tc>
          <w:tcPr>
            <w:tcW w:w="2439" w:type="dxa"/>
            <w:shd w:val="clear" w:color="auto" w:fill="D9D9D9" w:themeFill="background1" w:themeFillShade="D9"/>
          </w:tcPr>
          <w:p w:rsidR="00CA499F" w:rsidRPr="00302082" w:rsidRDefault="00CA499F" w:rsidP="00302082">
            <w:pPr>
              <w:spacing w:after="120"/>
              <w:rPr>
                <w:rFonts w:ascii="Arial" w:hAnsi="Arial" w:cs="Arial"/>
                <w:b/>
              </w:rPr>
            </w:pPr>
            <w:r w:rsidRPr="00302082">
              <w:rPr>
                <w:rFonts w:ascii="Arial" w:hAnsi="Arial" w:cs="Arial"/>
                <w:b/>
              </w:rPr>
              <w:t>Learning/ teaching method</w:t>
            </w: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r>
      <w:tr w:rsidR="00CA499F" w:rsidRPr="00302082" w:rsidTr="00CA499F">
        <w:tc>
          <w:tcPr>
            <w:tcW w:w="2439" w:type="dxa"/>
          </w:tcPr>
          <w:p w:rsidR="00CA499F" w:rsidRPr="00302082" w:rsidRDefault="00CA499F" w:rsidP="00CA499F">
            <w:pPr>
              <w:spacing w:after="120"/>
              <w:rPr>
                <w:rFonts w:ascii="Arial" w:hAnsi="Arial" w:cs="Arial"/>
                <w:b/>
              </w:rPr>
            </w:pPr>
            <w:r>
              <w:rPr>
                <w:rFonts w:ascii="Arial" w:hAnsi="Arial" w:cs="Arial"/>
                <w:b/>
              </w:rPr>
              <w:t>Independent</w:t>
            </w:r>
            <w:r w:rsidRPr="00302082">
              <w:rPr>
                <w:rFonts w:ascii="Arial" w:hAnsi="Arial" w:cs="Arial"/>
                <w:b/>
              </w:rPr>
              <w:t xml:space="preserve"> Study</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r>
      <w:tr w:rsidR="00CA499F" w:rsidRPr="00302082" w:rsidTr="00CA499F">
        <w:tc>
          <w:tcPr>
            <w:tcW w:w="2439" w:type="dxa"/>
          </w:tcPr>
          <w:p w:rsidR="00CA499F" w:rsidRPr="00302082" w:rsidRDefault="00CA499F" w:rsidP="00CA499F">
            <w:pPr>
              <w:spacing w:after="120"/>
              <w:rPr>
                <w:rFonts w:ascii="Arial" w:hAnsi="Arial" w:cs="Arial"/>
                <w:i/>
              </w:rPr>
            </w:pPr>
            <w:r>
              <w:rPr>
                <w:rFonts w:ascii="Arial" w:hAnsi="Arial" w:cs="Arial"/>
                <w:i/>
              </w:rPr>
              <w:t>Lecture</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p>
        </w:tc>
      </w:tr>
      <w:tr w:rsidR="00CA499F" w:rsidRPr="00302082" w:rsidTr="00CA499F">
        <w:tc>
          <w:tcPr>
            <w:tcW w:w="2439" w:type="dxa"/>
          </w:tcPr>
          <w:p w:rsidR="00CA499F" w:rsidRPr="00302082" w:rsidRDefault="00CA499F" w:rsidP="00CA499F">
            <w:pPr>
              <w:spacing w:after="120"/>
              <w:rPr>
                <w:rFonts w:ascii="Arial" w:hAnsi="Arial" w:cs="Arial"/>
                <w:i/>
              </w:rPr>
            </w:pPr>
            <w:r>
              <w:rPr>
                <w:rFonts w:ascii="Arial" w:hAnsi="Arial" w:cs="Arial"/>
                <w:i/>
              </w:rPr>
              <w:t>Seminar</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r>
      <w:tr w:rsidR="00CA499F" w:rsidRPr="00302082" w:rsidTr="00CA499F">
        <w:tc>
          <w:tcPr>
            <w:tcW w:w="2439" w:type="dxa"/>
          </w:tcPr>
          <w:p w:rsidR="00CA499F" w:rsidRPr="00302082" w:rsidRDefault="00CA499F" w:rsidP="00CA499F">
            <w:pPr>
              <w:spacing w:after="120"/>
              <w:rPr>
                <w:rFonts w:ascii="Arial" w:hAnsi="Arial" w:cs="Arial"/>
                <w:i/>
              </w:rPr>
            </w:pPr>
            <w:r>
              <w:rPr>
                <w:rFonts w:ascii="Arial" w:hAnsi="Arial" w:cs="Arial"/>
                <w:i/>
              </w:rPr>
              <w:t>Workshop</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p>
        </w:tc>
      </w:tr>
      <w:tr w:rsidR="00CA499F" w:rsidRPr="00302082" w:rsidTr="00CA499F">
        <w:tc>
          <w:tcPr>
            <w:tcW w:w="2439" w:type="dxa"/>
            <w:shd w:val="clear" w:color="auto" w:fill="D9D9D9" w:themeFill="background1" w:themeFillShade="D9"/>
          </w:tcPr>
          <w:p w:rsidR="00CA499F" w:rsidRPr="00302082" w:rsidRDefault="00CA499F" w:rsidP="00302082">
            <w:pPr>
              <w:spacing w:after="120"/>
              <w:rPr>
                <w:rFonts w:ascii="Arial" w:hAnsi="Arial" w:cs="Arial"/>
                <w:b/>
              </w:rPr>
            </w:pPr>
            <w:r w:rsidRPr="00302082">
              <w:rPr>
                <w:rFonts w:ascii="Arial" w:hAnsi="Arial" w:cs="Arial"/>
                <w:b/>
              </w:rPr>
              <w:t>Assessment method</w:t>
            </w: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c>
          <w:tcPr>
            <w:tcW w:w="567" w:type="dxa"/>
          </w:tcPr>
          <w:p w:rsidR="00CA499F" w:rsidRPr="00302082" w:rsidRDefault="00CA499F" w:rsidP="00302082">
            <w:pPr>
              <w:spacing w:after="120"/>
              <w:rPr>
                <w:rFonts w:ascii="Arial" w:hAnsi="Arial" w:cs="Arial"/>
                <w:b/>
              </w:rPr>
            </w:pPr>
          </w:p>
        </w:tc>
      </w:tr>
      <w:tr w:rsidR="00CA499F" w:rsidRPr="00302082" w:rsidTr="00CA499F">
        <w:tc>
          <w:tcPr>
            <w:tcW w:w="2439" w:type="dxa"/>
          </w:tcPr>
          <w:p w:rsidR="00CA499F" w:rsidRPr="00302082" w:rsidRDefault="00CA499F" w:rsidP="00CA499F">
            <w:pPr>
              <w:spacing w:after="120"/>
              <w:rPr>
                <w:rFonts w:ascii="Arial" w:hAnsi="Arial" w:cs="Arial"/>
                <w:i/>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r>
      <w:tr w:rsidR="00CA499F" w:rsidRPr="00302082" w:rsidTr="00CA499F">
        <w:tc>
          <w:tcPr>
            <w:tcW w:w="2439" w:type="dxa"/>
          </w:tcPr>
          <w:p w:rsidR="00CA499F" w:rsidRPr="00302082" w:rsidRDefault="00CA499F" w:rsidP="00CA499F">
            <w:pPr>
              <w:spacing w:after="120"/>
              <w:rPr>
                <w:rFonts w:ascii="Arial" w:hAnsi="Arial" w:cs="Arial"/>
                <w:i/>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r>
      <w:tr w:rsidR="00CA499F" w:rsidRPr="00302082" w:rsidTr="00CA499F">
        <w:tc>
          <w:tcPr>
            <w:tcW w:w="2439" w:type="dxa"/>
          </w:tcPr>
          <w:p w:rsidR="00CA499F" w:rsidRPr="00302082" w:rsidRDefault="00CA499F" w:rsidP="00CA499F">
            <w:pPr>
              <w:spacing w:after="120"/>
              <w:rPr>
                <w:rFonts w:ascii="Arial" w:hAnsi="Arial" w:cs="Arial"/>
                <w:i/>
              </w:rPr>
            </w:pPr>
            <w:r>
              <w:rPr>
                <w:rFonts w:ascii="Arial" w:hAnsi="Arial" w:cs="Arial"/>
                <w:i/>
              </w:rPr>
              <w:t>Source Analyses</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r>
      <w:tr w:rsidR="00CA499F" w:rsidRPr="00302082" w:rsidTr="00CA499F">
        <w:tc>
          <w:tcPr>
            <w:tcW w:w="2439" w:type="dxa"/>
          </w:tcPr>
          <w:p w:rsidR="00CA499F" w:rsidRPr="00302082" w:rsidRDefault="00CA499F" w:rsidP="00CA499F">
            <w:pPr>
              <w:spacing w:after="120"/>
              <w:rPr>
                <w:rFonts w:ascii="Arial" w:hAnsi="Arial" w:cs="Arial"/>
                <w:i/>
              </w:rPr>
            </w:pPr>
            <w:r>
              <w:rPr>
                <w:rFonts w:ascii="Arial" w:hAnsi="Arial" w:cs="Arial"/>
                <w:i/>
              </w:rPr>
              <w:t>Conference Presentation</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r>
      <w:tr w:rsidR="00CA499F" w:rsidRPr="00302082" w:rsidTr="00CA499F">
        <w:tc>
          <w:tcPr>
            <w:tcW w:w="2439" w:type="dxa"/>
          </w:tcPr>
          <w:p w:rsidR="00CA499F" w:rsidRPr="00302082" w:rsidRDefault="00CA499F" w:rsidP="00CA499F">
            <w:pPr>
              <w:spacing w:after="120"/>
              <w:rPr>
                <w:rFonts w:ascii="Arial" w:hAnsi="Arial" w:cs="Arial"/>
                <w:i/>
              </w:rPr>
            </w:pPr>
            <w:r>
              <w:rPr>
                <w:rFonts w:ascii="Arial" w:hAnsi="Arial" w:cs="Arial"/>
                <w:i/>
              </w:rPr>
              <w:t>Essay</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p>
        </w:tc>
      </w:tr>
      <w:tr w:rsidR="00CA499F" w:rsidRPr="00302082" w:rsidTr="00CA499F">
        <w:tc>
          <w:tcPr>
            <w:tcW w:w="2439" w:type="dxa"/>
          </w:tcPr>
          <w:p w:rsidR="00CA499F" w:rsidRPr="00302082" w:rsidRDefault="00CA499F" w:rsidP="00CA499F">
            <w:pPr>
              <w:spacing w:after="120"/>
              <w:rPr>
                <w:rFonts w:ascii="Arial" w:hAnsi="Arial" w:cs="Arial"/>
                <w:i/>
              </w:rPr>
            </w:pPr>
            <w:r>
              <w:rPr>
                <w:rFonts w:ascii="Arial" w:hAnsi="Arial" w:cs="Arial"/>
                <w:i/>
              </w:rPr>
              <w:t>Plagiarism Exercise</w:t>
            </w: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r>
              <w:rPr>
                <w:rFonts w:ascii="Arial" w:hAnsi="Arial" w:cs="Arial"/>
                <w:b/>
              </w:rPr>
              <w:t>X</w:t>
            </w:r>
          </w:p>
        </w:tc>
        <w:tc>
          <w:tcPr>
            <w:tcW w:w="567" w:type="dxa"/>
          </w:tcPr>
          <w:p w:rsidR="00CA499F" w:rsidRPr="00302082" w:rsidRDefault="00CA499F" w:rsidP="00CA499F">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CA499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CA499F" w:rsidP="00154D48">
      <w:pPr>
        <w:spacing w:after="120" w:line="240" w:lineRule="auto"/>
        <w:ind w:left="567" w:right="260"/>
        <w:rPr>
          <w:rFonts w:ascii="Arial" w:hAnsi="Arial" w:cs="Arial"/>
        </w:rPr>
      </w:pPr>
      <w:r>
        <w:rPr>
          <w:rFonts w:ascii="Arial" w:hAnsi="Arial" w:cs="Arial"/>
        </w:rPr>
        <w:lastRenderedPageBreak/>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CA499F" w:rsidP="00154D48">
      <w:pPr>
        <w:spacing w:after="120" w:line="240" w:lineRule="auto"/>
        <w:ind w:left="567" w:right="260"/>
        <w:rPr>
          <w:rFonts w:ascii="Arial" w:hAnsi="Arial" w:cs="Arial"/>
          <w:iCs/>
        </w:rPr>
      </w:pPr>
      <w:r w:rsidRPr="00CA499F">
        <w:rPr>
          <w:rFonts w:ascii="Arial" w:hAnsi="Arial" w:cs="Arial"/>
          <w:iCs/>
        </w:rPr>
        <w:t xml:space="preserve">As the module is concerned with the breadth and depth of the discipline of history, much of its contents will have a significant international dimension.  This would include reference to and use of international examples to illustrate academic arguments; the use of international source materials, especially books and journal articles by authors from a multiplicity of international background addressing the same topic.  The module will draw on source material with a global range, especially from Europe, North America, Africa and the Middle East.  The student body will also be international, as the programmes continue to attract a small contingent of international students.  </w:t>
      </w:r>
    </w:p>
    <w:p w:rsidR="00154D48" w:rsidRPr="00154D48" w:rsidRDefault="00154D48" w:rsidP="00154D48">
      <w:pPr>
        <w:spacing w:after="120" w:line="240" w:lineRule="auto"/>
        <w:ind w:left="567"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5D020B" w:rsidRDefault="005D020B" w:rsidP="00302082">
            <w:pPr>
              <w:spacing w:after="120"/>
              <w:ind w:right="-330"/>
              <w:rPr>
                <w:rFonts w:ascii="Arial" w:hAnsi="Arial" w:cs="Arial"/>
                <w:sz w:val="18"/>
              </w:rPr>
            </w:pPr>
            <w:r>
              <w:rPr>
                <w:rFonts w:ascii="Arial" w:hAnsi="Arial" w:cs="Arial"/>
                <w:sz w:val="18"/>
              </w:rPr>
              <w:t>12/12/19</w:t>
            </w:r>
          </w:p>
        </w:tc>
        <w:tc>
          <w:tcPr>
            <w:tcW w:w="1701" w:type="dxa"/>
          </w:tcPr>
          <w:p w:rsidR="00422B69" w:rsidRPr="005D020B" w:rsidRDefault="005D020B" w:rsidP="00302082">
            <w:pPr>
              <w:spacing w:after="120"/>
              <w:ind w:right="-330"/>
              <w:rPr>
                <w:rFonts w:ascii="Arial" w:hAnsi="Arial" w:cs="Arial"/>
                <w:sz w:val="18"/>
              </w:rPr>
            </w:pPr>
            <w:r>
              <w:rPr>
                <w:rFonts w:ascii="Arial" w:hAnsi="Arial" w:cs="Arial"/>
                <w:sz w:val="18"/>
              </w:rPr>
              <w:t>Major</w:t>
            </w:r>
          </w:p>
        </w:tc>
        <w:tc>
          <w:tcPr>
            <w:tcW w:w="1871" w:type="dxa"/>
          </w:tcPr>
          <w:p w:rsidR="00422B69" w:rsidRPr="005D020B" w:rsidRDefault="005D020B" w:rsidP="00302082">
            <w:pPr>
              <w:spacing w:after="120"/>
              <w:ind w:right="-330"/>
              <w:rPr>
                <w:rFonts w:ascii="Arial" w:hAnsi="Arial" w:cs="Arial"/>
                <w:sz w:val="18"/>
              </w:rPr>
            </w:pPr>
            <w:r>
              <w:rPr>
                <w:rFonts w:ascii="Arial" w:hAnsi="Arial" w:cs="Arial"/>
                <w:sz w:val="18"/>
              </w:rPr>
              <w:t>Sep 2020</w:t>
            </w:r>
          </w:p>
        </w:tc>
        <w:tc>
          <w:tcPr>
            <w:tcW w:w="2552" w:type="dxa"/>
          </w:tcPr>
          <w:p w:rsidR="00422B69" w:rsidRPr="005D020B" w:rsidRDefault="005D020B" w:rsidP="00302082">
            <w:pPr>
              <w:spacing w:after="120"/>
              <w:ind w:right="-330"/>
              <w:rPr>
                <w:rFonts w:ascii="Arial" w:hAnsi="Arial" w:cs="Arial"/>
                <w:sz w:val="18"/>
              </w:rPr>
            </w:pPr>
            <w:r w:rsidRPr="005D020B">
              <w:rPr>
                <w:rFonts w:ascii="Arial" w:hAnsi="Arial" w:cs="Arial"/>
                <w:sz w:val="18"/>
              </w:rPr>
              <w:t>9, 11, 13, 14</w:t>
            </w:r>
          </w:p>
        </w:tc>
        <w:tc>
          <w:tcPr>
            <w:tcW w:w="3032" w:type="dxa"/>
          </w:tcPr>
          <w:p w:rsidR="00422B69" w:rsidRPr="005D020B" w:rsidRDefault="005D020B" w:rsidP="00302082">
            <w:pPr>
              <w:spacing w:after="120"/>
              <w:ind w:right="-330"/>
              <w:rPr>
                <w:rFonts w:ascii="Arial" w:hAnsi="Arial" w:cs="Arial"/>
                <w:sz w:val="18"/>
              </w:rPr>
            </w:pPr>
            <w:r>
              <w:rPr>
                <w:rFonts w:ascii="Arial" w:hAnsi="Arial" w:cs="Arial"/>
                <w:sz w:val="18"/>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5D020B">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5D020B">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304A"/>
    <w:rsid w:val="00094810"/>
    <w:rsid w:val="00096DA4"/>
    <w:rsid w:val="000C0294"/>
    <w:rsid w:val="000C3A7E"/>
    <w:rsid w:val="000C7A1C"/>
    <w:rsid w:val="000D2A8A"/>
    <w:rsid w:val="000D32AC"/>
    <w:rsid w:val="000E20C1"/>
    <w:rsid w:val="000E2F3C"/>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020B"/>
    <w:rsid w:val="005D7CD0"/>
    <w:rsid w:val="005E1A3A"/>
    <w:rsid w:val="005E6ADC"/>
    <w:rsid w:val="005E6D10"/>
    <w:rsid w:val="005E6D38"/>
    <w:rsid w:val="005E7B3F"/>
    <w:rsid w:val="005F040F"/>
    <w:rsid w:val="005F2C42"/>
    <w:rsid w:val="005F6C80"/>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6DF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3F5E"/>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5FA"/>
    <w:rsid w:val="00CA3254"/>
    <w:rsid w:val="00CA499F"/>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1074"/>
    <w:rsid w:val="00F527CB"/>
    <w:rsid w:val="00F562AA"/>
    <w:rsid w:val="00F66975"/>
    <w:rsid w:val="00F7105A"/>
    <w:rsid w:val="00F758E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9D6F1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830BE7-0C71-4CF6-B541-3A5487AE9DA5}">
  <ds:schemaRefs>
    <ds:schemaRef ds:uri="http://schemas.openxmlformats.org/officeDocument/2006/bibliography"/>
  </ds:schemaRefs>
</ds:datastoreItem>
</file>

<file path=customXml/itemProps2.xml><?xml version="1.0" encoding="utf-8"?>
<ds:datastoreItem xmlns:ds="http://schemas.openxmlformats.org/officeDocument/2006/customXml" ds:itemID="{D10623DB-5BCE-4E27-90E8-0523787807EA}"/>
</file>

<file path=customXml/itemProps3.xml><?xml version="1.0" encoding="utf-8"?>
<ds:datastoreItem xmlns:ds="http://schemas.openxmlformats.org/officeDocument/2006/customXml" ds:itemID="{04772C9B-CFE3-4F8B-B90A-1B3892E8BC5D}"/>
</file>

<file path=customXml/itemProps4.xml><?xml version="1.0" encoding="utf-8"?>
<ds:datastoreItem xmlns:ds="http://schemas.openxmlformats.org/officeDocument/2006/customXml" ds:itemID="{64E2E96B-1631-4687-ABE3-4291BAA00D44}"/>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2020-01-15T16:20:00Z</dcterms:created>
  <dcterms:modified xsi:type="dcterms:W3CDTF">2020-02-21T09:58:00Z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