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6D28" w14:textId="294F7917" w:rsidR="00D93134" w:rsidRPr="00FD015E" w:rsidRDefault="002109D2" w:rsidP="00D93134">
      <w:pPr>
        <w:numPr>
          <w:ilvl w:val="0"/>
          <w:numId w:val="1"/>
        </w:numPr>
        <w:spacing w:after="120" w:line="240" w:lineRule="auto"/>
        <w:ind w:left="426" w:right="260" w:hanging="426"/>
        <w:jc w:val="both"/>
        <w:rPr>
          <w:rFonts w:ascii="Arial" w:hAnsi="Arial" w:cs="Arial"/>
          <w:b/>
          <w:sz w:val="24"/>
        </w:rPr>
      </w:pPr>
      <w:r w:rsidRPr="00FD015E">
        <w:rPr>
          <w:rFonts w:ascii="Arial" w:hAnsi="Arial" w:cs="Arial"/>
          <w:b/>
          <w:bCs/>
          <w:sz w:val="24"/>
        </w:rPr>
        <w:t>KentVision Code and t</w:t>
      </w:r>
      <w:r w:rsidR="00D93134" w:rsidRPr="00FD015E">
        <w:rPr>
          <w:rFonts w:ascii="Arial" w:hAnsi="Arial" w:cs="Arial"/>
          <w:b/>
          <w:bCs/>
          <w:sz w:val="24"/>
        </w:rPr>
        <w:t>itle</w:t>
      </w:r>
      <w:r w:rsidR="00D93134" w:rsidRPr="00FD015E">
        <w:rPr>
          <w:rFonts w:ascii="Arial" w:hAnsi="Arial" w:cs="Arial"/>
          <w:b/>
          <w:sz w:val="24"/>
        </w:rPr>
        <w:t xml:space="preserve"> of the module</w:t>
      </w:r>
    </w:p>
    <w:p w14:paraId="6F335532" w14:textId="717C1C58" w:rsidR="00D93134" w:rsidRPr="00FD015E" w:rsidRDefault="00D93134" w:rsidP="00D93134">
      <w:pPr>
        <w:spacing w:after="120" w:line="240" w:lineRule="auto"/>
        <w:ind w:left="426" w:right="260"/>
        <w:jc w:val="both"/>
        <w:rPr>
          <w:rFonts w:ascii="Arial" w:hAnsi="Arial" w:cs="Arial"/>
          <w:sz w:val="24"/>
        </w:rPr>
      </w:pPr>
      <w:bookmarkStart w:id="0" w:name="_Hlk94792345"/>
      <w:r w:rsidRPr="00FD015E">
        <w:rPr>
          <w:rFonts w:ascii="Arial" w:hAnsi="Arial" w:cs="Arial"/>
          <w:sz w:val="24"/>
        </w:rPr>
        <w:t>GEOG5002 Critical Approaches in Geography</w:t>
      </w:r>
      <w:bookmarkEnd w:id="0"/>
      <w:r w:rsidRPr="00FD015E">
        <w:rPr>
          <w:rFonts w:ascii="Arial" w:hAnsi="Arial" w:cs="Arial"/>
          <w:sz w:val="24"/>
        </w:rPr>
        <w:t xml:space="preserve"> </w:t>
      </w:r>
      <w:r w:rsidRPr="00FD015E">
        <w:rPr>
          <w:rFonts w:ascii="Arial" w:hAnsi="Arial" w:cs="Arial"/>
          <w:sz w:val="24"/>
        </w:rPr>
        <w:tab/>
      </w:r>
    </w:p>
    <w:p w14:paraId="19612CBA" w14:textId="7BBE2C2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 xml:space="preserve">Division </w:t>
      </w:r>
      <w:r w:rsidR="002109D2" w:rsidRPr="00FD015E">
        <w:rPr>
          <w:rFonts w:ascii="Arial" w:hAnsi="Arial" w:cs="Arial"/>
          <w:b/>
          <w:sz w:val="24"/>
        </w:rPr>
        <w:t xml:space="preserve">and School/Department or partner institution </w:t>
      </w:r>
      <w:r w:rsidRPr="00FD015E">
        <w:rPr>
          <w:rFonts w:ascii="Arial" w:hAnsi="Arial" w:cs="Arial"/>
          <w:b/>
          <w:sz w:val="24"/>
        </w:rPr>
        <w:t>which will be responsible for management of the module</w:t>
      </w:r>
    </w:p>
    <w:p w14:paraId="3FFD9DF5" w14:textId="6E4D8640"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Division of Human and Social Sciences</w:t>
      </w:r>
      <w:r w:rsidR="002109D2" w:rsidRPr="00FD015E">
        <w:rPr>
          <w:rFonts w:ascii="Arial" w:hAnsi="Arial" w:cs="Arial"/>
          <w:iCs/>
          <w:sz w:val="24"/>
        </w:rPr>
        <w:t>, School of Anthropology and Conservation</w:t>
      </w:r>
    </w:p>
    <w:p w14:paraId="75360989"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level of the module (Level 4, Level 5, Level 6 or Level 7)</w:t>
      </w:r>
    </w:p>
    <w:p w14:paraId="3518BF30"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Level 5</w:t>
      </w:r>
    </w:p>
    <w:p w14:paraId="5DCF155D"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 xml:space="preserve">The number of credits and the ECTS value which the module represents </w:t>
      </w:r>
    </w:p>
    <w:p w14:paraId="6C73890B" w14:textId="2D14327A" w:rsidR="00D93134" w:rsidRPr="00FD015E" w:rsidRDefault="00D93134" w:rsidP="00D93134">
      <w:pPr>
        <w:spacing w:after="120" w:line="240" w:lineRule="auto"/>
        <w:ind w:left="426" w:right="260"/>
        <w:rPr>
          <w:rFonts w:ascii="Arial" w:hAnsi="Arial" w:cs="Arial"/>
          <w:sz w:val="24"/>
        </w:rPr>
      </w:pPr>
      <w:r w:rsidRPr="00FD015E">
        <w:rPr>
          <w:rFonts w:ascii="Arial" w:hAnsi="Arial" w:cs="Arial"/>
          <w:sz w:val="24"/>
        </w:rPr>
        <w:t xml:space="preserve">15 </w:t>
      </w:r>
      <w:r w:rsidR="00507257" w:rsidRPr="00DE4181">
        <w:rPr>
          <w:rFonts w:ascii="Arial" w:hAnsi="Arial" w:cs="Arial"/>
          <w:color w:val="000000"/>
          <w:sz w:val="24"/>
        </w:rPr>
        <w:t>credits (7.5 ECTS)</w:t>
      </w:r>
    </w:p>
    <w:p w14:paraId="4337541C"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Which term(s) the module is to be taught in (or other teaching pattern)</w:t>
      </w:r>
    </w:p>
    <w:p w14:paraId="3CA2830D"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 xml:space="preserve">Spring or Autumn </w:t>
      </w:r>
    </w:p>
    <w:p w14:paraId="71714724" w14:textId="6DCB9FD5"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Prerequisite and co-requisite modules</w:t>
      </w:r>
      <w:r w:rsidR="002109D2" w:rsidRPr="00FD015E">
        <w:rPr>
          <w:rFonts w:ascii="Arial" w:hAnsi="Arial" w:cs="Arial"/>
          <w:b/>
          <w:sz w:val="24"/>
        </w:rPr>
        <w:t xml:space="preserve"> and/or any module restrictions</w:t>
      </w:r>
    </w:p>
    <w:p w14:paraId="21C33095"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None</w:t>
      </w:r>
    </w:p>
    <w:p w14:paraId="198F24D7" w14:textId="1B1BDD55"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course</w:t>
      </w:r>
      <w:r w:rsidR="002109D2" w:rsidRPr="00FD015E">
        <w:rPr>
          <w:rFonts w:ascii="Arial" w:hAnsi="Arial" w:cs="Arial"/>
          <w:b/>
          <w:sz w:val="24"/>
        </w:rPr>
        <w:t>(</w:t>
      </w:r>
      <w:r w:rsidRPr="00FD015E">
        <w:rPr>
          <w:rFonts w:ascii="Arial" w:hAnsi="Arial" w:cs="Arial"/>
          <w:b/>
          <w:sz w:val="24"/>
        </w:rPr>
        <w:t>s</w:t>
      </w:r>
      <w:r w:rsidR="002109D2" w:rsidRPr="00FD015E">
        <w:rPr>
          <w:rFonts w:ascii="Arial" w:hAnsi="Arial" w:cs="Arial"/>
          <w:b/>
          <w:sz w:val="24"/>
        </w:rPr>
        <w:t>)</w:t>
      </w:r>
      <w:r w:rsidRPr="00FD015E">
        <w:rPr>
          <w:rFonts w:ascii="Arial" w:hAnsi="Arial" w:cs="Arial"/>
          <w:b/>
          <w:sz w:val="24"/>
        </w:rPr>
        <w:t xml:space="preserve"> of study to which the module contributes</w:t>
      </w:r>
    </w:p>
    <w:p w14:paraId="238517B6" w14:textId="77777777" w:rsidR="00D93134" w:rsidRPr="00FD015E" w:rsidRDefault="00D93134" w:rsidP="00D93134">
      <w:pPr>
        <w:spacing w:after="120" w:line="240" w:lineRule="auto"/>
        <w:ind w:right="260" w:firstLine="426"/>
        <w:rPr>
          <w:rFonts w:ascii="Arial" w:hAnsi="Arial" w:cs="Arial"/>
          <w:iCs/>
          <w:sz w:val="24"/>
        </w:rPr>
      </w:pPr>
      <w:r w:rsidRPr="00FD015E">
        <w:rPr>
          <w:rFonts w:ascii="Arial" w:hAnsi="Arial" w:cs="Arial"/>
          <w:iCs/>
          <w:sz w:val="24"/>
        </w:rPr>
        <w:t xml:space="preserve">Compulsory for: </w:t>
      </w:r>
    </w:p>
    <w:p w14:paraId="43EB5F28"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BSc Human Geography </w:t>
      </w:r>
    </w:p>
    <w:p w14:paraId="37AE6AA8"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Optional for:</w:t>
      </w:r>
    </w:p>
    <w:p w14:paraId="393E82CD"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BA Environmental Social Sciences </w:t>
      </w:r>
    </w:p>
    <w:p w14:paraId="2E2CCF29"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BSc Wildlife Conservation </w:t>
      </w:r>
    </w:p>
    <w:p w14:paraId="081425D3" w14:textId="77777777" w:rsidR="00D93134" w:rsidRPr="00FD015E" w:rsidRDefault="00D93134" w:rsidP="00507257">
      <w:pPr>
        <w:spacing w:before="240" w:after="120" w:line="240" w:lineRule="auto"/>
        <w:ind w:left="425" w:right="261"/>
        <w:rPr>
          <w:rFonts w:ascii="Arial" w:hAnsi="Arial" w:cs="Arial"/>
          <w:iCs/>
          <w:sz w:val="24"/>
        </w:rPr>
      </w:pPr>
      <w:r w:rsidRPr="00FD015E">
        <w:rPr>
          <w:rFonts w:ascii="Arial" w:hAnsi="Arial" w:cs="Arial"/>
          <w:iCs/>
          <w:sz w:val="24"/>
        </w:rPr>
        <w:t>Also available as an elective module</w:t>
      </w:r>
    </w:p>
    <w:p w14:paraId="5FEFA0DE"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intended subject specific learning outcomes.</w:t>
      </w:r>
      <w:r w:rsidRPr="00FD015E">
        <w:rPr>
          <w:rFonts w:ascii="Arial" w:hAnsi="Arial" w:cs="Arial"/>
          <w:b/>
          <w:sz w:val="24"/>
        </w:rPr>
        <w:br/>
        <w:t>On successfully completing the module students will be able to:</w:t>
      </w:r>
    </w:p>
    <w:p w14:paraId="06FB4409" w14:textId="780A3A74" w:rsidR="00D93134" w:rsidRDefault="00D93134" w:rsidP="002141FC">
      <w:pPr>
        <w:pStyle w:val="ListParagraph"/>
        <w:numPr>
          <w:ilvl w:val="1"/>
          <w:numId w:val="12"/>
        </w:numPr>
        <w:spacing w:before="120" w:after="120" w:line="240" w:lineRule="auto"/>
        <w:ind w:left="935" w:hanging="510"/>
        <w:contextualSpacing w:val="0"/>
        <w:rPr>
          <w:rFonts w:ascii="Arial" w:hAnsi="Arial" w:cs="Arial"/>
          <w:sz w:val="24"/>
        </w:rPr>
      </w:pPr>
      <w:r w:rsidRPr="00507257">
        <w:rPr>
          <w:rFonts w:ascii="Arial" w:hAnsi="Arial" w:cs="Arial"/>
          <w:sz w:val="24"/>
        </w:rPr>
        <w:t xml:space="preserve">Devise and sustain reasoned arguments founded upon assessing the merits of contrasting theories and explanations in Geography. </w:t>
      </w:r>
    </w:p>
    <w:p w14:paraId="3B717BB0" w14:textId="606BCA23" w:rsidR="00507257" w:rsidRDefault="00507257"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t>Demonstrate an in-depth understanding of the changing nature of theories in Human Geography and how different conceptual approaches have emerged over time</w:t>
      </w:r>
    </w:p>
    <w:p w14:paraId="22368319" w14:textId="23D97DCD" w:rsidR="00507257" w:rsidRDefault="00507257"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t>Demonstrate detailed knowledge of key thinkers and their contributions to the diverse ways Human Geography has been theorised</w:t>
      </w:r>
    </w:p>
    <w:p w14:paraId="69BBF1B8" w14:textId="16971E6D" w:rsidR="00507257" w:rsidRPr="00507257" w:rsidRDefault="002141FC"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lastRenderedPageBreak/>
        <w:t>Critically evaluate the major differences between emerging schools of thought and intellectual traditions in Geography.</w:t>
      </w:r>
    </w:p>
    <w:p w14:paraId="7E7C38FB" w14:textId="77777777" w:rsidR="00D93134" w:rsidRPr="00FD015E" w:rsidRDefault="00D93134" w:rsidP="002141FC">
      <w:pPr>
        <w:numPr>
          <w:ilvl w:val="0"/>
          <w:numId w:val="12"/>
        </w:numPr>
        <w:spacing w:before="600" w:after="240" w:line="240" w:lineRule="auto"/>
        <w:ind w:left="425" w:hanging="425"/>
        <w:rPr>
          <w:rFonts w:ascii="Arial" w:hAnsi="Arial" w:cs="Arial"/>
          <w:b/>
          <w:sz w:val="24"/>
        </w:rPr>
      </w:pPr>
      <w:r w:rsidRPr="00FD015E">
        <w:rPr>
          <w:rFonts w:ascii="Arial" w:hAnsi="Arial" w:cs="Arial"/>
          <w:b/>
          <w:sz w:val="24"/>
        </w:rPr>
        <w:t>The intended generic learning outcomes.</w:t>
      </w:r>
      <w:r w:rsidRPr="00FD015E">
        <w:rPr>
          <w:rFonts w:ascii="Arial" w:hAnsi="Arial" w:cs="Arial"/>
          <w:b/>
          <w:sz w:val="24"/>
        </w:rPr>
        <w:br/>
        <w:t>On successfully completing the module students will be able to:</w:t>
      </w:r>
    </w:p>
    <w:p w14:paraId="3B39AD8C" w14:textId="77777777" w:rsidR="002141FC" w:rsidRDefault="00D93134"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 xml:space="preserve"> Demonstrate learning and studying skills and autonomous learning. </w:t>
      </w:r>
    </w:p>
    <w:p w14:paraId="4A00C40C" w14:textId="77777777" w:rsidR="002141FC" w:rsidRDefault="002141FC"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Synthesise contextualise and critically evaluate information of different styles and different</w:t>
      </w:r>
      <w:r>
        <w:rPr>
          <w:rFonts w:ascii="Arial" w:hAnsi="Arial" w:cs="Arial"/>
          <w:sz w:val="24"/>
        </w:rPr>
        <w:t xml:space="preserve"> </w:t>
      </w:r>
      <w:r w:rsidRPr="00FD015E">
        <w:rPr>
          <w:rFonts w:ascii="Arial" w:hAnsi="Arial" w:cs="Arial"/>
          <w:sz w:val="24"/>
        </w:rPr>
        <w:t>sources</w:t>
      </w:r>
      <w:r>
        <w:rPr>
          <w:rFonts w:ascii="Arial" w:hAnsi="Arial" w:cs="Arial"/>
          <w:sz w:val="24"/>
        </w:rPr>
        <w:t>.</w:t>
      </w:r>
    </w:p>
    <w:p w14:paraId="2619C96F" w14:textId="7CD53907" w:rsidR="00D93134" w:rsidRPr="002141FC" w:rsidRDefault="002141FC"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Demonstrate that they have acquired key transferable communication skills.</w:t>
      </w:r>
    </w:p>
    <w:p w14:paraId="46517D74" w14:textId="77777777"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A synopsis of the curriculum</w:t>
      </w:r>
    </w:p>
    <w:p w14:paraId="3F46B055" w14:textId="1BBDCF9A"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Human Geography has seen significant theoretical shifts with major intellectual traditions or schools of thought emerging and contesting knowledge about space and place and how it shapes modern life. This module builds on the foundations of the earlier parts of the degree and gives an overview of the changing theoretical landscape by discussing - among others- positivist,</w:t>
      </w:r>
      <w:r w:rsidRPr="00FD015E">
        <w:rPr>
          <w:rFonts w:ascii="Arial" w:hAnsi="Arial" w:cs="Arial"/>
          <w:sz w:val="24"/>
        </w:rPr>
        <w:t xml:space="preserve"> humanistic approaches historical/geographical materialism, post-modernism, post-structuralism, feminist, queer and post-colonial geographies.</w:t>
      </w:r>
      <w:r w:rsidRPr="00FD015E">
        <w:rPr>
          <w:rFonts w:ascii="Arial" w:hAnsi="Arial" w:cs="Arial"/>
          <w:iCs/>
          <w:sz w:val="24"/>
        </w:rPr>
        <w:t xml:space="preserve"> The module is not designed to be encyclopaedic in its coverage; rather, it aims to introduce students to and critically discuss the major thinkers and theories on the recent theoretical journey of Human Geography.</w:t>
      </w:r>
    </w:p>
    <w:p w14:paraId="15E77F4E" w14:textId="2F4C6630"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 xml:space="preserve">Reading list </w:t>
      </w:r>
    </w:p>
    <w:p w14:paraId="7DE2C6B8" w14:textId="77777777" w:rsidR="002109D2" w:rsidRPr="00FD015E" w:rsidRDefault="002109D2" w:rsidP="00B64846">
      <w:pPr>
        <w:pStyle w:val="Heading2"/>
        <w:numPr>
          <w:ilvl w:val="0"/>
          <w:numId w:val="0"/>
        </w:numPr>
        <w:ind w:left="425"/>
        <w:jc w:val="left"/>
        <w:rPr>
          <w:b w:val="0"/>
          <w:bCs/>
          <w:szCs w:val="22"/>
        </w:rPr>
      </w:pPr>
      <w:r w:rsidRPr="00FD015E">
        <w:rPr>
          <w:b w:val="0"/>
          <w:bCs/>
          <w:szCs w:val="22"/>
        </w:rPr>
        <w:t xml:space="preserve">The University is committed to ensuring that core reading materials are in accessible electronic format in line with the Kent Inclusive Practices. </w:t>
      </w:r>
    </w:p>
    <w:p w14:paraId="07467152" w14:textId="7FEE8C0F" w:rsidR="002109D2" w:rsidRPr="00FD015E" w:rsidRDefault="002109D2" w:rsidP="00B64846">
      <w:pPr>
        <w:spacing w:after="120" w:line="240" w:lineRule="auto"/>
        <w:ind w:left="425" w:right="260"/>
        <w:rPr>
          <w:rFonts w:ascii="Arial" w:hAnsi="Arial" w:cs="Arial"/>
          <w:bCs/>
          <w:sz w:val="24"/>
        </w:rPr>
      </w:pPr>
      <w:r w:rsidRPr="00FD015E">
        <w:rPr>
          <w:rFonts w:ascii="Arial" w:hAnsi="Arial" w:cs="Arial"/>
          <w:bCs/>
          <w:sz w:val="24"/>
        </w:rPr>
        <w:t xml:space="preserve">The most up to date reading list for each module can be found on the university's </w:t>
      </w:r>
      <w:hyperlink r:id="rId12" w:history="1">
        <w:r w:rsidRPr="002141FC">
          <w:rPr>
            <w:rStyle w:val="Hyperlink"/>
            <w:rFonts w:ascii="Arial" w:hAnsi="Arial" w:cs="Arial"/>
            <w:bCs/>
            <w:color w:val="0070C0"/>
            <w:sz w:val="24"/>
          </w:rPr>
          <w:t>reading list pages</w:t>
        </w:r>
      </w:hyperlink>
      <w:r w:rsidRPr="00FD015E">
        <w:rPr>
          <w:rFonts w:ascii="Arial" w:hAnsi="Arial" w:cs="Arial"/>
          <w:bCs/>
          <w:sz w:val="24"/>
        </w:rPr>
        <w:t>.</w:t>
      </w:r>
    </w:p>
    <w:p w14:paraId="6D0B7F51" w14:textId="07ACB272" w:rsidR="00D93134" w:rsidRPr="00FD015E" w:rsidRDefault="00D93134" w:rsidP="002141FC">
      <w:pPr>
        <w:pStyle w:val="ListParagraph"/>
        <w:numPr>
          <w:ilvl w:val="0"/>
          <w:numId w:val="13"/>
        </w:numPr>
        <w:spacing w:before="240" w:after="120" w:line="240" w:lineRule="auto"/>
        <w:ind w:left="1145" w:right="261" w:hanging="357"/>
        <w:contextualSpacing w:val="0"/>
        <w:rPr>
          <w:rFonts w:ascii="Arial" w:hAnsi="Arial" w:cs="Arial"/>
          <w:sz w:val="24"/>
        </w:rPr>
      </w:pPr>
      <w:r w:rsidRPr="00FD015E">
        <w:rPr>
          <w:rFonts w:ascii="Arial" w:hAnsi="Arial" w:cs="Arial"/>
          <w:sz w:val="24"/>
        </w:rPr>
        <w:t>Aitken, S. and Valentine, G. (eds) (2006) Approaches to Human Geography, Sage, London.</w:t>
      </w:r>
    </w:p>
    <w:p w14:paraId="6D20382A"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proofErr w:type="spellStart"/>
      <w:r w:rsidRPr="00FD015E">
        <w:rPr>
          <w:rFonts w:ascii="Arial" w:hAnsi="Arial" w:cs="Arial"/>
          <w:sz w:val="24"/>
        </w:rPr>
        <w:t>Cloke</w:t>
      </w:r>
      <w:proofErr w:type="spellEnd"/>
      <w:r w:rsidRPr="00FD015E">
        <w:rPr>
          <w:rFonts w:ascii="Arial" w:hAnsi="Arial" w:cs="Arial"/>
          <w:sz w:val="24"/>
        </w:rPr>
        <w:t xml:space="preserve">, P., </w:t>
      </w:r>
      <w:proofErr w:type="spellStart"/>
      <w:r w:rsidRPr="00FD015E">
        <w:rPr>
          <w:rFonts w:ascii="Arial" w:hAnsi="Arial" w:cs="Arial"/>
          <w:sz w:val="24"/>
        </w:rPr>
        <w:t>Crang</w:t>
      </w:r>
      <w:proofErr w:type="spellEnd"/>
      <w:r w:rsidRPr="00FD015E">
        <w:rPr>
          <w:rFonts w:ascii="Arial" w:hAnsi="Arial" w:cs="Arial"/>
          <w:sz w:val="24"/>
        </w:rPr>
        <w:t>, P. and Goodwin, M. (2013) (3rd Edition) Introducing Human Geographies. Routledge, London.</w:t>
      </w:r>
    </w:p>
    <w:p w14:paraId="08179946"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proofErr w:type="spellStart"/>
      <w:r w:rsidRPr="00FD015E">
        <w:rPr>
          <w:rFonts w:ascii="Arial" w:hAnsi="Arial" w:cs="Arial"/>
          <w:sz w:val="24"/>
        </w:rPr>
        <w:t>Cresswell</w:t>
      </w:r>
      <w:proofErr w:type="spellEnd"/>
      <w:r w:rsidRPr="00FD015E">
        <w:rPr>
          <w:rFonts w:ascii="Arial" w:hAnsi="Arial" w:cs="Arial"/>
          <w:sz w:val="24"/>
        </w:rPr>
        <w:t>, T. (2013) Geographic Thought: A Critical Introduction. Wiley, Chichester.</w:t>
      </w:r>
    </w:p>
    <w:p w14:paraId="0C5FC935"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r w:rsidRPr="00FD015E">
        <w:rPr>
          <w:rFonts w:ascii="Arial" w:hAnsi="Arial" w:cs="Arial"/>
          <w:sz w:val="24"/>
        </w:rPr>
        <w:t>Hubbard, P. and Kitchen, R. (2011) (2nd edition) Key thinkers in Space and Place. Sage, London.</w:t>
      </w:r>
    </w:p>
    <w:p w14:paraId="51B6A143"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i/>
          <w:sz w:val="24"/>
        </w:rPr>
      </w:pPr>
      <w:r w:rsidRPr="00FD015E">
        <w:rPr>
          <w:rFonts w:ascii="Arial" w:hAnsi="Arial" w:cs="Arial"/>
          <w:sz w:val="24"/>
        </w:rPr>
        <w:t xml:space="preserve">Plus selected articles from leading international academic journals such as </w:t>
      </w:r>
      <w:r w:rsidRPr="00FD015E">
        <w:rPr>
          <w:rFonts w:ascii="Arial" w:hAnsi="Arial" w:cs="Arial"/>
          <w:i/>
          <w:sz w:val="24"/>
        </w:rPr>
        <w:t xml:space="preserve">Transactions of the Institute of British Geographers; The Geographical Journal;  </w:t>
      </w:r>
      <w:proofErr w:type="spellStart"/>
      <w:r w:rsidRPr="00FD015E">
        <w:rPr>
          <w:rFonts w:ascii="Arial" w:hAnsi="Arial" w:cs="Arial"/>
          <w:i/>
          <w:sz w:val="24"/>
        </w:rPr>
        <w:t>Geojournal</w:t>
      </w:r>
      <w:proofErr w:type="spellEnd"/>
      <w:r w:rsidRPr="00FD015E">
        <w:rPr>
          <w:rFonts w:ascii="Arial" w:hAnsi="Arial" w:cs="Arial"/>
          <w:i/>
          <w:sz w:val="24"/>
        </w:rPr>
        <w:t>; Environment and Planning D: Society and Space; Progress in Human Geography</w:t>
      </w:r>
    </w:p>
    <w:p w14:paraId="66556B38" w14:textId="77777777" w:rsidR="00D93134" w:rsidRPr="00FD015E" w:rsidRDefault="00D93134" w:rsidP="00D93134">
      <w:pPr>
        <w:spacing w:after="120" w:line="240" w:lineRule="auto"/>
        <w:ind w:left="426" w:right="260"/>
        <w:jc w:val="both"/>
        <w:rPr>
          <w:rFonts w:ascii="Arial" w:hAnsi="Arial" w:cs="Arial"/>
          <w:sz w:val="24"/>
        </w:rPr>
      </w:pPr>
    </w:p>
    <w:p w14:paraId="75FF220D" w14:textId="34A44C6B" w:rsidR="00D93134" w:rsidRPr="00FD015E" w:rsidRDefault="008646C7" w:rsidP="00070500">
      <w:pPr>
        <w:numPr>
          <w:ilvl w:val="0"/>
          <w:numId w:val="12"/>
        </w:numPr>
        <w:spacing w:before="600" w:after="120" w:line="240" w:lineRule="auto"/>
        <w:ind w:left="510" w:hanging="510"/>
        <w:rPr>
          <w:rFonts w:ascii="Arial" w:hAnsi="Arial" w:cs="Arial"/>
          <w:i/>
          <w:iCs/>
          <w:sz w:val="24"/>
        </w:rPr>
      </w:pPr>
      <w:r w:rsidRPr="00FD015E">
        <w:rPr>
          <w:rFonts w:ascii="Arial" w:hAnsi="Arial" w:cs="Arial"/>
          <w:b/>
          <w:sz w:val="24"/>
        </w:rPr>
        <w:lastRenderedPageBreak/>
        <w:t>Contact Hour</w:t>
      </w:r>
      <w:r w:rsidR="00D93134" w:rsidRPr="00FD015E">
        <w:rPr>
          <w:rFonts w:ascii="Arial" w:hAnsi="Arial" w:cs="Arial"/>
          <w:b/>
          <w:sz w:val="24"/>
        </w:rPr>
        <w:t>s</w:t>
      </w:r>
    </w:p>
    <w:p w14:paraId="04A00CC0" w14:textId="61C6B552" w:rsidR="00D93134" w:rsidRPr="00FD015E" w:rsidRDefault="00D93134" w:rsidP="00070500">
      <w:pPr>
        <w:pStyle w:val="ListParagraph"/>
        <w:spacing w:before="120" w:after="120" w:line="240" w:lineRule="auto"/>
        <w:ind w:left="510" w:right="261"/>
        <w:contextualSpacing w:val="0"/>
        <w:rPr>
          <w:rFonts w:ascii="Arial" w:hAnsi="Arial" w:cs="Arial"/>
          <w:iCs/>
          <w:sz w:val="24"/>
        </w:rPr>
      </w:pPr>
      <w:r w:rsidRPr="00FD015E">
        <w:rPr>
          <w:rFonts w:ascii="Arial" w:hAnsi="Arial" w:cs="Arial"/>
          <w:iCs/>
          <w:sz w:val="24"/>
        </w:rPr>
        <w:t>Private Study:</w:t>
      </w:r>
      <w:r w:rsidR="008646C7" w:rsidRPr="00FD015E">
        <w:rPr>
          <w:rFonts w:ascii="Arial" w:hAnsi="Arial" w:cs="Arial"/>
          <w:iCs/>
          <w:sz w:val="24"/>
        </w:rPr>
        <w:tab/>
      </w:r>
      <w:r w:rsidRPr="00FD015E">
        <w:rPr>
          <w:rFonts w:ascii="Arial" w:hAnsi="Arial" w:cs="Arial"/>
          <w:iCs/>
          <w:sz w:val="24"/>
        </w:rPr>
        <w:t>128</w:t>
      </w:r>
    </w:p>
    <w:p w14:paraId="460DF774" w14:textId="1D1BAF69" w:rsidR="008646C7" w:rsidRPr="00FD015E" w:rsidRDefault="008646C7" w:rsidP="00070500">
      <w:pPr>
        <w:pStyle w:val="ListParagraph"/>
        <w:spacing w:before="120" w:after="120" w:line="240" w:lineRule="auto"/>
        <w:ind w:left="510" w:right="261"/>
        <w:contextualSpacing w:val="0"/>
        <w:rPr>
          <w:rFonts w:ascii="Arial" w:hAnsi="Arial" w:cs="Arial"/>
          <w:iCs/>
          <w:sz w:val="24"/>
        </w:rPr>
      </w:pPr>
      <w:r w:rsidRPr="00FD015E">
        <w:rPr>
          <w:rFonts w:ascii="Arial" w:hAnsi="Arial" w:cs="Arial"/>
          <w:iCs/>
          <w:sz w:val="24"/>
        </w:rPr>
        <w:t>Contact Hours:</w:t>
      </w:r>
      <w:r w:rsidRPr="00FD015E">
        <w:rPr>
          <w:rFonts w:ascii="Arial" w:hAnsi="Arial" w:cs="Arial"/>
          <w:iCs/>
          <w:sz w:val="24"/>
        </w:rPr>
        <w:tab/>
        <w:t xml:space="preserve">  22</w:t>
      </w:r>
    </w:p>
    <w:p w14:paraId="0B15C292" w14:textId="72E46F85" w:rsidR="00D93134" w:rsidRPr="00FD015E" w:rsidRDefault="00D93134" w:rsidP="00070500">
      <w:pPr>
        <w:pStyle w:val="ListParagraph"/>
        <w:spacing w:before="120" w:after="120" w:line="240" w:lineRule="auto"/>
        <w:ind w:left="510" w:right="261"/>
        <w:contextualSpacing w:val="0"/>
        <w:rPr>
          <w:rFonts w:ascii="Arial" w:hAnsi="Arial" w:cs="Arial"/>
          <w:iCs/>
          <w:sz w:val="24"/>
          <w:u w:val="single"/>
        </w:rPr>
      </w:pPr>
      <w:r w:rsidRPr="00FD015E">
        <w:rPr>
          <w:rFonts w:ascii="Arial" w:hAnsi="Arial" w:cs="Arial"/>
          <w:iCs/>
          <w:sz w:val="24"/>
        </w:rPr>
        <w:t>Total:</w:t>
      </w:r>
      <w:r w:rsidR="008646C7" w:rsidRPr="00FD015E">
        <w:rPr>
          <w:rFonts w:ascii="Arial" w:hAnsi="Arial" w:cs="Arial"/>
          <w:iCs/>
          <w:sz w:val="24"/>
        </w:rPr>
        <w:tab/>
      </w:r>
      <w:r w:rsidR="008646C7" w:rsidRPr="00FD015E">
        <w:rPr>
          <w:rFonts w:ascii="Arial" w:hAnsi="Arial" w:cs="Arial"/>
          <w:iCs/>
          <w:sz w:val="24"/>
        </w:rPr>
        <w:tab/>
      </w:r>
      <w:r w:rsidRPr="00FD015E">
        <w:rPr>
          <w:rFonts w:ascii="Arial" w:hAnsi="Arial" w:cs="Arial"/>
          <w:iCs/>
          <w:sz w:val="24"/>
        </w:rPr>
        <w:t>150</w:t>
      </w:r>
    </w:p>
    <w:p w14:paraId="1E2DCAA4" w14:textId="77777777" w:rsidR="00D93134" w:rsidRPr="00FD015E" w:rsidRDefault="00D93134" w:rsidP="00070500">
      <w:pPr>
        <w:numPr>
          <w:ilvl w:val="0"/>
          <w:numId w:val="12"/>
        </w:numPr>
        <w:spacing w:before="600" w:after="120" w:line="240" w:lineRule="auto"/>
        <w:ind w:left="510" w:hanging="510"/>
        <w:rPr>
          <w:rFonts w:ascii="Arial" w:hAnsi="Arial" w:cs="Arial"/>
          <w:b/>
          <w:i/>
          <w:iCs/>
          <w:sz w:val="24"/>
        </w:rPr>
      </w:pPr>
      <w:r w:rsidRPr="00FD015E">
        <w:rPr>
          <w:rFonts w:ascii="Arial" w:hAnsi="Arial" w:cs="Arial"/>
          <w:b/>
          <w:sz w:val="24"/>
        </w:rPr>
        <w:t>Assessment methods</w:t>
      </w:r>
    </w:p>
    <w:p w14:paraId="7D30D4BA" w14:textId="17806CF8" w:rsidR="00B64846" w:rsidRPr="005F7CA5" w:rsidRDefault="00B64846" w:rsidP="00B64846">
      <w:pPr>
        <w:numPr>
          <w:ilvl w:val="1"/>
          <w:numId w:val="15"/>
        </w:numPr>
        <w:pBdr>
          <w:top w:val="nil"/>
          <w:left w:val="nil"/>
          <w:bottom w:val="nil"/>
          <w:right w:val="nil"/>
          <w:between w:val="nil"/>
        </w:pBdr>
        <w:spacing w:after="120"/>
        <w:ind w:left="567" w:hanging="567"/>
        <w:rPr>
          <w:rFonts w:ascii="Arial" w:hAnsi="Arial" w:cs="Arial"/>
          <w:color w:val="000000"/>
          <w:sz w:val="24"/>
          <w:szCs w:val="24"/>
        </w:rPr>
      </w:pPr>
      <w:r w:rsidRPr="005F7CA5">
        <w:rPr>
          <w:rFonts w:ascii="Arial" w:hAnsi="Arial" w:cs="Arial"/>
          <w:color w:val="000000"/>
          <w:sz w:val="24"/>
          <w:szCs w:val="24"/>
        </w:rPr>
        <w:t>Main assessment methods</w:t>
      </w:r>
    </w:p>
    <w:p w14:paraId="5DC3B33E" w14:textId="11E6F260" w:rsidR="00D93134" w:rsidRPr="00FD015E" w:rsidRDefault="00D93134" w:rsidP="00B64846">
      <w:pPr>
        <w:pStyle w:val="ListParagraph"/>
        <w:numPr>
          <w:ilvl w:val="0"/>
          <w:numId w:val="16"/>
        </w:numPr>
        <w:spacing w:before="120" w:after="120" w:line="240" w:lineRule="auto"/>
        <w:contextualSpacing w:val="0"/>
        <w:rPr>
          <w:rFonts w:ascii="Arial" w:hAnsi="Arial" w:cs="Arial"/>
          <w:iCs/>
          <w:sz w:val="24"/>
        </w:rPr>
      </w:pPr>
      <w:r w:rsidRPr="00FD015E">
        <w:rPr>
          <w:rFonts w:ascii="Arial" w:hAnsi="Arial" w:cs="Arial"/>
          <w:iCs/>
          <w:sz w:val="24"/>
        </w:rPr>
        <w:t>Essay: 2000 words 40%</w:t>
      </w:r>
    </w:p>
    <w:p w14:paraId="37C03E2C" w14:textId="77777777" w:rsidR="00D93134" w:rsidRPr="00FD015E" w:rsidRDefault="00D93134" w:rsidP="00B64846">
      <w:pPr>
        <w:pStyle w:val="ListParagraph"/>
        <w:numPr>
          <w:ilvl w:val="0"/>
          <w:numId w:val="16"/>
        </w:numPr>
        <w:spacing w:before="120" w:after="120" w:line="240" w:lineRule="auto"/>
        <w:contextualSpacing w:val="0"/>
        <w:rPr>
          <w:rFonts w:ascii="Arial" w:hAnsi="Arial" w:cs="Arial"/>
          <w:iCs/>
          <w:sz w:val="24"/>
        </w:rPr>
      </w:pPr>
      <w:r w:rsidRPr="00FD015E">
        <w:rPr>
          <w:rFonts w:ascii="Arial" w:hAnsi="Arial" w:cs="Arial"/>
          <w:iCs/>
          <w:sz w:val="24"/>
        </w:rPr>
        <w:t>Exam: 2 hours 60%</w:t>
      </w:r>
    </w:p>
    <w:p w14:paraId="651DDFFF" w14:textId="77777777" w:rsidR="00D93134" w:rsidRPr="00FD015E" w:rsidRDefault="00D93134" w:rsidP="00D93134">
      <w:pPr>
        <w:pStyle w:val="ListParagraph"/>
        <w:ind w:left="426"/>
        <w:rPr>
          <w:rFonts w:ascii="Arial" w:hAnsi="Arial" w:cs="Arial"/>
          <w:iCs/>
          <w:sz w:val="24"/>
        </w:rPr>
      </w:pPr>
    </w:p>
    <w:p w14:paraId="46271473" w14:textId="6B533579" w:rsidR="00D93134" w:rsidRPr="00B64846" w:rsidRDefault="00D93134" w:rsidP="00B64846">
      <w:pPr>
        <w:pStyle w:val="ListParagraph"/>
        <w:ind w:left="567" w:hanging="567"/>
        <w:rPr>
          <w:rFonts w:ascii="Arial" w:hAnsi="Arial" w:cs="Arial"/>
          <w:bCs/>
          <w:iCs/>
          <w:sz w:val="24"/>
        </w:rPr>
      </w:pPr>
      <w:r w:rsidRPr="00FD015E">
        <w:rPr>
          <w:rFonts w:ascii="Arial" w:hAnsi="Arial" w:cs="Arial"/>
          <w:iCs/>
          <w:sz w:val="24"/>
        </w:rPr>
        <w:t>13.2</w:t>
      </w:r>
      <w:r w:rsidR="00B64846">
        <w:rPr>
          <w:rFonts w:ascii="Arial" w:hAnsi="Arial" w:cs="Arial"/>
          <w:b/>
          <w:iCs/>
          <w:sz w:val="24"/>
        </w:rPr>
        <w:tab/>
      </w:r>
      <w:r w:rsidRPr="00B64846">
        <w:rPr>
          <w:rFonts w:ascii="Arial" w:hAnsi="Arial" w:cs="Arial"/>
          <w:bCs/>
          <w:iCs/>
          <w:sz w:val="24"/>
        </w:rPr>
        <w:t xml:space="preserve">Reassessment Methods: </w:t>
      </w:r>
    </w:p>
    <w:p w14:paraId="64485F4F" w14:textId="77777777" w:rsidR="00D93134" w:rsidRPr="00FD015E" w:rsidRDefault="00D93134" w:rsidP="00B64846">
      <w:pPr>
        <w:pStyle w:val="ListParagraph"/>
        <w:numPr>
          <w:ilvl w:val="0"/>
          <w:numId w:val="17"/>
        </w:numPr>
        <w:rPr>
          <w:rFonts w:ascii="Arial" w:hAnsi="Arial" w:cs="Arial"/>
          <w:iCs/>
          <w:sz w:val="24"/>
        </w:rPr>
      </w:pPr>
      <w:r w:rsidRPr="00FD015E">
        <w:rPr>
          <w:rFonts w:ascii="Arial" w:hAnsi="Arial" w:cs="Arial"/>
          <w:iCs/>
          <w:sz w:val="24"/>
        </w:rPr>
        <w:t>Like-for-Like</w:t>
      </w:r>
    </w:p>
    <w:p w14:paraId="5BE6D12B" w14:textId="02B02201" w:rsidR="00D93134" w:rsidRDefault="00D93134" w:rsidP="00B64846">
      <w:pPr>
        <w:numPr>
          <w:ilvl w:val="0"/>
          <w:numId w:val="12"/>
        </w:numPr>
        <w:spacing w:before="600" w:after="120" w:line="240" w:lineRule="auto"/>
        <w:ind w:left="510" w:hanging="510"/>
        <w:rPr>
          <w:rFonts w:ascii="Arial" w:hAnsi="Arial" w:cs="Arial"/>
          <w:b/>
          <w:iCs/>
          <w:sz w:val="24"/>
        </w:rPr>
      </w:pPr>
      <w:r w:rsidRPr="00FD015E">
        <w:rPr>
          <w:rFonts w:ascii="Arial" w:hAnsi="Arial" w:cs="Arial"/>
          <w:b/>
          <w:iCs/>
          <w:sz w:val="24"/>
        </w:rPr>
        <w:t xml:space="preserve">Map of </w:t>
      </w:r>
      <w:r w:rsidR="008C3B6A" w:rsidRPr="00FD015E">
        <w:rPr>
          <w:rFonts w:ascii="Arial" w:hAnsi="Arial" w:cs="Arial"/>
          <w:b/>
          <w:iCs/>
          <w:sz w:val="24"/>
        </w:rPr>
        <w:t xml:space="preserve">module learning outcomes (sections </w:t>
      </w:r>
      <w:r w:rsidR="00B64846">
        <w:rPr>
          <w:rFonts w:ascii="Arial" w:hAnsi="Arial" w:cs="Arial"/>
          <w:b/>
          <w:iCs/>
          <w:sz w:val="24"/>
        </w:rPr>
        <w:t>8 and 9</w:t>
      </w:r>
      <w:r w:rsidR="008C3B6A" w:rsidRPr="00FD015E">
        <w:rPr>
          <w:rFonts w:ascii="Arial" w:hAnsi="Arial" w:cs="Arial"/>
          <w:b/>
          <w:iCs/>
          <w:sz w:val="24"/>
        </w:rPr>
        <w:t>) to learning and teaching methods and methods of assessment (section 1</w:t>
      </w:r>
      <w:r w:rsidR="00B64846">
        <w:rPr>
          <w:rFonts w:ascii="Arial" w:hAnsi="Arial" w:cs="Arial"/>
          <w:b/>
          <w:iCs/>
          <w:sz w:val="24"/>
        </w:rPr>
        <w:t>3</w:t>
      </w:r>
      <w:r w:rsidR="008C3B6A" w:rsidRPr="00FD015E">
        <w:rPr>
          <w:rFonts w:ascii="Arial" w:hAnsi="Arial" w:cs="Arial"/>
          <w:b/>
          <w:iCs/>
          <w:sz w:val="24"/>
        </w:rPr>
        <w:t>)</w:t>
      </w:r>
    </w:p>
    <w:tbl>
      <w:tblPr>
        <w:tblStyle w:val="TableGrid"/>
        <w:tblpPr w:leftFromText="180" w:rightFromText="180" w:vertAnchor="text" w:horzAnchor="margin" w:tblpXSpec="center" w:tblpY="1014"/>
        <w:tblW w:w="9634" w:type="dxa"/>
        <w:tblLayout w:type="fixed"/>
        <w:tblLook w:val="04A0" w:firstRow="1" w:lastRow="0" w:firstColumn="1" w:lastColumn="0" w:noHBand="0" w:noVBand="1"/>
      </w:tblPr>
      <w:tblGrid>
        <w:gridCol w:w="2263"/>
        <w:gridCol w:w="1053"/>
        <w:gridCol w:w="1053"/>
        <w:gridCol w:w="1053"/>
        <w:gridCol w:w="1053"/>
        <w:gridCol w:w="1053"/>
        <w:gridCol w:w="1053"/>
        <w:gridCol w:w="1053"/>
      </w:tblGrid>
      <w:tr w:rsidR="00B64846" w:rsidRPr="00302082" w14:paraId="607C423B" w14:textId="77777777" w:rsidTr="009A18FF">
        <w:tc>
          <w:tcPr>
            <w:tcW w:w="2263" w:type="dxa"/>
            <w:shd w:val="clear" w:color="auto" w:fill="D9D9D9" w:themeFill="background1" w:themeFillShade="D9"/>
          </w:tcPr>
          <w:p w14:paraId="6A0BF3A1" w14:textId="77777777" w:rsidR="00B64846" w:rsidRPr="009A18FF" w:rsidRDefault="00B64846" w:rsidP="009A18FF">
            <w:pPr>
              <w:spacing w:after="120"/>
              <w:ind w:left="33"/>
              <w:rPr>
                <w:rFonts w:ascii="Arial" w:hAnsi="Arial" w:cs="Arial"/>
                <w:b/>
              </w:rPr>
            </w:pPr>
            <w:r w:rsidRPr="009A18FF">
              <w:rPr>
                <w:rFonts w:ascii="Arial" w:hAnsi="Arial" w:cs="Arial"/>
                <w:b/>
              </w:rPr>
              <w:t>Module learning outcome</w:t>
            </w:r>
          </w:p>
        </w:tc>
        <w:tc>
          <w:tcPr>
            <w:tcW w:w="1053" w:type="dxa"/>
          </w:tcPr>
          <w:p w14:paraId="678E6477" w14:textId="77777777" w:rsidR="00B64846" w:rsidRPr="009A18FF" w:rsidRDefault="00B64846" w:rsidP="009A18FF">
            <w:pPr>
              <w:spacing w:after="120"/>
              <w:jc w:val="center"/>
              <w:rPr>
                <w:rFonts w:ascii="Arial" w:hAnsi="Arial" w:cs="Arial"/>
                <w:iCs/>
              </w:rPr>
            </w:pPr>
            <w:r w:rsidRPr="009A18FF">
              <w:rPr>
                <w:rFonts w:ascii="Arial" w:hAnsi="Arial" w:cs="Arial"/>
                <w:iCs/>
              </w:rPr>
              <w:t>8.1</w:t>
            </w:r>
          </w:p>
        </w:tc>
        <w:tc>
          <w:tcPr>
            <w:tcW w:w="1053" w:type="dxa"/>
          </w:tcPr>
          <w:p w14:paraId="5CB12888" w14:textId="77777777" w:rsidR="00B64846" w:rsidRPr="009A18FF" w:rsidRDefault="00B64846" w:rsidP="009A18FF">
            <w:pPr>
              <w:spacing w:after="120"/>
              <w:jc w:val="center"/>
              <w:rPr>
                <w:rFonts w:ascii="Arial" w:hAnsi="Arial" w:cs="Arial"/>
                <w:iCs/>
              </w:rPr>
            </w:pPr>
            <w:r w:rsidRPr="009A18FF">
              <w:rPr>
                <w:rFonts w:ascii="Arial" w:hAnsi="Arial" w:cs="Arial"/>
                <w:iCs/>
              </w:rPr>
              <w:t>8.2</w:t>
            </w:r>
          </w:p>
        </w:tc>
        <w:tc>
          <w:tcPr>
            <w:tcW w:w="1053" w:type="dxa"/>
          </w:tcPr>
          <w:p w14:paraId="136CDA8D" w14:textId="77777777" w:rsidR="00B64846" w:rsidRPr="009A18FF" w:rsidRDefault="00B64846" w:rsidP="009A18FF">
            <w:pPr>
              <w:spacing w:after="120"/>
              <w:jc w:val="center"/>
              <w:rPr>
                <w:rFonts w:ascii="Arial" w:hAnsi="Arial" w:cs="Arial"/>
                <w:iCs/>
              </w:rPr>
            </w:pPr>
            <w:r w:rsidRPr="009A18FF">
              <w:rPr>
                <w:rFonts w:ascii="Arial" w:hAnsi="Arial" w:cs="Arial"/>
                <w:iCs/>
              </w:rPr>
              <w:t>8.3</w:t>
            </w:r>
          </w:p>
        </w:tc>
        <w:tc>
          <w:tcPr>
            <w:tcW w:w="1053" w:type="dxa"/>
          </w:tcPr>
          <w:p w14:paraId="52091156" w14:textId="77777777" w:rsidR="00B64846" w:rsidRPr="009A18FF" w:rsidRDefault="00B64846" w:rsidP="009A18FF">
            <w:pPr>
              <w:spacing w:after="120"/>
              <w:jc w:val="center"/>
              <w:rPr>
                <w:rFonts w:ascii="Arial" w:hAnsi="Arial" w:cs="Arial"/>
                <w:iCs/>
              </w:rPr>
            </w:pPr>
            <w:r w:rsidRPr="009A18FF">
              <w:rPr>
                <w:rFonts w:ascii="Arial" w:hAnsi="Arial" w:cs="Arial"/>
                <w:iCs/>
              </w:rPr>
              <w:t>8.4</w:t>
            </w:r>
          </w:p>
        </w:tc>
        <w:tc>
          <w:tcPr>
            <w:tcW w:w="1053" w:type="dxa"/>
          </w:tcPr>
          <w:p w14:paraId="40EB0056" w14:textId="77777777" w:rsidR="00B64846" w:rsidRPr="009A18FF" w:rsidRDefault="00B64846" w:rsidP="009A18FF">
            <w:pPr>
              <w:spacing w:after="120"/>
              <w:jc w:val="center"/>
              <w:rPr>
                <w:rFonts w:ascii="Arial" w:hAnsi="Arial" w:cs="Arial"/>
                <w:iCs/>
              </w:rPr>
            </w:pPr>
            <w:r w:rsidRPr="009A18FF">
              <w:rPr>
                <w:rFonts w:ascii="Arial" w:hAnsi="Arial" w:cs="Arial"/>
                <w:iCs/>
              </w:rPr>
              <w:t>9.1</w:t>
            </w:r>
          </w:p>
        </w:tc>
        <w:tc>
          <w:tcPr>
            <w:tcW w:w="1053" w:type="dxa"/>
          </w:tcPr>
          <w:p w14:paraId="1278B2E5" w14:textId="77777777" w:rsidR="00B64846" w:rsidRPr="009A18FF" w:rsidRDefault="00B64846" w:rsidP="009A18FF">
            <w:pPr>
              <w:spacing w:after="120"/>
              <w:jc w:val="center"/>
              <w:rPr>
                <w:rFonts w:ascii="Arial" w:hAnsi="Arial" w:cs="Arial"/>
                <w:iCs/>
              </w:rPr>
            </w:pPr>
            <w:r w:rsidRPr="009A18FF">
              <w:rPr>
                <w:rFonts w:ascii="Arial" w:hAnsi="Arial" w:cs="Arial"/>
                <w:iCs/>
              </w:rPr>
              <w:t>9.2</w:t>
            </w:r>
          </w:p>
        </w:tc>
        <w:tc>
          <w:tcPr>
            <w:tcW w:w="1053" w:type="dxa"/>
          </w:tcPr>
          <w:p w14:paraId="3B73B1E4" w14:textId="77777777" w:rsidR="00B64846" w:rsidRPr="009A18FF" w:rsidRDefault="00B64846" w:rsidP="009A18FF">
            <w:pPr>
              <w:spacing w:after="120"/>
              <w:jc w:val="center"/>
              <w:rPr>
                <w:rFonts w:ascii="Arial" w:hAnsi="Arial" w:cs="Arial"/>
                <w:iCs/>
              </w:rPr>
            </w:pPr>
            <w:r w:rsidRPr="009A18FF">
              <w:rPr>
                <w:rFonts w:ascii="Arial" w:hAnsi="Arial" w:cs="Arial"/>
                <w:iCs/>
              </w:rPr>
              <w:t>9.3</w:t>
            </w:r>
          </w:p>
        </w:tc>
      </w:tr>
      <w:tr w:rsidR="00B64846" w:rsidRPr="00302082" w14:paraId="04ABCCC5" w14:textId="77777777" w:rsidTr="009A18FF">
        <w:tc>
          <w:tcPr>
            <w:tcW w:w="2263" w:type="dxa"/>
          </w:tcPr>
          <w:p w14:paraId="205F5BA8" w14:textId="77777777" w:rsidR="00B64846" w:rsidRPr="009A18FF" w:rsidRDefault="00B64846" w:rsidP="009A18FF">
            <w:pPr>
              <w:spacing w:after="120"/>
              <w:rPr>
                <w:rFonts w:ascii="Arial" w:hAnsi="Arial" w:cs="Arial"/>
              </w:rPr>
            </w:pPr>
            <w:r w:rsidRPr="009A18FF">
              <w:rPr>
                <w:rFonts w:ascii="Arial" w:hAnsi="Arial" w:cs="Arial"/>
              </w:rPr>
              <w:t>Lectures</w:t>
            </w:r>
          </w:p>
        </w:tc>
        <w:tc>
          <w:tcPr>
            <w:tcW w:w="1053" w:type="dxa"/>
          </w:tcPr>
          <w:p w14:paraId="054BFC79" w14:textId="1F44775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F216986" w14:textId="4B922A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FDA2307" w14:textId="1F4DAF01"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E7EAC37" w14:textId="57EE7261"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5CA1B0AA" w14:textId="77777777" w:rsidR="00B64846" w:rsidRPr="009A18FF" w:rsidRDefault="00B64846" w:rsidP="009A18FF">
            <w:pPr>
              <w:spacing w:after="120"/>
              <w:jc w:val="center"/>
              <w:rPr>
                <w:rFonts w:ascii="Arial" w:hAnsi="Arial" w:cs="Arial"/>
                <w:b/>
              </w:rPr>
            </w:pPr>
          </w:p>
        </w:tc>
        <w:tc>
          <w:tcPr>
            <w:tcW w:w="1053" w:type="dxa"/>
          </w:tcPr>
          <w:p w14:paraId="42035F2C" w14:textId="265E6938"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666E6AA" w14:textId="4182AC51" w:rsidR="00B64846" w:rsidRPr="009A18FF" w:rsidRDefault="009A18FF" w:rsidP="009A18FF">
            <w:pPr>
              <w:spacing w:after="120"/>
              <w:jc w:val="center"/>
              <w:rPr>
                <w:rFonts w:ascii="Arial" w:hAnsi="Arial" w:cs="Arial"/>
                <w:b/>
              </w:rPr>
            </w:pPr>
            <w:r w:rsidRPr="009A18FF">
              <w:rPr>
                <w:rFonts w:ascii="Arial" w:hAnsi="Arial" w:cs="Arial"/>
                <w:b/>
              </w:rPr>
              <w:t>x</w:t>
            </w:r>
          </w:p>
        </w:tc>
      </w:tr>
      <w:tr w:rsidR="00B64846" w:rsidRPr="00302082" w14:paraId="07B437ED" w14:textId="77777777" w:rsidTr="009A18FF">
        <w:tc>
          <w:tcPr>
            <w:tcW w:w="2263" w:type="dxa"/>
          </w:tcPr>
          <w:p w14:paraId="4DDB6035" w14:textId="77777777" w:rsidR="00B64846" w:rsidRPr="009A18FF" w:rsidRDefault="00B64846" w:rsidP="009A18FF">
            <w:pPr>
              <w:spacing w:after="120"/>
              <w:rPr>
                <w:rFonts w:ascii="Arial" w:hAnsi="Arial" w:cs="Arial"/>
              </w:rPr>
            </w:pPr>
            <w:r w:rsidRPr="009A18FF">
              <w:rPr>
                <w:rFonts w:ascii="Arial" w:hAnsi="Arial" w:cs="Arial"/>
              </w:rPr>
              <w:t>Seminars</w:t>
            </w:r>
          </w:p>
        </w:tc>
        <w:tc>
          <w:tcPr>
            <w:tcW w:w="1053" w:type="dxa"/>
          </w:tcPr>
          <w:p w14:paraId="7406A565" w14:textId="67985C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3E041338" w14:textId="0245A34C"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3D622B2D" w14:textId="54B479E0"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A1F4366" w14:textId="63636098"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C698908" w14:textId="48260A1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7BABDD1" w14:textId="2D120F0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210C075" w14:textId="0933DE33" w:rsidR="00B64846" w:rsidRPr="009A18FF" w:rsidRDefault="009A18FF" w:rsidP="009A18FF">
            <w:pPr>
              <w:spacing w:after="120"/>
              <w:jc w:val="center"/>
              <w:rPr>
                <w:rFonts w:ascii="Arial" w:hAnsi="Arial" w:cs="Arial"/>
                <w:b/>
              </w:rPr>
            </w:pPr>
            <w:r w:rsidRPr="009A18FF">
              <w:rPr>
                <w:rFonts w:ascii="Arial" w:hAnsi="Arial" w:cs="Arial"/>
                <w:b/>
              </w:rPr>
              <w:t>x</w:t>
            </w:r>
          </w:p>
        </w:tc>
      </w:tr>
      <w:tr w:rsidR="00B64846" w:rsidRPr="00302082" w14:paraId="0571FC04" w14:textId="77777777" w:rsidTr="009A18FF">
        <w:tc>
          <w:tcPr>
            <w:tcW w:w="2263" w:type="dxa"/>
          </w:tcPr>
          <w:p w14:paraId="27D23679" w14:textId="77777777" w:rsidR="00B64846" w:rsidRPr="009A18FF" w:rsidRDefault="00B64846" w:rsidP="009A18FF">
            <w:pPr>
              <w:spacing w:after="120"/>
              <w:rPr>
                <w:rFonts w:ascii="Arial" w:hAnsi="Arial" w:cs="Arial"/>
                <w:i/>
              </w:rPr>
            </w:pPr>
            <w:r w:rsidRPr="009A18FF">
              <w:rPr>
                <w:rFonts w:ascii="Arial" w:hAnsi="Arial" w:cs="Arial"/>
              </w:rPr>
              <w:t>Private Study</w:t>
            </w:r>
          </w:p>
        </w:tc>
        <w:tc>
          <w:tcPr>
            <w:tcW w:w="1053" w:type="dxa"/>
          </w:tcPr>
          <w:p w14:paraId="46807C59" w14:textId="1ADB9829"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A2F4B9B" w14:textId="5E99B0A9"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3745B05" w14:textId="3145CC92"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1D47CE5" w14:textId="0A6C806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FC8523A" w14:textId="147620F2"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30770C8" w14:textId="6AD6FB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0F7E9049" w14:textId="77777777" w:rsidR="00B64846" w:rsidRPr="009A18FF" w:rsidRDefault="00B64846" w:rsidP="009A18FF">
            <w:pPr>
              <w:spacing w:after="120"/>
              <w:jc w:val="center"/>
              <w:rPr>
                <w:rFonts w:ascii="Arial" w:hAnsi="Arial" w:cs="Arial"/>
              </w:rPr>
            </w:pPr>
          </w:p>
        </w:tc>
      </w:tr>
    </w:tbl>
    <w:p w14:paraId="58386C8C" w14:textId="77777777" w:rsidR="00B64846" w:rsidRDefault="00B64846" w:rsidP="009A18FF">
      <w:pPr>
        <w:spacing w:before="240" w:after="360" w:line="240" w:lineRule="auto"/>
        <w:ind w:left="567" w:right="261"/>
        <w:jc w:val="both"/>
        <w:rPr>
          <w:rFonts w:ascii="Arial" w:hAnsi="Arial" w:cs="Arial"/>
          <w:b/>
          <w:bCs/>
          <w:sz w:val="24"/>
          <w:szCs w:val="24"/>
        </w:rPr>
      </w:pPr>
      <w:bookmarkStart w:id="1" w:name="_Hlk94614790"/>
      <w:r w:rsidRPr="00636058">
        <w:rPr>
          <w:rFonts w:ascii="Arial" w:hAnsi="Arial" w:cs="Arial"/>
          <w:b/>
          <w:bCs/>
          <w:sz w:val="24"/>
          <w:szCs w:val="24"/>
        </w:rPr>
        <w:t>Module learning outcomes against learning and teaching methods:</w:t>
      </w:r>
    </w:p>
    <w:bookmarkEnd w:id="1"/>
    <w:p w14:paraId="76780BB8" w14:textId="766676D8" w:rsidR="00B64846" w:rsidRDefault="00B64846"/>
    <w:p w14:paraId="6521B16E" w14:textId="77777777" w:rsidR="009A18FF" w:rsidRDefault="009A18FF" w:rsidP="009A18FF">
      <w:pPr>
        <w:spacing w:after="360" w:line="240" w:lineRule="auto"/>
        <w:ind w:left="425" w:right="544" w:firstLine="142"/>
        <w:rPr>
          <w:rFonts w:ascii="Arial" w:hAnsi="Arial" w:cs="Arial"/>
          <w:b/>
          <w:iCs/>
          <w:sz w:val="24"/>
          <w:szCs w:val="24"/>
        </w:rPr>
      </w:pPr>
      <w:bookmarkStart w:id="2" w:name="_Hlk93655682"/>
      <w:bookmarkStart w:id="3" w:name="_Hlk94614832"/>
      <w:r>
        <w:rPr>
          <w:rFonts w:ascii="Arial" w:hAnsi="Arial" w:cs="Arial"/>
          <w:b/>
          <w:iCs/>
          <w:sz w:val="24"/>
          <w:szCs w:val="24"/>
        </w:rPr>
        <w:t>Module learning outcomes against assessment methods:</w:t>
      </w:r>
      <w:bookmarkEnd w:id="2"/>
    </w:p>
    <w:tbl>
      <w:tblPr>
        <w:tblStyle w:val="TableGrid"/>
        <w:tblpPr w:leftFromText="180" w:rightFromText="180" w:vertAnchor="text" w:horzAnchor="margin" w:tblpXSpec="center" w:tblpY="315"/>
        <w:tblW w:w="9634" w:type="dxa"/>
        <w:tblLayout w:type="fixed"/>
        <w:tblLook w:val="04A0" w:firstRow="1" w:lastRow="0" w:firstColumn="1" w:lastColumn="0" w:noHBand="0" w:noVBand="1"/>
      </w:tblPr>
      <w:tblGrid>
        <w:gridCol w:w="2263"/>
        <w:gridCol w:w="1053"/>
        <w:gridCol w:w="1053"/>
        <w:gridCol w:w="1053"/>
        <w:gridCol w:w="1053"/>
        <w:gridCol w:w="1053"/>
        <w:gridCol w:w="1053"/>
        <w:gridCol w:w="1053"/>
      </w:tblGrid>
      <w:tr w:rsidR="009A18FF" w:rsidRPr="00302082" w14:paraId="213A10E7" w14:textId="77777777" w:rsidTr="009A18FF">
        <w:tc>
          <w:tcPr>
            <w:tcW w:w="2263" w:type="dxa"/>
            <w:shd w:val="clear" w:color="auto" w:fill="D9D9D9" w:themeFill="background1" w:themeFillShade="D9"/>
          </w:tcPr>
          <w:bookmarkEnd w:id="3"/>
          <w:p w14:paraId="4CFF98F0" w14:textId="73DF43C0" w:rsidR="009A18FF" w:rsidRPr="009A18FF" w:rsidRDefault="009A18FF" w:rsidP="009A18FF">
            <w:pPr>
              <w:spacing w:after="120"/>
              <w:rPr>
                <w:rFonts w:ascii="Arial" w:hAnsi="Arial" w:cs="Arial"/>
                <w:b/>
              </w:rPr>
            </w:pPr>
            <w:r w:rsidRPr="009A18FF">
              <w:rPr>
                <w:rFonts w:ascii="Arial" w:hAnsi="Arial" w:cs="Arial"/>
                <w:b/>
              </w:rPr>
              <w:t>Module learning outcome</w:t>
            </w:r>
          </w:p>
        </w:tc>
        <w:tc>
          <w:tcPr>
            <w:tcW w:w="1053" w:type="dxa"/>
          </w:tcPr>
          <w:p w14:paraId="049B0343" w14:textId="57370DF7" w:rsidR="009A18FF" w:rsidRPr="009A18FF" w:rsidRDefault="009A18FF" w:rsidP="009A18FF">
            <w:pPr>
              <w:spacing w:after="120"/>
              <w:rPr>
                <w:rFonts w:ascii="Arial" w:hAnsi="Arial" w:cs="Arial"/>
                <w:b/>
              </w:rPr>
            </w:pPr>
            <w:r w:rsidRPr="009A18FF">
              <w:rPr>
                <w:rFonts w:ascii="Arial" w:hAnsi="Arial" w:cs="Arial"/>
                <w:iCs/>
              </w:rPr>
              <w:t>8.1</w:t>
            </w:r>
          </w:p>
        </w:tc>
        <w:tc>
          <w:tcPr>
            <w:tcW w:w="1053" w:type="dxa"/>
          </w:tcPr>
          <w:p w14:paraId="49D8CD2C" w14:textId="761FA840" w:rsidR="009A18FF" w:rsidRPr="009A18FF" w:rsidRDefault="009A18FF" w:rsidP="009A18FF">
            <w:pPr>
              <w:spacing w:after="120"/>
              <w:rPr>
                <w:rFonts w:ascii="Arial" w:hAnsi="Arial" w:cs="Arial"/>
                <w:b/>
              </w:rPr>
            </w:pPr>
            <w:r w:rsidRPr="009A18FF">
              <w:rPr>
                <w:rFonts w:ascii="Arial" w:hAnsi="Arial" w:cs="Arial"/>
                <w:iCs/>
              </w:rPr>
              <w:t>8.2</w:t>
            </w:r>
          </w:p>
        </w:tc>
        <w:tc>
          <w:tcPr>
            <w:tcW w:w="1053" w:type="dxa"/>
          </w:tcPr>
          <w:p w14:paraId="1D43F4CB" w14:textId="37869231" w:rsidR="009A18FF" w:rsidRPr="009A18FF" w:rsidRDefault="009A18FF" w:rsidP="009A18FF">
            <w:pPr>
              <w:spacing w:after="120"/>
              <w:rPr>
                <w:rFonts w:ascii="Arial" w:hAnsi="Arial" w:cs="Arial"/>
                <w:b/>
              </w:rPr>
            </w:pPr>
            <w:r w:rsidRPr="009A18FF">
              <w:rPr>
                <w:rFonts w:ascii="Arial" w:hAnsi="Arial" w:cs="Arial"/>
                <w:iCs/>
              </w:rPr>
              <w:t>8.3</w:t>
            </w:r>
          </w:p>
        </w:tc>
        <w:tc>
          <w:tcPr>
            <w:tcW w:w="1053" w:type="dxa"/>
          </w:tcPr>
          <w:p w14:paraId="5312C11F" w14:textId="40A32DDA" w:rsidR="009A18FF" w:rsidRPr="009A18FF" w:rsidRDefault="009A18FF" w:rsidP="009A18FF">
            <w:pPr>
              <w:spacing w:after="120"/>
              <w:rPr>
                <w:rFonts w:ascii="Arial" w:hAnsi="Arial" w:cs="Arial"/>
                <w:b/>
              </w:rPr>
            </w:pPr>
            <w:r w:rsidRPr="009A18FF">
              <w:rPr>
                <w:rFonts w:ascii="Arial" w:hAnsi="Arial" w:cs="Arial"/>
                <w:iCs/>
              </w:rPr>
              <w:t>8.4</w:t>
            </w:r>
          </w:p>
        </w:tc>
        <w:tc>
          <w:tcPr>
            <w:tcW w:w="1053" w:type="dxa"/>
          </w:tcPr>
          <w:p w14:paraId="1187B701" w14:textId="4F22EC0C" w:rsidR="009A18FF" w:rsidRPr="009A18FF" w:rsidRDefault="009A18FF" w:rsidP="009A18FF">
            <w:pPr>
              <w:spacing w:after="120"/>
              <w:rPr>
                <w:rFonts w:ascii="Arial" w:hAnsi="Arial" w:cs="Arial"/>
                <w:b/>
              </w:rPr>
            </w:pPr>
            <w:r w:rsidRPr="009A18FF">
              <w:rPr>
                <w:rFonts w:ascii="Arial" w:hAnsi="Arial" w:cs="Arial"/>
                <w:iCs/>
              </w:rPr>
              <w:t>9.1</w:t>
            </w:r>
          </w:p>
        </w:tc>
        <w:tc>
          <w:tcPr>
            <w:tcW w:w="1053" w:type="dxa"/>
          </w:tcPr>
          <w:p w14:paraId="1E8454B1" w14:textId="09C658C3" w:rsidR="009A18FF" w:rsidRPr="009A18FF" w:rsidRDefault="009A18FF" w:rsidP="009A18FF">
            <w:pPr>
              <w:spacing w:after="120"/>
              <w:rPr>
                <w:rFonts w:ascii="Arial" w:hAnsi="Arial" w:cs="Arial"/>
                <w:b/>
              </w:rPr>
            </w:pPr>
            <w:r w:rsidRPr="009A18FF">
              <w:rPr>
                <w:rFonts w:ascii="Arial" w:hAnsi="Arial" w:cs="Arial"/>
                <w:iCs/>
              </w:rPr>
              <w:t>9.2</w:t>
            </w:r>
          </w:p>
        </w:tc>
        <w:tc>
          <w:tcPr>
            <w:tcW w:w="1053" w:type="dxa"/>
          </w:tcPr>
          <w:p w14:paraId="55B1CE09" w14:textId="1947E07F" w:rsidR="009A18FF" w:rsidRPr="009A18FF" w:rsidRDefault="009A18FF" w:rsidP="009A18FF">
            <w:pPr>
              <w:spacing w:after="120"/>
              <w:rPr>
                <w:rFonts w:ascii="Arial" w:hAnsi="Arial" w:cs="Arial"/>
                <w:b/>
              </w:rPr>
            </w:pPr>
            <w:r w:rsidRPr="009A18FF">
              <w:rPr>
                <w:rFonts w:ascii="Arial" w:hAnsi="Arial" w:cs="Arial"/>
                <w:iCs/>
              </w:rPr>
              <w:t>9.3</w:t>
            </w:r>
          </w:p>
        </w:tc>
      </w:tr>
      <w:tr w:rsidR="009A18FF" w:rsidRPr="00302082" w14:paraId="468A2417" w14:textId="77777777" w:rsidTr="009A18FF">
        <w:tc>
          <w:tcPr>
            <w:tcW w:w="2263" w:type="dxa"/>
          </w:tcPr>
          <w:p w14:paraId="4BA73B65" w14:textId="77777777" w:rsidR="009A18FF" w:rsidRPr="009A18FF" w:rsidRDefault="009A18FF" w:rsidP="009A18FF">
            <w:pPr>
              <w:spacing w:after="120"/>
              <w:rPr>
                <w:rFonts w:ascii="Arial" w:hAnsi="Arial" w:cs="Arial"/>
                <w:iCs/>
              </w:rPr>
            </w:pPr>
            <w:r w:rsidRPr="009A18FF">
              <w:rPr>
                <w:rFonts w:ascii="Arial" w:hAnsi="Arial" w:cs="Arial"/>
                <w:iCs/>
              </w:rPr>
              <w:t>Essay</w:t>
            </w:r>
          </w:p>
        </w:tc>
        <w:tc>
          <w:tcPr>
            <w:tcW w:w="1053" w:type="dxa"/>
          </w:tcPr>
          <w:p w14:paraId="699E647C" w14:textId="4368332B"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C81DE3B" w14:textId="334726B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3780EF" w14:textId="305E3BB4"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55A2245" w14:textId="705F7AA4"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E19BEB" w14:textId="470599E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3273ABE" w14:textId="332A728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30589F4" w14:textId="086AB89D" w:rsidR="009A18FF" w:rsidRPr="009A18FF" w:rsidRDefault="009A18FF" w:rsidP="009A18FF">
            <w:pPr>
              <w:spacing w:after="120"/>
              <w:jc w:val="center"/>
              <w:rPr>
                <w:rFonts w:ascii="Arial" w:hAnsi="Arial" w:cs="Arial"/>
                <w:b/>
              </w:rPr>
            </w:pPr>
            <w:r w:rsidRPr="009A18FF">
              <w:rPr>
                <w:rFonts w:ascii="Arial" w:hAnsi="Arial" w:cs="Arial"/>
                <w:b/>
              </w:rPr>
              <w:t>x</w:t>
            </w:r>
          </w:p>
        </w:tc>
      </w:tr>
      <w:tr w:rsidR="009A18FF" w:rsidRPr="00302082" w14:paraId="6AD02378" w14:textId="77777777" w:rsidTr="009A18FF">
        <w:tc>
          <w:tcPr>
            <w:tcW w:w="2263" w:type="dxa"/>
          </w:tcPr>
          <w:p w14:paraId="3C976703" w14:textId="77777777" w:rsidR="009A18FF" w:rsidRPr="009A18FF" w:rsidRDefault="009A18FF" w:rsidP="009A18FF">
            <w:pPr>
              <w:spacing w:after="120"/>
              <w:rPr>
                <w:rFonts w:ascii="Arial" w:hAnsi="Arial" w:cs="Arial"/>
                <w:iCs/>
              </w:rPr>
            </w:pPr>
            <w:r w:rsidRPr="009A18FF">
              <w:rPr>
                <w:rFonts w:ascii="Arial" w:hAnsi="Arial" w:cs="Arial"/>
                <w:iCs/>
              </w:rPr>
              <w:t>Examination</w:t>
            </w:r>
          </w:p>
        </w:tc>
        <w:tc>
          <w:tcPr>
            <w:tcW w:w="1053" w:type="dxa"/>
          </w:tcPr>
          <w:p w14:paraId="1757C412" w14:textId="063FF4FD"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09A22F" w14:textId="2BCE08A2"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59FAF08" w14:textId="72BA03DA"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2A0A8419" w14:textId="62CF490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07A83C7" w14:textId="33F48F91"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271E5B30" w14:textId="20B0169A"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529CF782" w14:textId="606F74FE" w:rsidR="009A18FF" w:rsidRPr="009A18FF" w:rsidRDefault="009A18FF" w:rsidP="009A18FF">
            <w:pPr>
              <w:spacing w:after="120"/>
              <w:jc w:val="center"/>
              <w:rPr>
                <w:rFonts w:ascii="Arial" w:hAnsi="Arial" w:cs="Arial"/>
                <w:b/>
              </w:rPr>
            </w:pPr>
            <w:r w:rsidRPr="009A18FF">
              <w:rPr>
                <w:rFonts w:ascii="Arial" w:hAnsi="Arial" w:cs="Arial"/>
                <w:b/>
              </w:rPr>
              <w:t>x</w:t>
            </w:r>
          </w:p>
        </w:tc>
      </w:tr>
    </w:tbl>
    <w:p w14:paraId="411A01C6" w14:textId="77777777" w:rsidR="00B64846" w:rsidRDefault="00B64846"/>
    <w:p w14:paraId="4655BF2F" w14:textId="77777777" w:rsidR="00D93134" w:rsidRPr="00FD015E" w:rsidRDefault="00D93134" w:rsidP="009A18FF">
      <w:pPr>
        <w:numPr>
          <w:ilvl w:val="0"/>
          <w:numId w:val="12"/>
        </w:numPr>
        <w:spacing w:before="840" w:after="120" w:line="240" w:lineRule="auto"/>
        <w:ind w:left="425" w:hanging="425"/>
        <w:rPr>
          <w:rFonts w:ascii="Arial" w:hAnsi="Arial" w:cs="Arial"/>
          <w:iCs/>
          <w:sz w:val="24"/>
        </w:rPr>
      </w:pPr>
      <w:r w:rsidRPr="00FD015E">
        <w:rPr>
          <w:rFonts w:ascii="Arial" w:hAnsi="Arial" w:cs="Arial"/>
          <w:b/>
          <w:bCs/>
          <w:sz w:val="24"/>
        </w:rPr>
        <w:t xml:space="preserve">Inclusive module design </w:t>
      </w:r>
    </w:p>
    <w:p w14:paraId="6294376D" w14:textId="77777777" w:rsidR="00D93134" w:rsidRPr="00FD015E" w:rsidRDefault="00D93134" w:rsidP="00D93134">
      <w:pPr>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1F4A21" w14:textId="77777777" w:rsidR="00D93134" w:rsidRPr="00FD015E" w:rsidRDefault="00D93134" w:rsidP="00D93134">
      <w:pPr>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lastRenderedPageBreak/>
        <w:t>The inclusive practices in the guidance (see Annex B Appendix A) have been considered in order to support all students in the following areas:</w:t>
      </w:r>
    </w:p>
    <w:p w14:paraId="2A6BC5A8" w14:textId="77777777" w:rsidR="00D93134" w:rsidRPr="00FD015E" w:rsidRDefault="00D93134" w:rsidP="00D93134">
      <w:pPr>
        <w:autoSpaceDE w:val="0"/>
        <w:autoSpaceDN w:val="0"/>
        <w:adjustRightInd w:val="0"/>
        <w:spacing w:after="120" w:line="240" w:lineRule="auto"/>
        <w:ind w:left="426" w:right="260"/>
        <w:jc w:val="both"/>
        <w:rPr>
          <w:rFonts w:ascii="Arial" w:hAnsi="Arial" w:cs="Arial"/>
          <w:bCs/>
          <w:sz w:val="24"/>
        </w:rPr>
      </w:pPr>
      <w:r w:rsidRPr="00FD015E">
        <w:rPr>
          <w:rFonts w:ascii="Arial" w:hAnsi="Arial" w:cs="Arial"/>
          <w:sz w:val="24"/>
        </w:rPr>
        <w:t xml:space="preserve">a) </w:t>
      </w:r>
      <w:r w:rsidRPr="00FD015E">
        <w:rPr>
          <w:rFonts w:ascii="Arial" w:hAnsi="Arial" w:cs="Arial"/>
          <w:bCs/>
          <w:sz w:val="24"/>
        </w:rPr>
        <w:t>Accessible resources and curriculum</w:t>
      </w:r>
    </w:p>
    <w:p w14:paraId="038A86A4" w14:textId="77777777" w:rsidR="00D93134" w:rsidRPr="00FD015E" w:rsidRDefault="00D93134" w:rsidP="00D93134">
      <w:pPr>
        <w:tabs>
          <w:tab w:val="left" w:pos="567"/>
        </w:tabs>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t xml:space="preserve">b) </w:t>
      </w:r>
      <w:r w:rsidRPr="00FD015E">
        <w:rPr>
          <w:rFonts w:ascii="Arial" w:hAnsi="Arial" w:cs="Arial"/>
          <w:bCs/>
          <w:sz w:val="24"/>
        </w:rPr>
        <w:t>Learning, teaching and assessment methods</w:t>
      </w:r>
    </w:p>
    <w:p w14:paraId="06E34B1D" w14:textId="77777777"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Campus(es) or centre(s) where module will be delivered</w:t>
      </w:r>
    </w:p>
    <w:p w14:paraId="58C55C65" w14:textId="77777777" w:rsidR="00D93134" w:rsidRPr="00FD015E" w:rsidRDefault="00D93134" w:rsidP="00D93134">
      <w:pPr>
        <w:spacing w:after="120" w:line="240" w:lineRule="auto"/>
        <w:ind w:left="426" w:right="260"/>
        <w:jc w:val="both"/>
        <w:rPr>
          <w:rFonts w:ascii="Arial" w:hAnsi="Arial" w:cs="Arial"/>
          <w:sz w:val="24"/>
        </w:rPr>
      </w:pPr>
      <w:r w:rsidRPr="00FD015E">
        <w:rPr>
          <w:rFonts w:ascii="Arial" w:hAnsi="Arial" w:cs="Arial"/>
          <w:sz w:val="24"/>
        </w:rPr>
        <w:t>Canterbury</w:t>
      </w:r>
    </w:p>
    <w:p w14:paraId="272A9FDD" w14:textId="77777777" w:rsidR="00D93134" w:rsidRPr="00FD015E" w:rsidRDefault="00D93134" w:rsidP="000964DE">
      <w:pPr>
        <w:numPr>
          <w:ilvl w:val="0"/>
          <w:numId w:val="12"/>
        </w:numPr>
        <w:spacing w:before="600" w:after="120" w:line="240" w:lineRule="auto"/>
        <w:ind w:left="425" w:right="261" w:hanging="425"/>
        <w:rPr>
          <w:rFonts w:ascii="Arial" w:hAnsi="Arial" w:cs="Arial"/>
          <w:b/>
          <w:sz w:val="24"/>
        </w:rPr>
      </w:pPr>
      <w:r w:rsidRPr="00FD015E">
        <w:rPr>
          <w:rFonts w:ascii="Arial" w:hAnsi="Arial" w:cs="Arial"/>
          <w:b/>
          <w:sz w:val="24"/>
        </w:rPr>
        <w:t xml:space="preserve">Internationalisation </w:t>
      </w:r>
    </w:p>
    <w:p w14:paraId="2943B9B4"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r w:rsidRPr="00FD015E">
        <w:rPr>
          <w:rFonts w:ascii="Arial" w:hAnsi="Arial" w:cs="Arial"/>
          <w:sz w:val="24"/>
        </w:rPr>
        <w:t xml:space="preserve">The focus of this module, a critical discussion of thinkers and theories in Human Geography is international in its coverage with thinkers originating from across the world and theories enabling theoretical understanding of internationalisation e.g. post colonialism. Regarding assessment tasks, since academia is global, in both the written assignment and the exam, students will be citing thinkers and theories from around the world. </w:t>
      </w:r>
    </w:p>
    <w:p w14:paraId="2637EEC2"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4ACF3D13"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0B66EF60"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06F9F7D1" w14:textId="77777777" w:rsidR="00D93134" w:rsidRPr="000964DE" w:rsidRDefault="00D93134" w:rsidP="00D93134">
      <w:pPr>
        <w:pBdr>
          <w:bottom w:val="single" w:sz="6" w:space="1" w:color="auto"/>
        </w:pBdr>
        <w:spacing w:after="120" w:line="240" w:lineRule="auto"/>
        <w:ind w:left="426" w:right="261"/>
        <w:jc w:val="both"/>
        <w:rPr>
          <w:rFonts w:ascii="Arial" w:hAnsi="Arial" w:cs="Arial"/>
        </w:rPr>
      </w:pPr>
    </w:p>
    <w:p w14:paraId="4113917E" w14:textId="77777777" w:rsidR="00D93134" w:rsidRPr="000964DE" w:rsidRDefault="00D93134" w:rsidP="000964DE">
      <w:pPr>
        <w:spacing w:before="240" w:after="120" w:line="240" w:lineRule="auto"/>
        <w:ind w:left="425" w:right="261"/>
        <w:rPr>
          <w:rFonts w:ascii="Arial" w:hAnsi="Arial" w:cs="Arial"/>
          <w:b/>
        </w:rPr>
      </w:pPr>
      <w:r w:rsidRPr="000964DE">
        <w:rPr>
          <w:rFonts w:ascii="Arial" w:hAnsi="Arial" w:cs="Arial"/>
          <w:b/>
        </w:rPr>
        <w:t xml:space="preserve">DIVISIONAL USE ONLY </w:t>
      </w:r>
    </w:p>
    <w:p w14:paraId="26C16564" w14:textId="77777777" w:rsidR="00D93134" w:rsidRPr="000964DE" w:rsidRDefault="00D93134" w:rsidP="000964DE">
      <w:pPr>
        <w:spacing w:after="120" w:line="240" w:lineRule="auto"/>
        <w:ind w:left="425" w:right="260"/>
        <w:rPr>
          <w:rFonts w:ascii="Arial" w:hAnsi="Arial" w:cs="Arial"/>
          <w:b/>
        </w:rPr>
      </w:pPr>
      <w:r w:rsidRPr="000964DE">
        <w:rPr>
          <w:rFonts w:ascii="Arial" w:hAnsi="Arial" w:cs="Arial"/>
          <w:b/>
        </w:rPr>
        <w:t>Revision record – all revisions must be recorded in the grid and full details of the change retained in the appropriate committee records.</w:t>
      </w:r>
    </w:p>
    <w:p w14:paraId="645B8644" w14:textId="77777777" w:rsidR="00D93134" w:rsidRPr="00FD015E" w:rsidRDefault="00D93134" w:rsidP="00D93134">
      <w:pPr>
        <w:spacing w:after="120" w:line="240" w:lineRule="auto"/>
        <w:ind w:right="-330"/>
        <w:rPr>
          <w:rFonts w:ascii="Arial" w:hAnsi="Arial" w:cs="Arial"/>
          <w:b/>
          <w:sz w:val="24"/>
        </w:rPr>
      </w:pPr>
    </w:p>
    <w:tbl>
      <w:tblPr>
        <w:tblStyle w:val="TableGrid"/>
        <w:tblW w:w="9781" w:type="dxa"/>
        <w:tblInd w:w="562" w:type="dxa"/>
        <w:tblLook w:val="04A0" w:firstRow="1" w:lastRow="0" w:firstColumn="1" w:lastColumn="0" w:noHBand="0" w:noVBand="1"/>
      </w:tblPr>
      <w:tblGrid>
        <w:gridCol w:w="1510"/>
        <w:gridCol w:w="1817"/>
        <w:gridCol w:w="2623"/>
        <w:gridCol w:w="1847"/>
        <w:gridCol w:w="1984"/>
      </w:tblGrid>
      <w:tr w:rsidR="00507257" w:rsidRPr="00BA453C" w14:paraId="0EF42998" w14:textId="77777777" w:rsidTr="00507257">
        <w:trPr>
          <w:trHeight w:val="317"/>
        </w:trPr>
        <w:tc>
          <w:tcPr>
            <w:tcW w:w="1510" w:type="dxa"/>
          </w:tcPr>
          <w:p w14:paraId="263ACFD9" w14:textId="77777777"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Date approved</w:t>
            </w:r>
          </w:p>
        </w:tc>
        <w:tc>
          <w:tcPr>
            <w:tcW w:w="1817" w:type="dxa"/>
          </w:tcPr>
          <w:p w14:paraId="394475F3" w14:textId="1A3C2539"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New/Major/</w:t>
            </w:r>
            <w:r>
              <w:rPr>
                <w:rFonts w:ascii="Arial" w:hAnsi="Arial" w:cs="Arial"/>
                <w:b/>
                <w:bCs/>
                <w:sz w:val="20"/>
                <w:szCs w:val="20"/>
              </w:rPr>
              <w:t>M</w:t>
            </w:r>
            <w:r w:rsidRPr="00507257">
              <w:rPr>
                <w:rFonts w:ascii="Arial" w:hAnsi="Arial" w:cs="Arial"/>
                <w:b/>
                <w:bCs/>
                <w:sz w:val="20"/>
                <w:szCs w:val="20"/>
              </w:rPr>
              <w:t>inor revision</w:t>
            </w:r>
          </w:p>
        </w:tc>
        <w:tc>
          <w:tcPr>
            <w:tcW w:w="2623" w:type="dxa"/>
          </w:tcPr>
          <w:p w14:paraId="126DB503" w14:textId="2289D864"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Start date of delivery of (revised) version</w:t>
            </w:r>
          </w:p>
        </w:tc>
        <w:tc>
          <w:tcPr>
            <w:tcW w:w="1847" w:type="dxa"/>
          </w:tcPr>
          <w:p w14:paraId="15C5DD61" w14:textId="63D7E6FB" w:rsidR="00507257" w:rsidRPr="00507257" w:rsidRDefault="00507257" w:rsidP="00507257">
            <w:pPr>
              <w:spacing w:after="120"/>
              <w:rPr>
                <w:rFonts w:ascii="Arial" w:hAnsi="Arial" w:cs="Arial"/>
                <w:b/>
                <w:bCs/>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1984" w:type="dxa"/>
          </w:tcPr>
          <w:p w14:paraId="62CA88EF" w14:textId="605E0652" w:rsidR="00507257" w:rsidRPr="00507257" w:rsidRDefault="00507257" w:rsidP="00507257">
            <w:pPr>
              <w:spacing w:after="120"/>
              <w:rPr>
                <w:rFonts w:ascii="Arial" w:hAnsi="Arial" w:cs="Arial"/>
                <w:b/>
                <w:bCs/>
                <w:sz w:val="20"/>
                <w:szCs w:val="20"/>
              </w:rPr>
            </w:pPr>
            <w:r w:rsidRPr="00843A94">
              <w:rPr>
                <w:rFonts w:ascii="Arial" w:hAnsi="Arial" w:cs="Arial"/>
                <w:b/>
                <w:bCs/>
                <w:sz w:val="20"/>
                <w:szCs w:val="20"/>
              </w:rPr>
              <w:t>Impacts PLOs (Q6</w:t>
            </w:r>
            <w:r>
              <w:rPr>
                <w:rFonts w:ascii="Arial" w:hAnsi="Arial" w:cs="Arial"/>
                <w:b/>
                <w:bCs/>
                <w:sz w:val="20"/>
                <w:szCs w:val="20"/>
              </w:rPr>
              <w:t xml:space="preserve"> </w:t>
            </w:r>
            <w:r w:rsidRPr="00843A94">
              <w:rPr>
                <w:rFonts w:ascii="Arial" w:hAnsi="Arial" w:cs="Arial"/>
                <w:b/>
                <w:bCs/>
                <w:sz w:val="20"/>
                <w:szCs w:val="20"/>
              </w:rPr>
              <w:t>&amp;</w:t>
            </w:r>
            <w:r>
              <w:rPr>
                <w:rFonts w:ascii="Arial" w:hAnsi="Arial" w:cs="Arial"/>
                <w:b/>
                <w:bCs/>
                <w:sz w:val="20"/>
                <w:szCs w:val="20"/>
              </w:rPr>
              <w:t xml:space="preserve"> </w:t>
            </w:r>
            <w:r w:rsidRPr="00843A94">
              <w:rPr>
                <w:rFonts w:ascii="Arial" w:hAnsi="Arial" w:cs="Arial"/>
                <w:b/>
                <w:bCs/>
                <w:sz w:val="20"/>
                <w:szCs w:val="20"/>
              </w:rPr>
              <w:t>7 cover sheet)</w:t>
            </w:r>
          </w:p>
        </w:tc>
      </w:tr>
      <w:tr w:rsidR="00507257" w:rsidRPr="00302082" w14:paraId="39F2AA1D" w14:textId="77777777" w:rsidTr="00507257">
        <w:trPr>
          <w:trHeight w:val="305"/>
        </w:trPr>
        <w:tc>
          <w:tcPr>
            <w:tcW w:w="1510" w:type="dxa"/>
          </w:tcPr>
          <w:p w14:paraId="47EC6DDB"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21.07.21</w:t>
            </w:r>
          </w:p>
        </w:tc>
        <w:tc>
          <w:tcPr>
            <w:tcW w:w="1817" w:type="dxa"/>
          </w:tcPr>
          <w:p w14:paraId="543F48E4"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Minor</w:t>
            </w:r>
          </w:p>
        </w:tc>
        <w:tc>
          <w:tcPr>
            <w:tcW w:w="2623" w:type="dxa"/>
          </w:tcPr>
          <w:p w14:paraId="1ADC46F8"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Sept 21</w:t>
            </w:r>
          </w:p>
        </w:tc>
        <w:tc>
          <w:tcPr>
            <w:tcW w:w="1847" w:type="dxa"/>
          </w:tcPr>
          <w:p w14:paraId="0F9B6067"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5,7,8,14</w:t>
            </w:r>
          </w:p>
        </w:tc>
        <w:tc>
          <w:tcPr>
            <w:tcW w:w="1984" w:type="dxa"/>
          </w:tcPr>
          <w:p w14:paraId="56CE0DC2"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No</w:t>
            </w:r>
          </w:p>
        </w:tc>
      </w:tr>
      <w:tr w:rsidR="00507257" w:rsidRPr="00302082" w14:paraId="2F1C070B" w14:textId="77777777" w:rsidTr="00507257">
        <w:trPr>
          <w:trHeight w:val="305"/>
        </w:trPr>
        <w:tc>
          <w:tcPr>
            <w:tcW w:w="1510" w:type="dxa"/>
          </w:tcPr>
          <w:p w14:paraId="2D74DDD2" w14:textId="485D4877" w:rsidR="00D93134" w:rsidRPr="000964DE" w:rsidRDefault="00507257" w:rsidP="000964DE">
            <w:pPr>
              <w:spacing w:after="120"/>
              <w:rPr>
                <w:rFonts w:ascii="Arial" w:hAnsi="Arial" w:cs="Arial"/>
                <w:sz w:val="20"/>
                <w:szCs w:val="20"/>
              </w:rPr>
            </w:pPr>
            <w:r>
              <w:rPr>
                <w:rFonts w:ascii="Arial" w:hAnsi="Arial" w:cs="Arial"/>
                <w:sz w:val="20"/>
                <w:szCs w:val="20"/>
              </w:rPr>
              <w:t>26.01.22</w:t>
            </w:r>
          </w:p>
        </w:tc>
        <w:tc>
          <w:tcPr>
            <w:tcW w:w="1817" w:type="dxa"/>
          </w:tcPr>
          <w:p w14:paraId="776E9F79" w14:textId="1576DF18" w:rsidR="00D93134" w:rsidRPr="000964DE" w:rsidRDefault="008C3B6A" w:rsidP="000964DE">
            <w:pPr>
              <w:spacing w:after="120"/>
              <w:rPr>
                <w:rFonts w:ascii="Arial" w:hAnsi="Arial" w:cs="Arial"/>
                <w:sz w:val="20"/>
                <w:szCs w:val="20"/>
              </w:rPr>
            </w:pPr>
            <w:r w:rsidRPr="000964DE">
              <w:rPr>
                <w:rFonts w:ascii="Arial" w:hAnsi="Arial" w:cs="Arial"/>
                <w:sz w:val="20"/>
                <w:szCs w:val="20"/>
              </w:rPr>
              <w:t>Minor</w:t>
            </w:r>
          </w:p>
        </w:tc>
        <w:tc>
          <w:tcPr>
            <w:tcW w:w="2623" w:type="dxa"/>
          </w:tcPr>
          <w:p w14:paraId="69E8CB28" w14:textId="12F84D11" w:rsidR="00D93134" w:rsidRPr="000964DE" w:rsidRDefault="008C3B6A" w:rsidP="000964DE">
            <w:pPr>
              <w:spacing w:after="120"/>
              <w:rPr>
                <w:rFonts w:ascii="Arial" w:hAnsi="Arial" w:cs="Arial"/>
                <w:sz w:val="20"/>
                <w:szCs w:val="20"/>
              </w:rPr>
            </w:pPr>
            <w:r w:rsidRPr="000964DE">
              <w:rPr>
                <w:rFonts w:ascii="Arial" w:hAnsi="Arial" w:cs="Arial"/>
                <w:sz w:val="20"/>
                <w:szCs w:val="20"/>
              </w:rPr>
              <w:t>Autumn 2022</w:t>
            </w:r>
          </w:p>
        </w:tc>
        <w:tc>
          <w:tcPr>
            <w:tcW w:w="1847" w:type="dxa"/>
          </w:tcPr>
          <w:p w14:paraId="22C6B472" w14:textId="5AB13AFA" w:rsidR="00D93134" w:rsidRPr="000964DE" w:rsidRDefault="008C3B6A" w:rsidP="000964DE">
            <w:pPr>
              <w:spacing w:after="120"/>
              <w:rPr>
                <w:rFonts w:ascii="Arial" w:hAnsi="Arial" w:cs="Arial"/>
                <w:sz w:val="20"/>
                <w:szCs w:val="20"/>
              </w:rPr>
            </w:pPr>
            <w:r w:rsidRPr="000964DE">
              <w:rPr>
                <w:rFonts w:ascii="Arial" w:hAnsi="Arial" w:cs="Arial"/>
                <w:sz w:val="20"/>
                <w:szCs w:val="20"/>
              </w:rPr>
              <w:t>1</w:t>
            </w:r>
          </w:p>
        </w:tc>
        <w:tc>
          <w:tcPr>
            <w:tcW w:w="1984" w:type="dxa"/>
          </w:tcPr>
          <w:p w14:paraId="3C053701" w14:textId="475F9DE7" w:rsidR="00D93134" w:rsidRPr="000964DE" w:rsidRDefault="008C3B6A" w:rsidP="000964DE">
            <w:pPr>
              <w:spacing w:after="120"/>
              <w:rPr>
                <w:rFonts w:ascii="Arial" w:hAnsi="Arial" w:cs="Arial"/>
                <w:sz w:val="20"/>
                <w:szCs w:val="20"/>
              </w:rPr>
            </w:pPr>
            <w:r w:rsidRPr="000964DE">
              <w:rPr>
                <w:rFonts w:ascii="Arial" w:hAnsi="Arial" w:cs="Arial"/>
                <w:sz w:val="20"/>
                <w:szCs w:val="20"/>
              </w:rPr>
              <w:t>No</w:t>
            </w:r>
          </w:p>
        </w:tc>
      </w:tr>
    </w:tbl>
    <w:p w14:paraId="6146F721" w14:textId="77777777" w:rsidR="00D93134" w:rsidRPr="00FD015E" w:rsidRDefault="00D93134" w:rsidP="00D93134">
      <w:pPr>
        <w:spacing w:after="120" w:line="240" w:lineRule="auto"/>
        <w:ind w:right="-330"/>
        <w:rPr>
          <w:rFonts w:ascii="Arial" w:hAnsi="Arial" w:cs="Arial"/>
          <w:sz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9BF2" w14:textId="77777777" w:rsidR="00BF53D9" w:rsidRDefault="00BF53D9" w:rsidP="009A2D37">
      <w:pPr>
        <w:spacing w:after="0" w:line="240" w:lineRule="auto"/>
      </w:pPr>
      <w:r>
        <w:separator/>
      </w:r>
    </w:p>
  </w:endnote>
  <w:endnote w:type="continuationSeparator" w:id="0">
    <w:p w14:paraId="19195B36" w14:textId="77777777" w:rsidR="00BF53D9" w:rsidRDefault="00BF53D9" w:rsidP="009A2D37">
      <w:pPr>
        <w:spacing w:after="0" w:line="240" w:lineRule="auto"/>
      </w:pPr>
      <w:r>
        <w:continuationSeparator/>
      </w:r>
    </w:p>
  </w:endnote>
  <w:endnote w:type="continuationNotice" w:id="1">
    <w:p w14:paraId="5AD1B123" w14:textId="77777777" w:rsidR="00BF53D9" w:rsidRDefault="00BF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85B5670" w:rsidR="008B2543" w:rsidRPr="007B7724" w:rsidRDefault="00FD015E" w:rsidP="00FD015E">
    <w:pPr>
      <w:pStyle w:val="Footer"/>
      <w:spacing w:after="120"/>
      <w:ind w:right="-330"/>
      <w:rPr>
        <w:rFonts w:ascii="Arial" w:hAnsi="Arial"/>
        <w:sz w:val="18"/>
      </w:rPr>
    </w:pPr>
    <w:r w:rsidRPr="007B7724">
      <w:rPr>
        <w:rFonts w:ascii="Arial" w:hAnsi="Arial"/>
        <w:sz w:val="18"/>
      </w:rPr>
      <w:t xml:space="preserve">Module Specification </w:t>
    </w:r>
    <w:r w:rsidRPr="00FD015E">
      <w:rPr>
        <w:rFonts w:ascii="Arial" w:hAnsi="Arial"/>
        <w:sz w:val="18"/>
      </w:rPr>
      <w:t>GEOG5002 Critical Approaches in Geography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0B78723" w:rsidR="00F17B94" w:rsidRPr="00FD015E" w:rsidRDefault="00EB41D1" w:rsidP="00FD015E">
    <w:pPr>
      <w:pStyle w:val="Footer"/>
      <w:spacing w:after="120"/>
      <w:ind w:right="-330"/>
      <w:rPr>
        <w:rFonts w:ascii="Arial" w:hAnsi="Arial"/>
        <w:sz w:val="18"/>
      </w:rPr>
    </w:pPr>
    <w:r w:rsidRPr="007B7724">
      <w:rPr>
        <w:rFonts w:ascii="Arial" w:hAnsi="Arial"/>
        <w:sz w:val="18"/>
      </w:rPr>
      <w:t xml:space="preserve">Module Specification </w:t>
    </w:r>
    <w:r w:rsidR="00FD015E" w:rsidRPr="00FD015E">
      <w:rPr>
        <w:rFonts w:ascii="Arial" w:hAnsi="Arial"/>
        <w:sz w:val="18"/>
      </w:rPr>
      <w:t>GEOG5002 Critical Approaches in Geography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6328" w14:textId="77777777" w:rsidR="00BF53D9" w:rsidRDefault="00BF53D9" w:rsidP="009A2D37">
      <w:pPr>
        <w:spacing w:after="0" w:line="240" w:lineRule="auto"/>
      </w:pPr>
      <w:r>
        <w:separator/>
      </w:r>
    </w:p>
  </w:footnote>
  <w:footnote w:type="continuationSeparator" w:id="0">
    <w:p w14:paraId="39A9D8A7" w14:textId="77777777" w:rsidR="00BF53D9" w:rsidRDefault="00BF53D9" w:rsidP="009A2D37">
      <w:pPr>
        <w:spacing w:after="0" w:line="240" w:lineRule="auto"/>
      </w:pPr>
      <w:r>
        <w:continuationSeparator/>
      </w:r>
    </w:p>
  </w:footnote>
  <w:footnote w:type="continuationNotice" w:id="1">
    <w:p w14:paraId="66BC4A03" w14:textId="77777777" w:rsidR="00BF53D9" w:rsidRDefault="00BF5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58759F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252E"/>
    <w:multiLevelType w:val="multilevel"/>
    <w:tmpl w:val="97AAC7C8"/>
    <w:lvl w:ilvl="0">
      <w:start w:val="8"/>
      <w:numFmt w:val="decimal"/>
      <w:lvlText w:val="%1"/>
      <w:lvlJc w:val="left"/>
      <w:pPr>
        <w:ind w:left="360" w:hanging="360"/>
      </w:pPr>
      <w:rPr>
        <w:rFonts w:hint="default"/>
        <w:b w:val="0"/>
        <w:bCs/>
        <w:i w:val="0"/>
        <w:iCs w:val="0"/>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260CB3"/>
    <w:multiLevelType w:val="multilevel"/>
    <w:tmpl w:val="E53257AA"/>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33932"/>
    <w:multiLevelType w:val="hybridMultilevel"/>
    <w:tmpl w:val="5CA23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E03C44"/>
    <w:multiLevelType w:val="hybridMultilevel"/>
    <w:tmpl w:val="959C15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ABE47BB"/>
    <w:multiLevelType w:val="hybridMultilevel"/>
    <w:tmpl w:val="1C762F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2364E48"/>
    <w:multiLevelType w:val="hybridMultilevel"/>
    <w:tmpl w:val="D3AE6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6"/>
  </w:num>
  <w:num w:numId="8">
    <w:abstractNumId w:val="12"/>
  </w:num>
  <w:num w:numId="9">
    <w:abstractNumId w:val="7"/>
  </w:num>
  <w:num w:numId="10">
    <w:abstractNumId w:val="9"/>
  </w:num>
  <w:num w:numId="11">
    <w:abstractNumId w:val="14"/>
  </w:num>
  <w:num w:numId="12">
    <w:abstractNumId w:val="1"/>
  </w:num>
  <w:num w:numId="13">
    <w:abstractNumId w:val="10"/>
  </w:num>
  <w:num w:numId="14">
    <w:abstractNumId w:val="5"/>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91B"/>
    <w:rsid w:val="00010A16"/>
    <w:rsid w:val="00011DDD"/>
    <w:rsid w:val="0001243F"/>
    <w:rsid w:val="00021EA0"/>
    <w:rsid w:val="00025992"/>
    <w:rsid w:val="00027937"/>
    <w:rsid w:val="00030C9E"/>
    <w:rsid w:val="00031E67"/>
    <w:rsid w:val="000408CC"/>
    <w:rsid w:val="00045373"/>
    <w:rsid w:val="00052835"/>
    <w:rsid w:val="0005696E"/>
    <w:rsid w:val="00063A2F"/>
    <w:rsid w:val="000674E0"/>
    <w:rsid w:val="000678D3"/>
    <w:rsid w:val="00070500"/>
    <w:rsid w:val="00072357"/>
    <w:rsid w:val="00094810"/>
    <w:rsid w:val="000964DE"/>
    <w:rsid w:val="00096DA4"/>
    <w:rsid w:val="000A0E79"/>
    <w:rsid w:val="000A5D20"/>
    <w:rsid w:val="000C0294"/>
    <w:rsid w:val="000C3A7E"/>
    <w:rsid w:val="000C7A1C"/>
    <w:rsid w:val="000D2A8A"/>
    <w:rsid w:val="000D32AC"/>
    <w:rsid w:val="000E20C1"/>
    <w:rsid w:val="000E2D3E"/>
    <w:rsid w:val="000E3B73"/>
    <w:rsid w:val="000F6C56"/>
    <w:rsid w:val="000F7FBF"/>
    <w:rsid w:val="00106BE5"/>
    <w:rsid w:val="00110947"/>
    <w:rsid w:val="00111906"/>
    <w:rsid w:val="00111CB3"/>
    <w:rsid w:val="00114F59"/>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1A5"/>
    <w:rsid w:val="001D6398"/>
    <w:rsid w:val="001E1F45"/>
    <w:rsid w:val="001E62C1"/>
    <w:rsid w:val="001F0779"/>
    <w:rsid w:val="001F3C3E"/>
    <w:rsid w:val="00201C5F"/>
    <w:rsid w:val="0020243A"/>
    <w:rsid w:val="00204081"/>
    <w:rsid w:val="002109D2"/>
    <w:rsid w:val="002141FC"/>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9A8"/>
    <w:rsid w:val="002B20F5"/>
    <w:rsid w:val="002B2A1A"/>
    <w:rsid w:val="002B71F2"/>
    <w:rsid w:val="002D1DDF"/>
    <w:rsid w:val="002E43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16A"/>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81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7257"/>
    <w:rsid w:val="00513689"/>
    <w:rsid w:val="0051375A"/>
    <w:rsid w:val="00521097"/>
    <w:rsid w:val="00524D0E"/>
    <w:rsid w:val="0053059E"/>
    <w:rsid w:val="00532F6F"/>
    <w:rsid w:val="00533663"/>
    <w:rsid w:val="005460C2"/>
    <w:rsid w:val="005526FB"/>
    <w:rsid w:val="0055280A"/>
    <w:rsid w:val="00553D19"/>
    <w:rsid w:val="005548E1"/>
    <w:rsid w:val="0055585D"/>
    <w:rsid w:val="0056127B"/>
    <w:rsid w:val="00561D26"/>
    <w:rsid w:val="00564738"/>
    <w:rsid w:val="005678B5"/>
    <w:rsid w:val="00567D4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3E81"/>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5E4"/>
    <w:rsid w:val="00710647"/>
    <w:rsid w:val="00714EE5"/>
    <w:rsid w:val="00720270"/>
    <w:rsid w:val="00724362"/>
    <w:rsid w:val="00726A7A"/>
    <w:rsid w:val="00727780"/>
    <w:rsid w:val="0073792C"/>
    <w:rsid w:val="00754069"/>
    <w:rsid w:val="007564EB"/>
    <w:rsid w:val="00765ED0"/>
    <w:rsid w:val="007667DF"/>
    <w:rsid w:val="0077080B"/>
    <w:rsid w:val="00787070"/>
    <w:rsid w:val="007906FD"/>
    <w:rsid w:val="00795FB9"/>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6174"/>
    <w:rsid w:val="007F393D"/>
    <w:rsid w:val="008029AF"/>
    <w:rsid w:val="00802FFA"/>
    <w:rsid w:val="008102E5"/>
    <w:rsid w:val="008111B4"/>
    <w:rsid w:val="008133F0"/>
    <w:rsid w:val="00815880"/>
    <w:rsid w:val="0082322C"/>
    <w:rsid w:val="00823942"/>
    <w:rsid w:val="00827FFD"/>
    <w:rsid w:val="00847306"/>
    <w:rsid w:val="00854535"/>
    <w:rsid w:val="00856EB3"/>
    <w:rsid w:val="00863C96"/>
    <w:rsid w:val="008646C7"/>
    <w:rsid w:val="00864A72"/>
    <w:rsid w:val="00873E9F"/>
    <w:rsid w:val="00874047"/>
    <w:rsid w:val="008778CB"/>
    <w:rsid w:val="00881545"/>
    <w:rsid w:val="00883204"/>
    <w:rsid w:val="00883A3E"/>
    <w:rsid w:val="0088428D"/>
    <w:rsid w:val="0089148D"/>
    <w:rsid w:val="00891E0D"/>
    <w:rsid w:val="008950F6"/>
    <w:rsid w:val="008A0F36"/>
    <w:rsid w:val="008B2543"/>
    <w:rsid w:val="008B4B6E"/>
    <w:rsid w:val="008C3B6A"/>
    <w:rsid w:val="008D4447"/>
    <w:rsid w:val="008D7401"/>
    <w:rsid w:val="00903DF6"/>
    <w:rsid w:val="00921CF6"/>
    <w:rsid w:val="00922E9E"/>
    <w:rsid w:val="00924EF0"/>
    <w:rsid w:val="00925421"/>
    <w:rsid w:val="00934D7B"/>
    <w:rsid w:val="00947180"/>
    <w:rsid w:val="009567BE"/>
    <w:rsid w:val="009676FA"/>
    <w:rsid w:val="009679E0"/>
    <w:rsid w:val="00977632"/>
    <w:rsid w:val="00982A8E"/>
    <w:rsid w:val="00987DB4"/>
    <w:rsid w:val="0099029D"/>
    <w:rsid w:val="00996204"/>
    <w:rsid w:val="009A18FF"/>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E74"/>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688"/>
    <w:rsid w:val="00B64846"/>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3D9"/>
    <w:rsid w:val="00BF55AA"/>
    <w:rsid w:val="00BF716B"/>
    <w:rsid w:val="00BF7233"/>
    <w:rsid w:val="00C02AA2"/>
    <w:rsid w:val="00C04C95"/>
    <w:rsid w:val="00C12613"/>
    <w:rsid w:val="00C16DEF"/>
    <w:rsid w:val="00C2492F"/>
    <w:rsid w:val="00C338EA"/>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41B"/>
    <w:rsid w:val="00CC25A2"/>
    <w:rsid w:val="00CD7F07"/>
    <w:rsid w:val="00CE04F3"/>
    <w:rsid w:val="00CE12D8"/>
    <w:rsid w:val="00CE4574"/>
    <w:rsid w:val="00CE70E6"/>
    <w:rsid w:val="00CE78A4"/>
    <w:rsid w:val="00CF0BCA"/>
    <w:rsid w:val="00CF2E1E"/>
    <w:rsid w:val="00D02E99"/>
    <w:rsid w:val="00D13357"/>
    <w:rsid w:val="00D13A13"/>
    <w:rsid w:val="00D2689A"/>
    <w:rsid w:val="00D65506"/>
    <w:rsid w:val="00D773CF"/>
    <w:rsid w:val="00D83563"/>
    <w:rsid w:val="00D8448F"/>
    <w:rsid w:val="00D93134"/>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6D8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015E"/>
    <w:rsid w:val="00FD23E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apple-converted-space">
    <w:name w:val="apple-converted-space"/>
    <w:basedOn w:val="DefaultParagraphFont"/>
    <w:rsid w:val="0056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BFC8A-5638-45A2-AB66-F661E2270F49}"/>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3</cp:revision>
  <cp:lastPrinted>2019-02-26T09:40:00Z</cp:lastPrinted>
  <dcterms:created xsi:type="dcterms:W3CDTF">2022-02-03T14:51:00Z</dcterms:created>
  <dcterms:modified xsi:type="dcterms:W3CDTF">2022-02-03T15:38:00Z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