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334449F7" w:rsidR="00694B52" w:rsidRPr="009D52D0" w:rsidRDefault="007D2E13" w:rsidP="00FF2C03">
      <w:pPr>
        <w:spacing w:after="120" w:line="240" w:lineRule="auto"/>
        <w:ind w:left="567" w:right="543"/>
        <w:jc w:val="both"/>
        <w:rPr>
          <w:rFonts w:ascii="Arial" w:hAnsi="Arial" w:cs="Arial"/>
          <w:sz w:val="24"/>
          <w:szCs w:val="24"/>
        </w:rPr>
      </w:pPr>
      <w:r w:rsidRPr="007D2E13">
        <w:rPr>
          <w:rFonts w:ascii="Arial" w:hAnsi="Arial" w:cs="Arial"/>
          <w:sz w:val="24"/>
          <w:szCs w:val="24"/>
        </w:rPr>
        <w:t>FSCI5560</w:t>
      </w:r>
      <w:r>
        <w:rPr>
          <w:rFonts w:ascii="Arial" w:hAnsi="Arial" w:cs="Arial"/>
          <w:sz w:val="24"/>
          <w:szCs w:val="24"/>
        </w:rPr>
        <w:t xml:space="preserve"> – Forensic Ballistics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2B7FCE6"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7D2E13">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354D1011" w:rsidR="00694B52" w:rsidRPr="00694B52" w:rsidRDefault="00C818B1"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132FEB6" w:rsidR="00694B52" w:rsidRPr="00694B52" w:rsidRDefault="00863830"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734DE79D" w:rsidR="00694B52" w:rsidRPr="00694B52" w:rsidRDefault="00863830"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1BB06357" w:rsidR="00694B52" w:rsidRPr="00694B52" w:rsidRDefault="00863830"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142EDFB3" w:rsidR="006B1CCD" w:rsidRDefault="00863830"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 (all variants)</w:t>
      </w:r>
    </w:p>
    <w:p w14:paraId="65488D8C" w14:textId="535E4245" w:rsidR="00863830" w:rsidRDefault="00863830"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03368BB2"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863830" w:rsidRPr="00863830">
        <w:rPr>
          <w:rFonts w:ascii="Arial" w:hAnsi="Arial" w:cs="Arial"/>
          <w:iCs/>
          <w:sz w:val="24"/>
          <w:szCs w:val="24"/>
        </w:rPr>
        <w:t>Demonstrate mathematical ability in ballistics-related calculations outside the context in which they were first studied.</w:t>
      </w:r>
    </w:p>
    <w:p w14:paraId="28B61669" w14:textId="7AA922E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863830" w:rsidRPr="00863830">
        <w:rPr>
          <w:rFonts w:ascii="Arial" w:hAnsi="Arial" w:cs="Arial"/>
          <w:iCs/>
          <w:sz w:val="24"/>
          <w:szCs w:val="24"/>
        </w:rPr>
        <w:t>Demonstrate knowledge and critical understanding of</w:t>
      </w:r>
      <w:r w:rsidR="00863830" w:rsidRPr="00863830">
        <w:rPr>
          <w:rFonts w:ascii="Arial" w:hAnsi="Arial" w:cs="Arial"/>
          <w:sz w:val="24"/>
          <w:szCs w:val="24"/>
        </w:rPr>
        <w:t xml:space="preserve"> how firearms operate.</w:t>
      </w:r>
    </w:p>
    <w:p w14:paraId="59AEFC4A" w14:textId="0FA9D782"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863830" w:rsidRPr="00863830">
        <w:rPr>
          <w:rFonts w:ascii="Arial" w:hAnsi="Arial" w:cs="Arial"/>
          <w:iCs/>
          <w:sz w:val="24"/>
          <w:szCs w:val="24"/>
        </w:rPr>
        <w:t>Demonstrate knowledge and critical understanding in the forensic analysis of</w:t>
      </w:r>
      <w:r w:rsidR="00863830" w:rsidRPr="00863830">
        <w:rPr>
          <w:rFonts w:ascii="Arial" w:hAnsi="Arial" w:cs="Arial"/>
          <w:sz w:val="24"/>
          <w:szCs w:val="24"/>
        </w:rPr>
        <w:t xml:space="preserve"> cartridge cases and bullets.</w:t>
      </w:r>
    </w:p>
    <w:p w14:paraId="68A762AE" w14:textId="49608D44"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863830" w:rsidRPr="00863830">
        <w:rPr>
          <w:rFonts w:ascii="Arial" w:hAnsi="Arial" w:cs="Arial"/>
          <w:iCs/>
          <w:sz w:val="24"/>
          <w:szCs w:val="24"/>
        </w:rPr>
        <w:t>Demonstrate a knowledge and critical understanding of</w:t>
      </w:r>
      <w:r w:rsidR="00863830" w:rsidRPr="00863830">
        <w:rPr>
          <w:rFonts w:ascii="Arial" w:hAnsi="Arial" w:cs="Arial"/>
          <w:sz w:val="24"/>
          <w:szCs w:val="24"/>
        </w:rPr>
        <w:t xml:space="preserve"> shooting scene reconstruction and the limitations of ballistic investigations.</w:t>
      </w:r>
    </w:p>
    <w:p w14:paraId="3776BD13" w14:textId="2F956C74"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863830" w:rsidRPr="00863830">
        <w:rPr>
          <w:rFonts w:ascii="Arial" w:hAnsi="Arial" w:cs="Arial"/>
          <w:iCs/>
          <w:sz w:val="24"/>
          <w:szCs w:val="24"/>
        </w:rPr>
        <w:t>Demonstrate a knowledge and critical understanding of</w:t>
      </w:r>
      <w:r w:rsidR="00863830" w:rsidRPr="00863830">
        <w:rPr>
          <w:rFonts w:ascii="Arial" w:hAnsi="Arial" w:cs="Arial"/>
          <w:sz w:val="24"/>
          <w:szCs w:val="24"/>
        </w:rPr>
        <w:t xml:space="preserve"> wound ballistics.</w:t>
      </w:r>
    </w:p>
    <w:p w14:paraId="2BD9EA94" w14:textId="7F64A04F" w:rsidR="00863830" w:rsidRDefault="00863830"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863830">
        <w:rPr>
          <w:rFonts w:ascii="Arial" w:hAnsi="Arial" w:cs="Arial"/>
          <w:sz w:val="24"/>
          <w:szCs w:val="24"/>
        </w:rPr>
        <w:t xml:space="preserve">Demonstrate </w:t>
      </w:r>
      <w:r w:rsidRPr="00863830">
        <w:rPr>
          <w:rFonts w:ascii="Arial" w:hAnsi="Arial" w:cs="Arial"/>
          <w:iCs/>
          <w:sz w:val="24"/>
          <w:szCs w:val="24"/>
        </w:rPr>
        <w:t>a knowledge and critical understanding of UK firearms law.</w:t>
      </w:r>
    </w:p>
    <w:p w14:paraId="061AC541" w14:textId="178781CF" w:rsidR="00863830" w:rsidRPr="00FF2C03" w:rsidRDefault="00863830" w:rsidP="006B1CCD">
      <w:pPr>
        <w:spacing w:after="120" w:line="240" w:lineRule="auto"/>
        <w:ind w:left="1276" w:right="543" w:hanging="709"/>
        <w:jc w:val="both"/>
        <w:rPr>
          <w:rFonts w:ascii="Arial" w:hAnsi="Arial" w:cs="Arial"/>
          <w:sz w:val="24"/>
          <w:szCs w:val="24"/>
        </w:rPr>
      </w:pPr>
      <w:r>
        <w:rPr>
          <w:rFonts w:ascii="Arial" w:hAnsi="Arial" w:cs="Arial"/>
          <w:sz w:val="24"/>
          <w:szCs w:val="24"/>
        </w:rPr>
        <w:t>8.7</w:t>
      </w:r>
      <w:r>
        <w:rPr>
          <w:rFonts w:ascii="Arial" w:hAnsi="Arial" w:cs="Arial"/>
          <w:sz w:val="24"/>
          <w:szCs w:val="24"/>
        </w:rPr>
        <w:tab/>
      </w:r>
      <w:r w:rsidRPr="00863830">
        <w:rPr>
          <w:rFonts w:ascii="Arial" w:hAnsi="Arial" w:cs="Arial"/>
          <w:sz w:val="24"/>
          <w:szCs w:val="24"/>
        </w:rPr>
        <w:t>Show a consideration of how to take a multidisciplinary approach to ballistic analysis and investigation.</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3F3D4F79"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863830" w:rsidRPr="00863830">
        <w:rPr>
          <w:rFonts w:ascii="Arial" w:hAnsi="Arial" w:cs="Arial"/>
          <w:iCs/>
          <w:sz w:val="24"/>
          <w:szCs w:val="24"/>
        </w:rPr>
        <w:t>Demonstrate a range of numerical skills</w:t>
      </w:r>
      <w:r w:rsidR="00863830" w:rsidRPr="00863830">
        <w:rPr>
          <w:rFonts w:ascii="Arial" w:hAnsi="Arial" w:cs="Arial"/>
          <w:sz w:val="24"/>
          <w:szCs w:val="24"/>
        </w:rPr>
        <w:t>.</w:t>
      </w:r>
    </w:p>
    <w:p w14:paraId="324DF5A4" w14:textId="08B97995"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863830" w:rsidRPr="00863830">
        <w:rPr>
          <w:rFonts w:ascii="Arial" w:hAnsi="Arial" w:cs="Arial"/>
          <w:iCs/>
          <w:sz w:val="24"/>
          <w:szCs w:val="24"/>
        </w:rPr>
        <w:t>Demonstrate a</w:t>
      </w:r>
      <w:r w:rsidR="00863830" w:rsidRPr="00863830" w:rsidDel="00195535">
        <w:rPr>
          <w:rFonts w:ascii="Arial" w:hAnsi="Arial" w:cs="Arial"/>
          <w:sz w:val="24"/>
          <w:szCs w:val="24"/>
        </w:rPr>
        <w:t xml:space="preserve"> </w:t>
      </w:r>
      <w:r w:rsidR="00863830" w:rsidRPr="00863830">
        <w:rPr>
          <w:rFonts w:ascii="Arial" w:hAnsi="Arial" w:cs="Arial"/>
          <w:sz w:val="24"/>
          <w:szCs w:val="24"/>
        </w:rPr>
        <w:t>variety of communication methods.</w:t>
      </w:r>
    </w:p>
    <w:p w14:paraId="3D222DEF" w14:textId="4105012A"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863830" w:rsidRPr="00863830">
        <w:rPr>
          <w:rFonts w:ascii="Arial" w:hAnsi="Arial" w:cs="Arial"/>
          <w:sz w:val="24"/>
          <w:szCs w:val="24"/>
        </w:rPr>
        <w:t>Demonstrate skills required for employment in the ballistics field.</w:t>
      </w:r>
    </w:p>
    <w:p w14:paraId="780A755B" w14:textId="77777777" w:rsidR="00863830" w:rsidRPr="008D4447" w:rsidRDefault="00863830" w:rsidP="006B1CCD">
      <w:pPr>
        <w:spacing w:after="120" w:line="240" w:lineRule="auto"/>
        <w:ind w:left="1276" w:right="543" w:hanging="709"/>
        <w:jc w:val="both"/>
        <w:rPr>
          <w:rFonts w:ascii="Arial" w:hAnsi="Arial" w:cs="Arial"/>
          <w:sz w:val="24"/>
          <w:szCs w:val="24"/>
        </w:rPr>
      </w:pPr>
    </w:p>
    <w:p w14:paraId="73386C6A" w14:textId="77777777" w:rsidR="009A2D37" w:rsidRPr="009D52D0" w:rsidRDefault="009A2D37" w:rsidP="00072357">
      <w:pPr>
        <w:pStyle w:val="Heading2"/>
      </w:pPr>
      <w:r w:rsidRPr="009D52D0">
        <w:lastRenderedPageBreak/>
        <w:t>A synopsis of the curriculum</w:t>
      </w:r>
    </w:p>
    <w:p w14:paraId="5ABB6632" w14:textId="282F470C" w:rsidR="0011295C" w:rsidRPr="0011295C" w:rsidRDefault="00863830" w:rsidP="00863830">
      <w:pPr>
        <w:spacing w:after="120" w:line="240" w:lineRule="auto"/>
        <w:ind w:left="567" w:right="543"/>
        <w:jc w:val="both"/>
        <w:rPr>
          <w:rFonts w:ascii="Arial" w:hAnsi="Arial" w:cs="Arial"/>
          <w:iCs/>
          <w:sz w:val="24"/>
          <w:szCs w:val="24"/>
        </w:rPr>
      </w:pPr>
      <w:r w:rsidRPr="00863830">
        <w:rPr>
          <w:rFonts w:ascii="Arial" w:hAnsi="Arial" w:cs="Arial"/>
          <w:iCs/>
          <w:sz w:val="24"/>
          <w:szCs w:val="24"/>
        </w:rPr>
        <w:t>This module will give students a background in forensic ballistics, including the investigation of shooting scenes, firearms law and wound ballistics.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3D9CDE1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00303B">
        <w:rPr>
          <w:rFonts w:ascii="Arial" w:hAnsi="Arial" w:cs="Arial"/>
          <w:sz w:val="24"/>
          <w:szCs w:val="24"/>
        </w:rPr>
        <w:t>124</w:t>
      </w:r>
    </w:p>
    <w:p w14:paraId="3BE5E6D9" w14:textId="46016B94"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00303B">
        <w:rPr>
          <w:rFonts w:ascii="Arial" w:hAnsi="Arial" w:cs="Arial"/>
          <w:sz w:val="24"/>
          <w:szCs w:val="24"/>
        </w:rPr>
        <w:t>26</w:t>
      </w:r>
    </w:p>
    <w:p w14:paraId="035B9AB3" w14:textId="0738EFAF"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863830">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5298907F" w:rsidR="0011295C" w:rsidRPr="00C63E31" w:rsidRDefault="00863830"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Mathematics Assignment (2 hours) – 20%</w:t>
      </w:r>
    </w:p>
    <w:p w14:paraId="00116B74" w14:textId="42D2ABB0" w:rsidR="0011295C" w:rsidRPr="00C63E31" w:rsidRDefault="00863830"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Presentation (15 minutes) – 20%</w:t>
      </w:r>
    </w:p>
    <w:p w14:paraId="3753E6C1" w14:textId="374E754A" w:rsidR="0011295C" w:rsidRPr="00C63E31" w:rsidRDefault="00863830"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4D74FE9" w:rsidR="008D4447" w:rsidRPr="001B433B" w:rsidRDefault="00863830"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74" w:type="dxa"/>
        <w:tblInd w:w="610" w:type="dxa"/>
        <w:tblLayout w:type="fixed"/>
        <w:tblLook w:val="04A0" w:firstRow="1" w:lastRow="0" w:firstColumn="1" w:lastColumn="0" w:noHBand="0" w:noVBand="1"/>
      </w:tblPr>
      <w:tblGrid>
        <w:gridCol w:w="2504"/>
        <w:gridCol w:w="567"/>
        <w:gridCol w:w="567"/>
        <w:gridCol w:w="567"/>
        <w:gridCol w:w="567"/>
        <w:gridCol w:w="567"/>
        <w:gridCol w:w="567"/>
        <w:gridCol w:w="567"/>
        <w:gridCol w:w="567"/>
        <w:gridCol w:w="567"/>
        <w:gridCol w:w="567"/>
      </w:tblGrid>
      <w:tr w:rsidR="0000303B" w:rsidRPr="009D52D0" w14:paraId="5413EC92" w14:textId="71F6EC96" w:rsidTr="0000303B">
        <w:trPr>
          <w:cantSplit/>
          <w:tblHeader/>
        </w:trPr>
        <w:tc>
          <w:tcPr>
            <w:tcW w:w="2504" w:type="dxa"/>
            <w:shd w:val="clear" w:color="auto" w:fill="D9D9D9" w:themeFill="background1" w:themeFillShade="D9"/>
          </w:tcPr>
          <w:p w14:paraId="140365DD" w14:textId="77777777" w:rsidR="0000303B" w:rsidRPr="009D52D0" w:rsidRDefault="0000303B"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00303B" w:rsidRPr="009D52D0" w:rsidRDefault="0000303B"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00303B" w:rsidRPr="009D52D0" w:rsidRDefault="0000303B"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00303B" w:rsidRPr="009D52D0" w:rsidRDefault="0000303B"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00303B" w:rsidRPr="009D52D0" w:rsidRDefault="0000303B"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00303B" w:rsidRPr="009D52D0" w:rsidRDefault="0000303B"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541F120D" w:rsidR="0000303B" w:rsidRPr="009D52D0" w:rsidRDefault="0000303B"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1BCF3B7D" w:rsidR="0000303B" w:rsidRPr="009D52D0" w:rsidRDefault="0000303B" w:rsidP="004F0496">
            <w:pPr>
              <w:spacing w:after="120"/>
              <w:ind w:right="543"/>
              <w:rPr>
                <w:rFonts w:ascii="Arial" w:hAnsi="Arial" w:cs="Arial"/>
                <w:sz w:val="20"/>
                <w:szCs w:val="20"/>
              </w:rPr>
            </w:pPr>
            <w:r>
              <w:rPr>
                <w:rFonts w:ascii="Arial" w:hAnsi="Arial" w:cs="Arial"/>
                <w:sz w:val="20"/>
                <w:szCs w:val="20"/>
              </w:rPr>
              <w:t>8.7</w:t>
            </w:r>
          </w:p>
        </w:tc>
        <w:tc>
          <w:tcPr>
            <w:tcW w:w="567" w:type="dxa"/>
          </w:tcPr>
          <w:p w14:paraId="6EC60A4C" w14:textId="7AC48D07" w:rsidR="0000303B" w:rsidRPr="009D52D0" w:rsidRDefault="0000303B"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11585C72" w14:textId="44925C89" w:rsidR="0000303B" w:rsidRPr="009D52D0" w:rsidRDefault="0000303B" w:rsidP="004F0496">
            <w:pPr>
              <w:spacing w:after="120"/>
              <w:ind w:right="543"/>
              <w:rPr>
                <w:rFonts w:ascii="Arial" w:hAnsi="Arial" w:cs="Arial"/>
                <w:sz w:val="20"/>
                <w:szCs w:val="20"/>
              </w:rPr>
            </w:pPr>
            <w:r>
              <w:rPr>
                <w:rFonts w:ascii="Arial" w:hAnsi="Arial" w:cs="Arial"/>
                <w:sz w:val="20"/>
                <w:szCs w:val="20"/>
              </w:rPr>
              <w:t>9.2</w:t>
            </w:r>
          </w:p>
        </w:tc>
        <w:tc>
          <w:tcPr>
            <w:tcW w:w="567" w:type="dxa"/>
          </w:tcPr>
          <w:p w14:paraId="28DF2B9B" w14:textId="41E6A4E0" w:rsidR="0000303B" w:rsidRPr="009D52D0" w:rsidRDefault="0000303B" w:rsidP="004F0496">
            <w:pPr>
              <w:spacing w:after="120"/>
              <w:ind w:right="543"/>
              <w:rPr>
                <w:rFonts w:ascii="Arial" w:hAnsi="Arial" w:cs="Arial"/>
                <w:sz w:val="20"/>
                <w:szCs w:val="20"/>
              </w:rPr>
            </w:pPr>
            <w:r>
              <w:rPr>
                <w:rFonts w:ascii="Arial" w:hAnsi="Arial" w:cs="Arial"/>
                <w:sz w:val="20"/>
                <w:szCs w:val="20"/>
              </w:rPr>
              <w:t>9.3</w:t>
            </w:r>
          </w:p>
        </w:tc>
      </w:tr>
      <w:tr w:rsidR="0000303B" w:rsidRPr="009D52D0" w14:paraId="780DC4A5" w14:textId="1498AF8E" w:rsidTr="0000303B">
        <w:tc>
          <w:tcPr>
            <w:tcW w:w="2504" w:type="dxa"/>
          </w:tcPr>
          <w:p w14:paraId="16F79E00" w14:textId="32925AE2" w:rsidR="0000303B" w:rsidRPr="0011295C" w:rsidRDefault="0000303B"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03EF02DD"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34D967B"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2929704"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CB86658"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93B3269"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F09A3F5"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FE3E897"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55EA2A0"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1BA40F1" w14:textId="0A91AFB1"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09390AF" w14:textId="12A93A1E"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r>
      <w:tr w:rsidR="0000303B" w:rsidRPr="009D52D0" w14:paraId="5C50A519" w14:textId="782268F4" w:rsidTr="0000303B">
        <w:tc>
          <w:tcPr>
            <w:tcW w:w="2504" w:type="dxa"/>
          </w:tcPr>
          <w:p w14:paraId="433DE3A7" w14:textId="122D69E9" w:rsidR="0000303B" w:rsidRPr="0011295C" w:rsidRDefault="0000303B"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120DCB6E"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642024B"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D5ECE17"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59150FD6"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180D6986"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595F8EB"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57B34E5"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944E300" w:rsidR="0000303B" w:rsidRPr="009D52D0" w:rsidRDefault="0000303B" w:rsidP="004F0496">
            <w:pPr>
              <w:spacing w:after="120"/>
              <w:ind w:right="543"/>
              <w:rPr>
                <w:rFonts w:ascii="Arial" w:hAnsi="Arial" w:cs="Arial"/>
                <w:b/>
                <w:sz w:val="20"/>
                <w:szCs w:val="20"/>
              </w:rPr>
            </w:pPr>
          </w:p>
        </w:tc>
        <w:tc>
          <w:tcPr>
            <w:tcW w:w="567" w:type="dxa"/>
          </w:tcPr>
          <w:p w14:paraId="4183D587" w14:textId="77777777" w:rsidR="0000303B" w:rsidRPr="009D52D0" w:rsidRDefault="0000303B" w:rsidP="004F0496">
            <w:pPr>
              <w:spacing w:after="120"/>
              <w:ind w:right="543"/>
              <w:rPr>
                <w:rFonts w:ascii="Arial" w:hAnsi="Arial" w:cs="Arial"/>
                <w:b/>
                <w:sz w:val="20"/>
                <w:szCs w:val="20"/>
              </w:rPr>
            </w:pPr>
          </w:p>
        </w:tc>
        <w:tc>
          <w:tcPr>
            <w:tcW w:w="567" w:type="dxa"/>
          </w:tcPr>
          <w:p w14:paraId="5B21619C" w14:textId="77777777" w:rsidR="0000303B" w:rsidRPr="009D52D0" w:rsidRDefault="0000303B" w:rsidP="004F0496">
            <w:pPr>
              <w:spacing w:after="120"/>
              <w:ind w:right="543"/>
              <w:rPr>
                <w:rFonts w:ascii="Arial" w:hAnsi="Arial" w:cs="Arial"/>
                <w:b/>
                <w:sz w:val="20"/>
                <w:szCs w:val="20"/>
              </w:rPr>
            </w:pPr>
          </w:p>
        </w:tc>
      </w:tr>
      <w:tr w:rsidR="0000303B" w:rsidRPr="009D52D0" w14:paraId="460BDA99" w14:textId="2AAA7903" w:rsidTr="0000303B">
        <w:tc>
          <w:tcPr>
            <w:tcW w:w="2504" w:type="dxa"/>
          </w:tcPr>
          <w:p w14:paraId="1CDAA785" w14:textId="6788BE07" w:rsidR="0000303B" w:rsidRPr="0011295C" w:rsidRDefault="0000303B" w:rsidP="004F0496">
            <w:pPr>
              <w:spacing w:after="120"/>
              <w:ind w:right="543"/>
              <w:rPr>
                <w:rFonts w:ascii="Arial" w:hAnsi="Arial" w:cs="Arial"/>
                <w:sz w:val="20"/>
                <w:szCs w:val="20"/>
              </w:rPr>
            </w:pPr>
            <w:r>
              <w:rPr>
                <w:rFonts w:ascii="Arial" w:hAnsi="Arial" w:cs="Arial"/>
                <w:sz w:val="20"/>
                <w:szCs w:val="20"/>
              </w:rPr>
              <w:t>Workshop</w:t>
            </w:r>
          </w:p>
        </w:tc>
        <w:tc>
          <w:tcPr>
            <w:tcW w:w="567" w:type="dxa"/>
          </w:tcPr>
          <w:p w14:paraId="0B596153" w14:textId="01274D5F"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BCFD907"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FC5BF21"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0423545"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37028191"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763167EC"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06CB72D"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45BC2FA9"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0472142" w14:textId="5F7D38F7"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8F12BAC" w14:textId="61FF3C03" w:rsidR="0000303B" w:rsidRPr="009D52D0" w:rsidRDefault="0000303B"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547"/>
        <w:gridCol w:w="567"/>
        <w:gridCol w:w="567"/>
        <w:gridCol w:w="567"/>
        <w:gridCol w:w="567"/>
        <w:gridCol w:w="567"/>
        <w:gridCol w:w="567"/>
        <w:gridCol w:w="567"/>
        <w:gridCol w:w="567"/>
        <w:gridCol w:w="567"/>
        <w:gridCol w:w="567"/>
      </w:tblGrid>
      <w:tr w:rsidR="0000303B" w:rsidRPr="009D52D0" w14:paraId="7367825C" w14:textId="386B155E" w:rsidTr="0000303B">
        <w:trPr>
          <w:tblHeader/>
        </w:trPr>
        <w:tc>
          <w:tcPr>
            <w:tcW w:w="2547" w:type="dxa"/>
            <w:shd w:val="clear" w:color="auto" w:fill="D9D9D9" w:themeFill="background1" w:themeFillShade="D9"/>
          </w:tcPr>
          <w:p w14:paraId="4E99BFB5" w14:textId="77777777" w:rsidR="0000303B" w:rsidRPr="009D52D0" w:rsidRDefault="0000303B"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00303B" w:rsidRPr="009D52D0" w:rsidRDefault="0000303B"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00303B" w:rsidRPr="009D52D0" w:rsidRDefault="0000303B"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00303B" w:rsidRPr="009D52D0" w:rsidRDefault="0000303B"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00303B" w:rsidRPr="009D52D0" w:rsidRDefault="0000303B"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00303B" w:rsidRPr="009D52D0" w:rsidRDefault="0000303B"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0E86EA9E" w:rsidR="0000303B" w:rsidRPr="009D52D0" w:rsidRDefault="0000303B" w:rsidP="00636058">
            <w:pPr>
              <w:spacing w:after="120"/>
              <w:ind w:right="543"/>
              <w:rPr>
                <w:rFonts w:ascii="Arial" w:hAnsi="Arial" w:cs="Arial"/>
                <w:sz w:val="20"/>
                <w:szCs w:val="20"/>
              </w:rPr>
            </w:pPr>
            <w:r>
              <w:rPr>
                <w:rFonts w:ascii="Arial" w:hAnsi="Arial" w:cs="Arial"/>
                <w:sz w:val="20"/>
                <w:szCs w:val="20"/>
              </w:rPr>
              <w:t>8.6</w:t>
            </w:r>
          </w:p>
        </w:tc>
        <w:tc>
          <w:tcPr>
            <w:tcW w:w="567" w:type="dxa"/>
          </w:tcPr>
          <w:p w14:paraId="523687DC" w14:textId="56CA9CB0" w:rsidR="0000303B" w:rsidRPr="009D52D0" w:rsidRDefault="0000303B" w:rsidP="00636058">
            <w:pPr>
              <w:spacing w:after="120"/>
              <w:ind w:right="543"/>
              <w:rPr>
                <w:rFonts w:ascii="Arial" w:hAnsi="Arial" w:cs="Arial"/>
                <w:sz w:val="20"/>
                <w:szCs w:val="20"/>
              </w:rPr>
            </w:pPr>
            <w:r>
              <w:rPr>
                <w:rFonts w:ascii="Arial" w:hAnsi="Arial" w:cs="Arial"/>
                <w:sz w:val="20"/>
                <w:szCs w:val="20"/>
              </w:rPr>
              <w:t>8.7</w:t>
            </w:r>
          </w:p>
        </w:tc>
        <w:tc>
          <w:tcPr>
            <w:tcW w:w="567" w:type="dxa"/>
          </w:tcPr>
          <w:p w14:paraId="1106ECFC" w14:textId="35E9FCB5" w:rsidR="0000303B" w:rsidRPr="009D52D0" w:rsidRDefault="0000303B"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519287EF" w14:textId="589664FD" w:rsidR="0000303B" w:rsidRPr="009D52D0" w:rsidRDefault="0000303B" w:rsidP="00636058">
            <w:pPr>
              <w:spacing w:after="120"/>
              <w:ind w:right="543"/>
              <w:rPr>
                <w:rFonts w:ascii="Arial" w:hAnsi="Arial" w:cs="Arial"/>
                <w:sz w:val="20"/>
                <w:szCs w:val="20"/>
              </w:rPr>
            </w:pPr>
            <w:r>
              <w:rPr>
                <w:rFonts w:ascii="Arial" w:hAnsi="Arial" w:cs="Arial"/>
                <w:sz w:val="20"/>
                <w:szCs w:val="20"/>
              </w:rPr>
              <w:t>9.2</w:t>
            </w:r>
          </w:p>
        </w:tc>
        <w:tc>
          <w:tcPr>
            <w:tcW w:w="567" w:type="dxa"/>
          </w:tcPr>
          <w:p w14:paraId="7F1F922F" w14:textId="3F5C8D4F" w:rsidR="0000303B" w:rsidRPr="009D52D0" w:rsidRDefault="0000303B" w:rsidP="00636058">
            <w:pPr>
              <w:spacing w:after="120"/>
              <w:ind w:right="543"/>
              <w:rPr>
                <w:rFonts w:ascii="Arial" w:hAnsi="Arial" w:cs="Arial"/>
                <w:sz w:val="20"/>
                <w:szCs w:val="20"/>
              </w:rPr>
            </w:pPr>
            <w:r>
              <w:rPr>
                <w:rFonts w:ascii="Arial" w:hAnsi="Arial" w:cs="Arial"/>
                <w:sz w:val="20"/>
                <w:szCs w:val="20"/>
              </w:rPr>
              <w:t>9.3</w:t>
            </w:r>
          </w:p>
        </w:tc>
      </w:tr>
      <w:tr w:rsidR="0000303B" w:rsidRPr="009D52D0" w14:paraId="6D8FD37D" w14:textId="79380982" w:rsidTr="0000303B">
        <w:trPr>
          <w:tblHeader/>
        </w:trPr>
        <w:tc>
          <w:tcPr>
            <w:tcW w:w="2547" w:type="dxa"/>
          </w:tcPr>
          <w:p w14:paraId="6500FA2E" w14:textId="2A148513" w:rsidR="0000303B" w:rsidRPr="0011295C" w:rsidRDefault="0000303B" w:rsidP="0011295C">
            <w:pPr>
              <w:spacing w:after="120"/>
              <w:rPr>
                <w:rFonts w:ascii="Arial" w:hAnsi="Arial" w:cs="Arial"/>
                <w:sz w:val="20"/>
                <w:szCs w:val="20"/>
              </w:rPr>
            </w:pPr>
            <w:r>
              <w:rPr>
                <w:rFonts w:ascii="Arial" w:hAnsi="Arial" w:cs="Arial"/>
                <w:sz w:val="20"/>
                <w:szCs w:val="20"/>
              </w:rPr>
              <w:t>Mathematics Assignment</w:t>
            </w:r>
          </w:p>
        </w:tc>
        <w:tc>
          <w:tcPr>
            <w:tcW w:w="567" w:type="dxa"/>
            <w:vAlign w:val="center"/>
          </w:tcPr>
          <w:p w14:paraId="718AB32A" w14:textId="64737C2F"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611CBA59" w:rsidR="0000303B" w:rsidRPr="009D52D0" w:rsidRDefault="0000303B" w:rsidP="0011295C">
            <w:pPr>
              <w:spacing w:after="120"/>
              <w:ind w:right="543"/>
              <w:jc w:val="center"/>
              <w:rPr>
                <w:rFonts w:ascii="Arial" w:hAnsi="Arial" w:cs="Arial"/>
                <w:b/>
                <w:sz w:val="20"/>
                <w:szCs w:val="20"/>
              </w:rPr>
            </w:pPr>
          </w:p>
        </w:tc>
        <w:tc>
          <w:tcPr>
            <w:tcW w:w="567" w:type="dxa"/>
            <w:vAlign w:val="center"/>
          </w:tcPr>
          <w:p w14:paraId="659E3E11" w14:textId="52214339" w:rsidR="0000303B" w:rsidRPr="009D52D0" w:rsidRDefault="0000303B" w:rsidP="0011295C">
            <w:pPr>
              <w:spacing w:after="120"/>
              <w:ind w:right="543"/>
              <w:jc w:val="center"/>
              <w:rPr>
                <w:rFonts w:ascii="Arial" w:hAnsi="Arial" w:cs="Arial"/>
                <w:b/>
                <w:sz w:val="20"/>
                <w:szCs w:val="20"/>
              </w:rPr>
            </w:pPr>
          </w:p>
        </w:tc>
        <w:tc>
          <w:tcPr>
            <w:tcW w:w="567" w:type="dxa"/>
            <w:vAlign w:val="center"/>
          </w:tcPr>
          <w:p w14:paraId="02BFF41C" w14:textId="00E0FB9C" w:rsidR="0000303B" w:rsidRPr="009D52D0" w:rsidRDefault="0000303B" w:rsidP="0011295C">
            <w:pPr>
              <w:spacing w:after="120"/>
              <w:ind w:right="543"/>
              <w:jc w:val="center"/>
              <w:rPr>
                <w:rFonts w:ascii="Arial" w:hAnsi="Arial" w:cs="Arial"/>
                <w:b/>
                <w:sz w:val="20"/>
                <w:szCs w:val="20"/>
              </w:rPr>
            </w:pPr>
          </w:p>
        </w:tc>
        <w:tc>
          <w:tcPr>
            <w:tcW w:w="567" w:type="dxa"/>
            <w:vAlign w:val="center"/>
          </w:tcPr>
          <w:p w14:paraId="19049929" w14:textId="6A740B43" w:rsidR="0000303B" w:rsidRPr="009D52D0" w:rsidRDefault="0000303B" w:rsidP="0011295C">
            <w:pPr>
              <w:spacing w:after="120"/>
              <w:ind w:right="543"/>
              <w:jc w:val="center"/>
              <w:rPr>
                <w:rFonts w:ascii="Arial" w:hAnsi="Arial" w:cs="Arial"/>
                <w:b/>
                <w:sz w:val="20"/>
                <w:szCs w:val="20"/>
              </w:rPr>
            </w:pPr>
          </w:p>
        </w:tc>
        <w:tc>
          <w:tcPr>
            <w:tcW w:w="567" w:type="dxa"/>
            <w:vAlign w:val="center"/>
          </w:tcPr>
          <w:p w14:paraId="60747C35" w14:textId="479CEE70" w:rsidR="0000303B" w:rsidRPr="009D52D0" w:rsidRDefault="0000303B" w:rsidP="0011295C">
            <w:pPr>
              <w:spacing w:after="120"/>
              <w:ind w:right="543"/>
              <w:jc w:val="center"/>
              <w:rPr>
                <w:rFonts w:ascii="Arial" w:hAnsi="Arial" w:cs="Arial"/>
                <w:b/>
                <w:sz w:val="20"/>
                <w:szCs w:val="20"/>
              </w:rPr>
            </w:pPr>
          </w:p>
        </w:tc>
        <w:tc>
          <w:tcPr>
            <w:tcW w:w="567" w:type="dxa"/>
            <w:vAlign w:val="center"/>
          </w:tcPr>
          <w:p w14:paraId="6FCDE494" w14:textId="3AB4DD5C" w:rsidR="0000303B" w:rsidRPr="009D52D0" w:rsidRDefault="0000303B" w:rsidP="0011295C">
            <w:pPr>
              <w:spacing w:after="120"/>
              <w:ind w:right="543"/>
              <w:jc w:val="center"/>
              <w:rPr>
                <w:rFonts w:ascii="Arial" w:hAnsi="Arial" w:cs="Arial"/>
                <w:b/>
                <w:sz w:val="20"/>
                <w:szCs w:val="20"/>
              </w:rPr>
            </w:pPr>
          </w:p>
        </w:tc>
        <w:tc>
          <w:tcPr>
            <w:tcW w:w="567" w:type="dxa"/>
            <w:vAlign w:val="center"/>
          </w:tcPr>
          <w:p w14:paraId="48C6EE1D" w14:textId="3D6FFAE1"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84E265A" w14:textId="0BF8617C"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5D1CAEA" w14:textId="52C07A0F"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r>
      <w:tr w:rsidR="0000303B" w:rsidRPr="009D52D0" w14:paraId="3E872A1E" w14:textId="0C627B9B" w:rsidTr="0000303B">
        <w:trPr>
          <w:tblHeader/>
        </w:trPr>
        <w:tc>
          <w:tcPr>
            <w:tcW w:w="2547" w:type="dxa"/>
          </w:tcPr>
          <w:p w14:paraId="4CEA8453" w14:textId="5D3BDB62" w:rsidR="0000303B" w:rsidRPr="0011295C" w:rsidRDefault="0000303B" w:rsidP="00CD4E77">
            <w:pPr>
              <w:spacing w:after="120"/>
              <w:ind w:right="27"/>
              <w:rPr>
                <w:rFonts w:ascii="Arial" w:hAnsi="Arial" w:cs="Arial"/>
                <w:sz w:val="20"/>
                <w:szCs w:val="20"/>
              </w:rPr>
            </w:pPr>
            <w:r>
              <w:rPr>
                <w:rFonts w:ascii="Arial" w:hAnsi="Arial" w:cs="Arial"/>
                <w:sz w:val="20"/>
                <w:szCs w:val="20"/>
              </w:rPr>
              <w:t>Presentation</w:t>
            </w:r>
          </w:p>
        </w:tc>
        <w:tc>
          <w:tcPr>
            <w:tcW w:w="567" w:type="dxa"/>
            <w:vAlign w:val="center"/>
          </w:tcPr>
          <w:p w14:paraId="5BE33B98" w14:textId="3D176B24"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467607D0"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39169832"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32D983A4"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5D9BFD5F"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44541AB3"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69912229"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7FD876A0"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D8A3153" w14:textId="2E4BE25E"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392CA1E1" w14:textId="30380EEF"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r>
      <w:tr w:rsidR="0000303B" w:rsidRPr="009D52D0" w14:paraId="24A3F2DE" w14:textId="004B13E7" w:rsidTr="0000303B">
        <w:trPr>
          <w:tblHeader/>
        </w:trPr>
        <w:tc>
          <w:tcPr>
            <w:tcW w:w="2547" w:type="dxa"/>
          </w:tcPr>
          <w:p w14:paraId="62679557" w14:textId="4A4C194D" w:rsidR="0000303B" w:rsidRPr="0011295C" w:rsidRDefault="0000303B"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3AD91FA5" w14:textId="71A1B80B"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641E7A4D"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0046C301"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35B3A779"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482CA9F2"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74807ABC"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7FF1659F"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6AD4712E"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65C9431" w14:textId="7306EB9E"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5B472C41" w14:textId="6B89FA9E" w:rsidR="0000303B" w:rsidRPr="009D52D0" w:rsidRDefault="0000303B"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13E5B557" w:rsidR="00922E9E" w:rsidRDefault="0000303B" w:rsidP="00ED22D3">
      <w:pPr>
        <w:spacing w:after="120" w:line="240" w:lineRule="auto"/>
        <w:ind w:left="567" w:right="543"/>
        <w:jc w:val="both"/>
        <w:rPr>
          <w:rFonts w:ascii="Arial" w:hAnsi="Arial" w:cs="Arial"/>
          <w:sz w:val="24"/>
          <w:szCs w:val="24"/>
        </w:rPr>
      </w:pPr>
      <w:r w:rsidRPr="0000303B">
        <w:rPr>
          <w:rFonts w:ascii="Arial" w:hAnsi="Arial" w:cs="Arial"/>
          <w:sz w:val="24"/>
          <w:szCs w:val="24"/>
        </w:rPr>
        <w:t>In many respects, the mathematics taught in this module is an international language. The intended learning outcomes within this module are applicable worldwide as part of the universal principles of mathematics and the building blocks of science. Additionally, the varied international manufacture of weapon systems and social aspects of firearms are discussed in relation to their effects on many different countries and cultures around the world.</w:t>
      </w:r>
      <w:r w:rsidR="00A72227">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1E7038AF" w:rsidR="00ED22D3" w:rsidRPr="00ED22D3" w:rsidRDefault="00A01207" w:rsidP="006D6409">
            <w:pPr>
              <w:spacing w:after="120"/>
              <w:rPr>
                <w:rFonts w:ascii="Arial" w:hAnsi="Arial" w:cs="Arial"/>
                <w:sz w:val="20"/>
                <w:szCs w:val="20"/>
              </w:rPr>
            </w:pPr>
            <w:r>
              <w:rPr>
                <w:rFonts w:ascii="Arial" w:hAnsi="Arial" w:cs="Arial"/>
                <w:sz w:val="20"/>
                <w:szCs w:val="20"/>
              </w:rPr>
              <w:t>8 Dec 2021</w:t>
            </w:r>
          </w:p>
        </w:tc>
        <w:tc>
          <w:tcPr>
            <w:tcW w:w="2271" w:type="dxa"/>
          </w:tcPr>
          <w:p w14:paraId="3DB8B056" w14:textId="1FB5B8F3" w:rsidR="00ED22D3" w:rsidRPr="00ED22D3" w:rsidRDefault="00A01207"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7DF7DA57" w:rsidR="00ED22D3" w:rsidRPr="00ED22D3" w:rsidRDefault="00A01207"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5C52110C" w:rsidR="00ED22D3" w:rsidRPr="00ED22D3" w:rsidRDefault="00A01207" w:rsidP="00ED22D3">
            <w:pPr>
              <w:spacing w:after="120"/>
              <w:ind w:right="543"/>
              <w:rPr>
                <w:rFonts w:ascii="Arial" w:hAnsi="Arial" w:cs="Arial"/>
                <w:sz w:val="20"/>
                <w:szCs w:val="20"/>
              </w:rPr>
            </w:pPr>
            <w:r>
              <w:rPr>
                <w:rFonts w:ascii="Arial" w:hAnsi="Arial" w:cs="Arial"/>
                <w:sz w:val="20"/>
                <w:szCs w:val="20"/>
              </w:rPr>
              <w:t>12</w:t>
            </w:r>
          </w:p>
        </w:tc>
        <w:tc>
          <w:tcPr>
            <w:tcW w:w="2676" w:type="dxa"/>
          </w:tcPr>
          <w:p w14:paraId="2788108C" w14:textId="62038F49" w:rsidR="00ED22D3" w:rsidRPr="00ED22D3" w:rsidRDefault="00A01207"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303B"/>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2E13"/>
    <w:rsid w:val="007E3412"/>
    <w:rsid w:val="007F393D"/>
    <w:rsid w:val="008029AF"/>
    <w:rsid w:val="00802FFA"/>
    <w:rsid w:val="008102E5"/>
    <w:rsid w:val="008111B4"/>
    <w:rsid w:val="008133F0"/>
    <w:rsid w:val="00815880"/>
    <w:rsid w:val="0082322C"/>
    <w:rsid w:val="00823942"/>
    <w:rsid w:val="00827FFD"/>
    <w:rsid w:val="00854535"/>
    <w:rsid w:val="00856EB3"/>
    <w:rsid w:val="00863830"/>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1207"/>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2227"/>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18B1"/>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07A9"/>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F407A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956203EE-4B3B-49B7-A205-3E786313B78B}"/>
</file>

<file path=customXml/itemProps3.xml><?xml version="1.0" encoding="utf-8"?>
<ds:datastoreItem xmlns:ds="http://schemas.openxmlformats.org/officeDocument/2006/customXml" ds:itemID="{32023F36-EF77-4145-ABFC-E549615D6BF6}"/>
</file>

<file path=customXml/itemProps4.xml><?xml version="1.0" encoding="utf-8"?>
<ds:datastoreItem xmlns:ds="http://schemas.openxmlformats.org/officeDocument/2006/customXml" ds:itemID="{0D2171CE-8528-4AB0-9009-75848B22B308}"/>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2022-02-09T14:31:00Z</dcterms:created>
  <dcterms:modified xsi:type="dcterms:W3CDTF">2022-03-03T14:44:00Z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