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5C2A93"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0C65C1D" w14:textId="77777777" w:rsidR="00CE5F9F" w:rsidRPr="00CE5F9F" w:rsidRDefault="00CE5F9F" w:rsidP="00CE5F9F">
      <w:pPr>
        <w:spacing w:after="120" w:line="240" w:lineRule="auto"/>
        <w:ind w:right="260" w:firstLine="567"/>
        <w:jc w:val="both"/>
        <w:rPr>
          <w:rFonts w:ascii="Arial" w:hAnsi="Arial" w:cs="Arial"/>
          <w:iCs/>
        </w:rPr>
      </w:pPr>
      <w:r w:rsidRPr="00CE5F9F">
        <w:rPr>
          <w:rFonts w:ascii="Arial" w:hAnsi="Arial" w:cs="Arial"/>
        </w:rPr>
        <w:t>FILM6220 (FI622) Television Series: Narration, Engagement and Evaluation</w:t>
      </w:r>
    </w:p>
    <w:p w14:paraId="5A8D40FA" w14:textId="77777777" w:rsidR="00154D48" w:rsidRPr="00154D48" w:rsidRDefault="00154D48" w:rsidP="00CE5F9F">
      <w:pPr>
        <w:spacing w:after="120" w:line="240" w:lineRule="auto"/>
        <w:ind w:right="260"/>
        <w:jc w:val="both"/>
        <w:rPr>
          <w:rFonts w:ascii="Arial" w:hAnsi="Arial" w:cs="Arial"/>
        </w:rPr>
      </w:pPr>
    </w:p>
    <w:p w14:paraId="78029141"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58B7409" w14:textId="17C9B01E" w:rsidR="009A2D37" w:rsidRPr="00702CA3" w:rsidRDefault="00702CA3" w:rsidP="00702CA3">
      <w:pPr>
        <w:spacing w:after="120" w:line="240" w:lineRule="auto"/>
        <w:ind w:right="260" w:firstLine="567"/>
        <w:rPr>
          <w:rFonts w:ascii="Arial" w:hAnsi="Arial" w:cs="Arial"/>
          <w:iCs/>
        </w:rPr>
      </w:pPr>
      <w:r w:rsidRPr="00702CA3">
        <w:rPr>
          <w:rFonts w:ascii="Arial" w:hAnsi="Arial" w:cs="Arial"/>
          <w:iCs/>
        </w:rPr>
        <w:t>School of Arts</w:t>
      </w:r>
    </w:p>
    <w:p w14:paraId="21EF35D8" w14:textId="77777777" w:rsidR="00154D48" w:rsidRPr="00154D48" w:rsidRDefault="00154D48" w:rsidP="00154D48">
      <w:pPr>
        <w:spacing w:after="120" w:line="240" w:lineRule="auto"/>
        <w:ind w:left="567" w:right="260"/>
        <w:rPr>
          <w:rFonts w:ascii="Arial" w:hAnsi="Arial" w:cs="Arial"/>
          <w:iCs/>
        </w:rPr>
      </w:pPr>
    </w:p>
    <w:p w14:paraId="70F15843"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5D3F667" w14:textId="5A3B7E27" w:rsidR="009A2D37" w:rsidRPr="00CC654C" w:rsidRDefault="00CC654C" w:rsidP="00CC654C">
      <w:pPr>
        <w:spacing w:after="120" w:line="240" w:lineRule="auto"/>
        <w:ind w:right="260" w:firstLine="567"/>
        <w:rPr>
          <w:rFonts w:ascii="Arial" w:hAnsi="Arial" w:cs="Arial"/>
          <w:iCs/>
        </w:rPr>
      </w:pPr>
      <w:r w:rsidRPr="00CC654C">
        <w:rPr>
          <w:rFonts w:ascii="Arial" w:hAnsi="Arial" w:cs="Arial"/>
        </w:rPr>
        <w:t>Level 6</w:t>
      </w:r>
    </w:p>
    <w:p w14:paraId="5FA0B531" w14:textId="77777777" w:rsidR="00154D48" w:rsidRPr="00154D48" w:rsidRDefault="00154D48" w:rsidP="00154D48">
      <w:pPr>
        <w:spacing w:after="120" w:line="240" w:lineRule="auto"/>
        <w:ind w:left="567" w:right="260"/>
        <w:rPr>
          <w:rFonts w:ascii="Arial" w:hAnsi="Arial" w:cs="Arial"/>
          <w:iCs/>
        </w:rPr>
      </w:pPr>
    </w:p>
    <w:p w14:paraId="335408AB"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9DD693B" w14:textId="315E5C6A" w:rsidR="009A2D37" w:rsidRPr="00C820D0" w:rsidRDefault="00C820D0" w:rsidP="00C820D0">
      <w:pPr>
        <w:pStyle w:val="NormalWeb"/>
        <w:spacing w:before="0" w:beforeAutospacing="0" w:after="120" w:afterAutospacing="0"/>
        <w:ind w:right="260" w:firstLine="567"/>
        <w:rPr>
          <w:rFonts w:ascii="Arial" w:hAnsi="Arial" w:cs="Arial"/>
          <w:sz w:val="22"/>
          <w:szCs w:val="22"/>
        </w:rPr>
      </w:pPr>
      <w:r w:rsidRPr="00621B0D">
        <w:rPr>
          <w:rFonts w:ascii="Arial" w:hAnsi="Arial" w:cs="Arial"/>
          <w:sz w:val="22"/>
          <w:szCs w:val="22"/>
        </w:rPr>
        <w:t>30 credits (15 ECTS)</w:t>
      </w:r>
    </w:p>
    <w:p w14:paraId="7E1ABF7E" w14:textId="77777777" w:rsidR="00154D48" w:rsidRPr="00154D48" w:rsidRDefault="00154D48" w:rsidP="00154D48">
      <w:pPr>
        <w:spacing w:after="120" w:line="240" w:lineRule="auto"/>
        <w:ind w:left="567" w:right="260"/>
        <w:rPr>
          <w:rFonts w:ascii="Arial" w:hAnsi="Arial" w:cs="Arial"/>
        </w:rPr>
      </w:pPr>
    </w:p>
    <w:p w14:paraId="6331346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71B4B938" w14:textId="43C93868" w:rsidR="009A2D37" w:rsidRPr="00B65427" w:rsidRDefault="00B65427" w:rsidP="00B65427">
      <w:pPr>
        <w:spacing w:after="120" w:line="240" w:lineRule="auto"/>
        <w:ind w:right="260" w:firstLine="567"/>
        <w:jc w:val="both"/>
        <w:rPr>
          <w:rFonts w:ascii="Arial" w:hAnsi="Arial" w:cs="Arial"/>
          <w:iCs/>
        </w:rPr>
      </w:pPr>
      <w:r w:rsidRPr="00B65427">
        <w:rPr>
          <w:rFonts w:ascii="Arial" w:hAnsi="Arial" w:cs="Arial"/>
          <w:iCs/>
        </w:rPr>
        <w:t xml:space="preserve">Autumn or </w:t>
      </w:r>
      <w:proofErr w:type="gramStart"/>
      <w:r w:rsidRPr="00B65427">
        <w:rPr>
          <w:rFonts w:ascii="Arial" w:hAnsi="Arial" w:cs="Arial"/>
          <w:iCs/>
        </w:rPr>
        <w:t>Spring</w:t>
      </w:r>
      <w:proofErr w:type="gramEnd"/>
    </w:p>
    <w:p w14:paraId="3D329D11" w14:textId="77777777" w:rsidR="00154D48" w:rsidRPr="00154D48" w:rsidRDefault="00154D48" w:rsidP="00154D48">
      <w:pPr>
        <w:spacing w:after="120" w:line="240" w:lineRule="auto"/>
        <w:ind w:left="567" w:right="260"/>
        <w:rPr>
          <w:rFonts w:ascii="Arial" w:hAnsi="Arial" w:cs="Arial"/>
          <w:iCs/>
        </w:rPr>
      </w:pPr>
    </w:p>
    <w:p w14:paraId="59C07B9A"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1408A8B8" w14:textId="77777777" w:rsidR="00B65427" w:rsidRPr="00B65427" w:rsidRDefault="00B65427" w:rsidP="00734F44">
      <w:pPr>
        <w:spacing w:after="120" w:line="240" w:lineRule="auto"/>
        <w:ind w:right="260" w:firstLine="567"/>
        <w:rPr>
          <w:rFonts w:ascii="Arial" w:hAnsi="Arial" w:cs="Arial"/>
          <w:iCs/>
        </w:rPr>
      </w:pPr>
      <w:r w:rsidRPr="00B65427">
        <w:rPr>
          <w:rFonts w:ascii="Arial" w:hAnsi="Arial" w:cs="Arial"/>
          <w:iCs/>
        </w:rPr>
        <w:t>FILM3130 Film Style</w:t>
      </w:r>
    </w:p>
    <w:p w14:paraId="4852A866" w14:textId="385F6AB7" w:rsidR="009A2D37" w:rsidRPr="00B65427" w:rsidRDefault="00B65427" w:rsidP="00734F44">
      <w:pPr>
        <w:spacing w:after="120" w:line="240" w:lineRule="auto"/>
        <w:ind w:right="260" w:firstLine="567"/>
        <w:rPr>
          <w:rFonts w:ascii="Arial" w:hAnsi="Arial" w:cs="Arial"/>
          <w:iCs/>
        </w:rPr>
      </w:pPr>
      <w:r w:rsidRPr="00B65427">
        <w:rPr>
          <w:rFonts w:ascii="Arial" w:hAnsi="Arial" w:cs="Arial"/>
          <w:iCs/>
        </w:rPr>
        <w:t>FILM3150 Film Theory or FILM3160 Film Histories</w:t>
      </w:r>
    </w:p>
    <w:p w14:paraId="261328A6" w14:textId="77777777" w:rsidR="00154D48" w:rsidRPr="00154D48" w:rsidRDefault="00154D48" w:rsidP="00154D48">
      <w:pPr>
        <w:spacing w:after="120" w:line="240" w:lineRule="auto"/>
        <w:ind w:left="567" w:right="260"/>
        <w:rPr>
          <w:rFonts w:ascii="Arial" w:hAnsi="Arial" w:cs="Arial"/>
          <w:iCs/>
        </w:rPr>
      </w:pPr>
    </w:p>
    <w:p w14:paraId="480B28BE"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2616D2C" w14:textId="77777777" w:rsidR="00B65427" w:rsidRPr="00B65427" w:rsidRDefault="00B65427" w:rsidP="00734F44">
      <w:pPr>
        <w:spacing w:after="0" w:line="240" w:lineRule="auto"/>
        <w:ind w:firstLine="567"/>
        <w:rPr>
          <w:rFonts w:ascii="Arial" w:hAnsi="Arial" w:cs="Arial"/>
          <w:iCs/>
        </w:rPr>
      </w:pPr>
      <w:r w:rsidRPr="00B65427">
        <w:rPr>
          <w:rFonts w:ascii="Arial" w:hAnsi="Arial" w:cs="Arial"/>
          <w:iCs/>
        </w:rPr>
        <w:t xml:space="preserve">BA Film and associated programmes </w:t>
      </w:r>
    </w:p>
    <w:p w14:paraId="6F26E2F4" w14:textId="25F8B4C8" w:rsidR="009A2D37" w:rsidRPr="00B65427" w:rsidRDefault="00B65427" w:rsidP="00734F44">
      <w:pPr>
        <w:spacing w:after="120" w:line="240" w:lineRule="auto"/>
        <w:ind w:right="260" w:firstLine="567"/>
        <w:rPr>
          <w:rFonts w:ascii="Arial" w:hAnsi="Arial" w:cs="Arial"/>
          <w:iCs/>
        </w:rPr>
      </w:pPr>
      <w:r w:rsidRPr="00B65427">
        <w:rPr>
          <w:rFonts w:ascii="Arial" w:hAnsi="Arial" w:cs="Arial"/>
          <w:iCs/>
        </w:rPr>
        <w:t>BA Media Studies and associated programmes</w:t>
      </w:r>
    </w:p>
    <w:p w14:paraId="41DD93FD" w14:textId="77777777" w:rsidR="00154D48" w:rsidRPr="00154D48" w:rsidRDefault="00154D48" w:rsidP="00154D48">
      <w:pPr>
        <w:spacing w:after="120" w:line="240" w:lineRule="auto"/>
        <w:ind w:left="567" w:right="260"/>
        <w:rPr>
          <w:rFonts w:ascii="Arial" w:hAnsi="Arial" w:cs="Arial"/>
          <w:iCs/>
        </w:rPr>
      </w:pPr>
    </w:p>
    <w:p w14:paraId="6C8339BC"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86582A1" w14:textId="77777777" w:rsidR="00803E82" w:rsidRPr="00803E82" w:rsidRDefault="00803E82" w:rsidP="00803E82">
      <w:pPr>
        <w:pStyle w:val="ListParagraph"/>
        <w:spacing w:after="0" w:line="240" w:lineRule="auto"/>
        <w:ind w:right="260"/>
        <w:rPr>
          <w:rFonts w:ascii="Arial" w:hAnsi="Arial" w:cs="Arial"/>
        </w:rPr>
      </w:pPr>
      <w:r w:rsidRPr="00803E82">
        <w:rPr>
          <w:rFonts w:ascii="Arial" w:hAnsi="Arial" w:cs="Arial"/>
        </w:rPr>
        <w:t>8.1 discuss critically what the difference is between engagement in long-term narratives such as TV series and shorter, stand-alone narratives such as a fiction film;</w:t>
      </w:r>
    </w:p>
    <w:p w14:paraId="79513752" w14:textId="77777777" w:rsidR="00803E82" w:rsidRPr="00803E82" w:rsidRDefault="00803E82" w:rsidP="00803E82">
      <w:pPr>
        <w:pStyle w:val="ListParagraph"/>
        <w:spacing w:after="0" w:line="240" w:lineRule="auto"/>
        <w:ind w:right="260"/>
        <w:rPr>
          <w:rFonts w:ascii="Arial" w:hAnsi="Arial" w:cs="Arial"/>
        </w:rPr>
      </w:pPr>
      <w:r w:rsidRPr="00803E82">
        <w:rPr>
          <w:rFonts w:ascii="Arial" w:hAnsi="Arial" w:cs="Arial"/>
        </w:rPr>
        <w:t>8.2 describe the historical trajectory of a specific type of television series and discuss its defining features critically;</w:t>
      </w:r>
    </w:p>
    <w:p w14:paraId="3BC44704" w14:textId="77777777" w:rsidR="00803E82" w:rsidRPr="00803E82" w:rsidRDefault="00803E82" w:rsidP="00803E82">
      <w:pPr>
        <w:pStyle w:val="ListParagraph"/>
        <w:spacing w:after="0" w:line="240" w:lineRule="auto"/>
        <w:ind w:right="260"/>
        <w:rPr>
          <w:rFonts w:ascii="Arial" w:hAnsi="Arial" w:cs="Arial"/>
        </w:rPr>
      </w:pPr>
      <w:r w:rsidRPr="00803E82">
        <w:rPr>
          <w:rFonts w:ascii="Arial" w:hAnsi="Arial" w:cs="Arial"/>
        </w:rPr>
        <w:t>8.3 critically reflect on the cultural status of television, such as being able to devise arguments in order to reflect independently on the notion ‘Quality TV’;</w:t>
      </w:r>
    </w:p>
    <w:p w14:paraId="73E5329A" w14:textId="77777777" w:rsidR="00803E82" w:rsidRPr="00803E82" w:rsidRDefault="00803E82" w:rsidP="00803E82">
      <w:pPr>
        <w:pStyle w:val="ListParagraph"/>
        <w:spacing w:after="0" w:line="240" w:lineRule="auto"/>
        <w:ind w:right="260"/>
        <w:rPr>
          <w:rFonts w:ascii="Arial" w:hAnsi="Arial" w:cs="Arial"/>
        </w:rPr>
      </w:pPr>
      <w:r w:rsidRPr="00803E82">
        <w:rPr>
          <w:rFonts w:ascii="Arial" w:hAnsi="Arial" w:cs="Arial"/>
        </w:rPr>
        <w:t>8.4 understand the different modes of analysis made possible by various methods of enquiry into television series in and beyond television studies proper, and the appreciation of the applicability and limitations of each methodological approach;</w:t>
      </w:r>
    </w:p>
    <w:p w14:paraId="014ABF90" w14:textId="6DD14BC8" w:rsidR="00273CF0" w:rsidRPr="00803E82" w:rsidRDefault="00803E82" w:rsidP="00803E82">
      <w:pPr>
        <w:pStyle w:val="ListParagraph"/>
        <w:spacing w:after="0" w:line="240" w:lineRule="auto"/>
        <w:ind w:right="260"/>
        <w:rPr>
          <w:rFonts w:ascii="Arial" w:hAnsi="Arial" w:cs="Arial"/>
        </w:rPr>
      </w:pPr>
      <w:r w:rsidRPr="00803E82">
        <w:rPr>
          <w:rFonts w:ascii="Arial" w:hAnsi="Arial" w:cs="Arial"/>
        </w:rPr>
        <w:t>8.5 describe and comment upon the forefront of television studies, including the ability to extend their knowledge of this field through independent research.</w:t>
      </w:r>
    </w:p>
    <w:p w14:paraId="2BA397E8" w14:textId="77777777" w:rsidR="00154D48" w:rsidRPr="00154D48" w:rsidRDefault="00154D48" w:rsidP="00154D48">
      <w:pPr>
        <w:spacing w:after="120" w:line="240" w:lineRule="auto"/>
        <w:ind w:left="567" w:right="260"/>
        <w:rPr>
          <w:rFonts w:ascii="Arial" w:hAnsi="Arial" w:cs="Arial"/>
        </w:rPr>
      </w:pPr>
    </w:p>
    <w:p w14:paraId="3E0779A5"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B3497CD" w14:textId="77777777" w:rsidR="00024ADD" w:rsidRPr="00803E82" w:rsidRDefault="00024ADD" w:rsidP="00024ADD">
      <w:pPr>
        <w:pStyle w:val="ListParagraph"/>
        <w:spacing w:after="0" w:line="240" w:lineRule="auto"/>
        <w:ind w:right="260"/>
        <w:rPr>
          <w:rFonts w:ascii="Arial" w:hAnsi="Arial" w:cs="Arial"/>
        </w:rPr>
      </w:pPr>
      <w:r w:rsidRPr="00803E82">
        <w:rPr>
          <w:rFonts w:ascii="Arial" w:hAnsi="Arial" w:cs="Arial"/>
        </w:rPr>
        <w:t>9.1 develop skills of critical and historical analysis, together with generic intellectual skills of synthesis, summarisation, critical judgement and problem-</w:t>
      </w:r>
      <w:proofErr w:type="gramStart"/>
      <w:r w:rsidRPr="00803E82">
        <w:rPr>
          <w:rFonts w:ascii="Arial" w:hAnsi="Arial" w:cs="Arial"/>
        </w:rPr>
        <w:t>solving, that</w:t>
      </w:r>
      <w:proofErr w:type="gramEnd"/>
      <w:r w:rsidRPr="00803E82">
        <w:rPr>
          <w:rFonts w:ascii="Arial" w:hAnsi="Arial" w:cs="Arial"/>
        </w:rPr>
        <w:t xml:space="preserve"> will allow for the construction of original and persuasive arguments;</w:t>
      </w:r>
    </w:p>
    <w:p w14:paraId="4BB05077" w14:textId="53DEF470" w:rsidR="00024ADD" w:rsidRPr="00803E82" w:rsidRDefault="00024ADD" w:rsidP="00024ADD">
      <w:pPr>
        <w:pStyle w:val="ListParagraph"/>
        <w:spacing w:after="0" w:line="240" w:lineRule="auto"/>
        <w:ind w:right="260"/>
        <w:rPr>
          <w:rFonts w:ascii="Arial" w:hAnsi="Arial" w:cs="Arial"/>
        </w:rPr>
      </w:pPr>
      <w:r w:rsidRPr="00803E82">
        <w:rPr>
          <w:rFonts w:ascii="Arial" w:hAnsi="Arial" w:cs="Arial"/>
        </w:rPr>
        <w:lastRenderedPageBreak/>
        <w:t>9.2 read critically and develop skills in historical and critical enquiry and interpretation, use of reference sources and judging evidence and arguments;</w:t>
      </w:r>
    </w:p>
    <w:p w14:paraId="460BB986" w14:textId="77777777" w:rsidR="00024ADD" w:rsidRPr="00803E82" w:rsidRDefault="00024ADD" w:rsidP="00024ADD">
      <w:pPr>
        <w:pStyle w:val="ListParagraph"/>
        <w:spacing w:after="0" w:line="240" w:lineRule="auto"/>
        <w:ind w:right="260"/>
        <w:rPr>
          <w:rFonts w:ascii="Arial" w:hAnsi="Arial" w:cs="Arial"/>
        </w:rPr>
      </w:pPr>
      <w:r w:rsidRPr="00803E82">
        <w:rPr>
          <w:rFonts w:ascii="Arial" w:hAnsi="Arial" w:cs="Arial"/>
        </w:rPr>
        <w:t>9.3 learn how to organise their private study and library research;</w:t>
      </w:r>
    </w:p>
    <w:p w14:paraId="4AD930C8" w14:textId="77777777" w:rsidR="00024ADD" w:rsidRPr="00803E82" w:rsidRDefault="00024ADD" w:rsidP="00024ADD">
      <w:pPr>
        <w:pStyle w:val="ListParagraph"/>
        <w:spacing w:after="0" w:line="240" w:lineRule="auto"/>
        <w:ind w:right="260"/>
        <w:rPr>
          <w:rFonts w:ascii="Arial" w:hAnsi="Arial" w:cs="Arial"/>
        </w:rPr>
      </w:pPr>
      <w:r w:rsidRPr="00803E82">
        <w:rPr>
          <w:rFonts w:ascii="Arial" w:hAnsi="Arial" w:cs="Arial"/>
        </w:rPr>
        <w:t>9.4 acquire the ability to manage a workload in the context of a professional organisation;</w:t>
      </w:r>
    </w:p>
    <w:p w14:paraId="0931401A" w14:textId="0DBA85A4" w:rsidR="00024ADD" w:rsidRPr="00803E82" w:rsidRDefault="00024ADD" w:rsidP="00024ADD">
      <w:pPr>
        <w:pStyle w:val="ListParagraph"/>
        <w:spacing w:after="0" w:line="240" w:lineRule="auto"/>
        <w:ind w:right="260"/>
        <w:rPr>
          <w:rFonts w:ascii="Arial" w:hAnsi="Arial" w:cs="Arial"/>
        </w:rPr>
      </w:pPr>
      <w:r w:rsidRPr="00803E82">
        <w:rPr>
          <w:rFonts w:ascii="Arial" w:hAnsi="Arial" w:cs="Arial"/>
        </w:rPr>
        <w:t xml:space="preserve">9.5 demonstrate the acquisition of an independent learning style; for example in the preparation and presentation of course work, in carrying out independent research, in showing the </w:t>
      </w:r>
      <w:r w:rsidR="00DD27AB" w:rsidRPr="00DD27AB">
        <w:rPr>
          <w:rFonts w:ascii="Arial" w:hAnsi="Arial" w:cs="Arial"/>
        </w:rPr>
        <w:t>ability to communicate effectively to a variety of audiences and/or using a variety of methods</w:t>
      </w:r>
      <w:r w:rsidRPr="00734F44">
        <w:rPr>
          <w:rFonts w:ascii="Arial" w:hAnsi="Arial" w:cs="Arial"/>
          <w:highlight w:val="yellow"/>
        </w:rPr>
        <w:t>;</w:t>
      </w:r>
    </w:p>
    <w:p w14:paraId="4174D7F2" w14:textId="77777777" w:rsidR="00024ADD" w:rsidRPr="00803E82" w:rsidRDefault="00024ADD" w:rsidP="00024ADD">
      <w:pPr>
        <w:pStyle w:val="ListParagraph"/>
        <w:spacing w:after="0" w:line="240" w:lineRule="auto"/>
        <w:ind w:right="260"/>
        <w:rPr>
          <w:rFonts w:ascii="Arial" w:hAnsi="Arial" w:cs="Arial"/>
        </w:rPr>
      </w:pPr>
      <w:r w:rsidRPr="00803E82">
        <w:rPr>
          <w:rFonts w:ascii="Arial" w:hAnsi="Arial" w:cs="Arial"/>
        </w:rPr>
        <w:t>9.6 approach problem-solving creatively, and form critical and evaluative judgments about the appropriateness of these approaches to a level where a substantial degree of autonomy and self-reflexive awareness is achieved in these tasks.</w:t>
      </w:r>
    </w:p>
    <w:p w14:paraId="0CE5AAA3" w14:textId="77777777" w:rsidR="00154D48" w:rsidRDefault="00154D48" w:rsidP="00024ADD">
      <w:pPr>
        <w:pStyle w:val="Default"/>
        <w:spacing w:after="120"/>
        <w:ind w:right="260"/>
        <w:rPr>
          <w:color w:val="auto"/>
          <w:sz w:val="22"/>
          <w:szCs w:val="22"/>
        </w:rPr>
      </w:pPr>
    </w:p>
    <w:p w14:paraId="61CFF0C6" w14:textId="77777777"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4EE12DC" w14:textId="192A8C95" w:rsidR="00557466" w:rsidRPr="00557466" w:rsidRDefault="00557466" w:rsidP="00557466">
      <w:pPr>
        <w:pStyle w:val="ListParagraph"/>
        <w:rPr>
          <w:rFonts w:ascii="Arial" w:hAnsi="Arial" w:cs="Arial"/>
        </w:rPr>
      </w:pPr>
      <w:r w:rsidRPr="00046D1C">
        <w:rPr>
          <w:rFonts w:ascii="Arial" w:hAnsi="Arial" w:cs="Arial"/>
        </w:rPr>
        <w:t xml:space="preserve">The module explores storytelling in fictional television series, and how the long duration of these series changes the spectator’s engagement, as compared to engagement in the relatively short fiction film. Furthermore, this module focuses on case studies in order to investigate their narrative, stylistic and thematic characteristics, their specific genre conventions and their background in television history. Case studies may include </w:t>
      </w:r>
      <w:r w:rsidRPr="00046D1C">
        <w:rPr>
          <w:rFonts w:ascii="Arial" w:hAnsi="Arial" w:cs="Arial"/>
          <w:i/>
        </w:rPr>
        <w:t>The Sopranos, The Wire, Breaking Bad</w:t>
      </w:r>
      <w:r w:rsidRPr="00046D1C">
        <w:rPr>
          <w:rFonts w:ascii="Arial" w:hAnsi="Arial" w:cs="Arial"/>
        </w:rPr>
        <w:t xml:space="preserve"> and </w:t>
      </w:r>
      <w:r w:rsidRPr="00046D1C">
        <w:rPr>
          <w:rFonts w:ascii="Arial" w:hAnsi="Arial" w:cs="Arial"/>
          <w:i/>
        </w:rPr>
        <w:t xml:space="preserve">Madmen </w:t>
      </w:r>
      <w:r w:rsidRPr="00046D1C">
        <w:rPr>
          <w:rFonts w:ascii="Arial" w:hAnsi="Arial" w:cs="Arial"/>
        </w:rPr>
        <w:t xml:space="preserve">in an inquiry into the narrative as well as moral complexity of this recent, so-called quality trend of American drama television series, and the emerging genre convention of the antihero. The module also addresses how various types of television series have been valued in critical reception through the history of television. For example, in relation to the case studies mentioned above, the module may examine critically the implications of the oft-used label ‘Quality TV’ and the HBO slogan ‘It’s not TV, </w:t>
      </w:r>
      <w:proofErr w:type="gramStart"/>
      <w:r w:rsidRPr="00046D1C">
        <w:rPr>
          <w:rFonts w:ascii="Arial" w:hAnsi="Arial" w:cs="Arial"/>
        </w:rPr>
        <w:t>it’s</w:t>
      </w:r>
      <w:proofErr w:type="gramEnd"/>
      <w:r w:rsidRPr="00046D1C">
        <w:rPr>
          <w:rFonts w:ascii="Arial" w:hAnsi="Arial" w:cs="Arial"/>
        </w:rPr>
        <w:t xml:space="preserve"> HBO’. In addition to introducing the students to current developments in television studies, this module takes a film theoretical, </w:t>
      </w:r>
      <w:proofErr w:type="spellStart"/>
      <w:r w:rsidRPr="00046D1C">
        <w:rPr>
          <w:rFonts w:ascii="Arial" w:hAnsi="Arial" w:cs="Arial"/>
        </w:rPr>
        <w:t>narratological</w:t>
      </w:r>
      <w:proofErr w:type="spellEnd"/>
      <w:r w:rsidRPr="00046D1C">
        <w:rPr>
          <w:rFonts w:ascii="Arial" w:hAnsi="Arial" w:cs="Arial"/>
        </w:rPr>
        <w:t xml:space="preserve"> approach to current television series, and trains students in various approaches to the study of television series in and beyond television studies proper. </w:t>
      </w:r>
    </w:p>
    <w:p w14:paraId="3844D72E"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5A62B54" w14:textId="77777777" w:rsidR="007A651E" w:rsidRPr="00046D1C" w:rsidRDefault="007A651E" w:rsidP="007A651E">
      <w:pPr>
        <w:pStyle w:val="ListParagraph"/>
        <w:spacing w:after="0"/>
        <w:rPr>
          <w:rFonts w:ascii="Arial" w:hAnsi="Arial" w:cs="Arial"/>
          <w:lang w:val="en-US"/>
        </w:rPr>
      </w:pPr>
      <w:r w:rsidRPr="00046D1C">
        <w:rPr>
          <w:rFonts w:ascii="Arial" w:hAnsi="Arial" w:cs="Arial"/>
          <w:lang w:val="en-US"/>
        </w:rPr>
        <w:t xml:space="preserve">Dunleavy, Trisha. </w:t>
      </w:r>
      <w:r w:rsidRPr="00046D1C">
        <w:rPr>
          <w:rFonts w:ascii="Arial" w:hAnsi="Arial" w:cs="Arial"/>
          <w:i/>
          <w:lang w:val="en-US"/>
        </w:rPr>
        <w:t>Television Drama. Form, Agency, Innovation.</w:t>
      </w:r>
      <w:r w:rsidRPr="00046D1C">
        <w:rPr>
          <w:rFonts w:ascii="Arial" w:hAnsi="Arial" w:cs="Arial"/>
          <w:lang w:val="en-US"/>
        </w:rPr>
        <w:t xml:space="preserve"> New York: Palgrave </w:t>
      </w:r>
      <w:proofErr w:type="spellStart"/>
      <w:r w:rsidRPr="00046D1C">
        <w:rPr>
          <w:rFonts w:ascii="Arial" w:hAnsi="Arial" w:cs="Arial"/>
          <w:lang w:val="en-US"/>
        </w:rPr>
        <w:t>Macmillian</w:t>
      </w:r>
      <w:proofErr w:type="spellEnd"/>
      <w:r w:rsidRPr="00046D1C">
        <w:rPr>
          <w:rFonts w:ascii="Arial" w:hAnsi="Arial" w:cs="Arial"/>
          <w:lang w:val="en-US"/>
        </w:rPr>
        <w:t>, 2009</w:t>
      </w:r>
    </w:p>
    <w:p w14:paraId="02D9374C" w14:textId="77777777" w:rsidR="007A651E" w:rsidRPr="00046D1C" w:rsidRDefault="007A651E" w:rsidP="007A651E">
      <w:pPr>
        <w:pStyle w:val="ListParagraph"/>
        <w:spacing w:after="0"/>
        <w:rPr>
          <w:rFonts w:ascii="Arial" w:hAnsi="Arial" w:cs="Arial"/>
          <w:iCs/>
          <w:lang w:val="en-US"/>
        </w:rPr>
      </w:pPr>
      <w:proofErr w:type="spellStart"/>
      <w:r w:rsidRPr="00046D1C">
        <w:rPr>
          <w:rFonts w:ascii="Arial" w:hAnsi="Arial" w:cs="Arial"/>
          <w:lang w:val="en"/>
        </w:rPr>
        <w:t>Mittell</w:t>
      </w:r>
      <w:proofErr w:type="spellEnd"/>
      <w:r w:rsidRPr="00046D1C">
        <w:rPr>
          <w:rFonts w:ascii="Arial" w:hAnsi="Arial" w:cs="Arial"/>
          <w:lang w:val="en"/>
        </w:rPr>
        <w:t xml:space="preserve">, Jason. </w:t>
      </w:r>
      <w:r w:rsidRPr="00046D1C">
        <w:rPr>
          <w:rFonts w:ascii="Arial" w:hAnsi="Arial" w:cs="Arial"/>
          <w:i/>
          <w:iCs/>
          <w:lang w:val="en-US"/>
        </w:rPr>
        <w:t xml:space="preserve">Complex TV: The Poetics of Contemporary Television Storytelling. </w:t>
      </w:r>
      <w:r w:rsidRPr="002230EF">
        <w:rPr>
          <w:rFonts w:ascii="Arial" w:hAnsi="Arial" w:cs="Arial"/>
          <w:iCs/>
          <w:lang w:val="en-US"/>
        </w:rPr>
        <w:t>New York:</w:t>
      </w:r>
      <w:r>
        <w:rPr>
          <w:rFonts w:ascii="Arial" w:hAnsi="Arial" w:cs="Arial"/>
          <w:i/>
          <w:iCs/>
          <w:lang w:val="en-US"/>
        </w:rPr>
        <w:t xml:space="preserve"> </w:t>
      </w:r>
      <w:r w:rsidRPr="00046D1C">
        <w:rPr>
          <w:rFonts w:ascii="Arial" w:hAnsi="Arial" w:cs="Arial"/>
          <w:iCs/>
          <w:lang w:val="en-US"/>
        </w:rPr>
        <w:t>New York University Press</w:t>
      </w:r>
      <w:r>
        <w:rPr>
          <w:rFonts w:ascii="Arial" w:hAnsi="Arial" w:cs="Arial"/>
          <w:iCs/>
          <w:lang w:val="en-US"/>
        </w:rPr>
        <w:t>, 2015</w:t>
      </w:r>
    </w:p>
    <w:p w14:paraId="622B02CC" w14:textId="77777777" w:rsidR="007A651E" w:rsidRPr="007A651E" w:rsidRDefault="007A651E" w:rsidP="007A651E">
      <w:pPr>
        <w:pStyle w:val="ListParagraph"/>
        <w:spacing w:after="0"/>
        <w:rPr>
          <w:rFonts w:ascii="Arial" w:hAnsi="Arial" w:cs="Arial"/>
          <w:lang w:val="en-US"/>
        </w:rPr>
      </w:pPr>
      <w:r w:rsidRPr="007A651E">
        <w:rPr>
          <w:rFonts w:ascii="Arial" w:hAnsi="Arial" w:cs="Arial"/>
          <w:lang w:val="en-US"/>
        </w:rPr>
        <w:t xml:space="preserve">Nelson, Robin. </w:t>
      </w:r>
      <w:r w:rsidRPr="007A651E">
        <w:rPr>
          <w:rFonts w:ascii="Arial" w:hAnsi="Arial" w:cs="Arial"/>
          <w:i/>
          <w:lang w:val="en-US"/>
        </w:rPr>
        <w:t>State of Play. Contemporary “High-End” TV Drama</w:t>
      </w:r>
      <w:r w:rsidRPr="007A651E">
        <w:rPr>
          <w:rFonts w:ascii="Arial" w:hAnsi="Arial" w:cs="Arial"/>
          <w:lang w:val="en-US"/>
        </w:rPr>
        <w:t>. Manchester: Manchester University Press, 2007</w:t>
      </w:r>
    </w:p>
    <w:p w14:paraId="2717420D" w14:textId="77777777" w:rsidR="007A651E" w:rsidRPr="00046D1C" w:rsidRDefault="007A651E" w:rsidP="007A651E">
      <w:pPr>
        <w:pStyle w:val="ListParagraph"/>
        <w:spacing w:after="0"/>
        <w:rPr>
          <w:rFonts w:ascii="Arial" w:eastAsia="Cambria" w:hAnsi="Arial" w:cs="Arial"/>
          <w:lang w:val="en-US"/>
        </w:rPr>
      </w:pPr>
      <w:r w:rsidRPr="00046D1C">
        <w:rPr>
          <w:rFonts w:ascii="Arial" w:eastAsia="Cambria" w:hAnsi="Arial" w:cs="Arial"/>
          <w:lang w:val="nn-NO"/>
        </w:rPr>
        <w:t xml:space="preserve">Newman, Michael Z.  and Elana Levine, </w:t>
      </w:r>
      <w:r w:rsidRPr="00046D1C">
        <w:rPr>
          <w:rFonts w:ascii="Arial" w:eastAsia="Cambria" w:hAnsi="Arial" w:cs="Arial"/>
          <w:i/>
          <w:lang w:val="nn-NO"/>
        </w:rPr>
        <w:t xml:space="preserve">Legitimating Television. </w:t>
      </w:r>
      <w:r w:rsidRPr="00046D1C">
        <w:rPr>
          <w:rFonts w:ascii="Arial" w:eastAsia="Cambria" w:hAnsi="Arial" w:cs="Arial"/>
          <w:i/>
          <w:lang w:val="en-US"/>
        </w:rPr>
        <w:t>Media Convergence and Cultural Status.</w:t>
      </w:r>
      <w:r w:rsidRPr="00046D1C">
        <w:rPr>
          <w:rFonts w:ascii="Arial" w:eastAsia="Cambria" w:hAnsi="Arial" w:cs="Arial"/>
          <w:lang w:val="en-US"/>
        </w:rPr>
        <w:t xml:space="preserve"> New York: Routledge, 2012</w:t>
      </w:r>
    </w:p>
    <w:p w14:paraId="424DB375" w14:textId="77777777" w:rsidR="007A651E" w:rsidRPr="00046D1C" w:rsidRDefault="007A651E" w:rsidP="007A651E">
      <w:pPr>
        <w:pStyle w:val="ListParagraph"/>
        <w:spacing w:after="0"/>
        <w:rPr>
          <w:rFonts w:ascii="Arial" w:hAnsi="Arial" w:cs="Arial"/>
          <w:lang w:val="en-US"/>
        </w:rPr>
      </w:pPr>
      <w:proofErr w:type="spellStart"/>
      <w:r w:rsidRPr="00046D1C">
        <w:rPr>
          <w:rFonts w:ascii="Arial" w:hAnsi="Arial" w:cs="Arial"/>
          <w:lang w:val="en-US"/>
        </w:rPr>
        <w:t>Polan</w:t>
      </w:r>
      <w:proofErr w:type="spellEnd"/>
      <w:r w:rsidRPr="00046D1C">
        <w:rPr>
          <w:rFonts w:ascii="Arial" w:hAnsi="Arial" w:cs="Arial"/>
          <w:lang w:val="en-US"/>
        </w:rPr>
        <w:t xml:space="preserve">, Dana. </w:t>
      </w:r>
      <w:r w:rsidRPr="00046D1C">
        <w:rPr>
          <w:rFonts w:ascii="Arial" w:hAnsi="Arial" w:cs="Arial"/>
          <w:i/>
          <w:lang w:val="en-US"/>
        </w:rPr>
        <w:t>The Sopranos.</w:t>
      </w:r>
      <w:r w:rsidRPr="00046D1C">
        <w:rPr>
          <w:rFonts w:ascii="Arial" w:hAnsi="Arial" w:cs="Arial"/>
          <w:lang w:val="en-US"/>
        </w:rPr>
        <w:t xml:space="preserve"> Durham: Duke University Press, 2009</w:t>
      </w:r>
    </w:p>
    <w:p w14:paraId="43FFCD13" w14:textId="59BA9492" w:rsidR="009A2D37" w:rsidRPr="007A651E" w:rsidRDefault="007A651E" w:rsidP="007A651E">
      <w:pPr>
        <w:pStyle w:val="ListParagraph"/>
        <w:spacing w:after="0"/>
        <w:rPr>
          <w:rFonts w:ascii="Arial" w:hAnsi="Arial" w:cs="Arial"/>
          <w:lang w:val="en-US"/>
        </w:rPr>
      </w:pPr>
      <w:r w:rsidRPr="00046D1C">
        <w:rPr>
          <w:rFonts w:ascii="Arial" w:hAnsi="Arial" w:cs="Arial"/>
          <w:lang w:val="en-US"/>
        </w:rPr>
        <w:t>Thompson, Robert .</w:t>
      </w:r>
      <w:r w:rsidRPr="00046D1C">
        <w:rPr>
          <w:rFonts w:ascii="Arial" w:hAnsi="Arial" w:cs="Arial"/>
          <w:i/>
          <w:lang w:val="en-US"/>
        </w:rPr>
        <w:t xml:space="preserve">Television’s Second Golden Age. From Hill Street Blues to </w:t>
      </w:r>
      <w:proofErr w:type="spellStart"/>
      <w:r w:rsidRPr="00046D1C">
        <w:rPr>
          <w:rFonts w:ascii="Arial" w:hAnsi="Arial" w:cs="Arial"/>
          <w:i/>
          <w:lang w:val="en-US"/>
        </w:rPr>
        <w:t>ER.</w:t>
      </w:r>
      <w:r w:rsidRPr="00046D1C">
        <w:rPr>
          <w:rFonts w:ascii="Arial" w:hAnsi="Arial" w:cs="Arial"/>
          <w:lang w:val="en-US"/>
        </w:rPr>
        <w:t>Syracuse</w:t>
      </w:r>
      <w:proofErr w:type="spellEnd"/>
      <w:r w:rsidRPr="00046D1C">
        <w:rPr>
          <w:rFonts w:ascii="Arial" w:hAnsi="Arial" w:cs="Arial"/>
          <w:lang w:val="en-US"/>
        </w:rPr>
        <w:t>: Syracuse University Press, 1996</w:t>
      </w:r>
    </w:p>
    <w:p w14:paraId="476B2D77" w14:textId="77777777" w:rsidR="00154D48" w:rsidRPr="00154D48" w:rsidRDefault="00154D48" w:rsidP="00154D48">
      <w:pPr>
        <w:spacing w:after="120" w:line="240" w:lineRule="auto"/>
        <w:ind w:left="567" w:right="260"/>
        <w:jc w:val="both"/>
        <w:rPr>
          <w:rFonts w:ascii="Arial" w:hAnsi="Arial" w:cs="Arial"/>
        </w:rPr>
      </w:pPr>
    </w:p>
    <w:p w14:paraId="75BC06B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E429FBD" w14:textId="47A5A158" w:rsidR="006578A3" w:rsidRPr="006578A3" w:rsidRDefault="006578A3" w:rsidP="006578A3">
      <w:pPr>
        <w:pStyle w:val="ListParagraph"/>
        <w:spacing w:after="120" w:line="240" w:lineRule="auto"/>
        <w:ind w:right="260"/>
        <w:jc w:val="both"/>
        <w:rPr>
          <w:rFonts w:ascii="Arial" w:hAnsi="Arial" w:cs="Arial"/>
          <w:iCs/>
        </w:rPr>
      </w:pPr>
      <w:r w:rsidRPr="006578A3">
        <w:rPr>
          <w:rFonts w:ascii="Arial" w:hAnsi="Arial" w:cs="Arial"/>
          <w:iCs/>
        </w:rPr>
        <w:t xml:space="preserve">Total contact hours: </w:t>
      </w:r>
      <w:r>
        <w:rPr>
          <w:rFonts w:ascii="Arial" w:hAnsi="Arial" w:cs="Arial"/>
          <w:iCs/>
        </w:rPr>
        <w:t>44</w:t>
      </w:r>
    </w:p>
    <w:p w14:paraId="3CF6F844" w14:textId="382B92B9" w:rsidR="006578A3" w:rsidRPr="006578A3" w:rsidRDefault="006578A3" w:rsidP="006578A3">
      <w:pPr>
        <w:pStyle w:val="ListParagraph"/>
        <w:spacing w:after="120" w:line="240" w:lineRule="auto"/>
        <w:ind w:right="260"/>
        <w:jc w:val="both"/>
        <w:rPr>
          <w:rFonts w:ascii="Arial" w:hAnsi="Arial" w:cs="Arial"/>
          <w:iCs/>
        </w:rPr>
      </w:pPr>
      <w:r w:rsidRPr="006578A3">
        <w:rPr>
          <w:rFonts w:ascii="Arial" w:hAnsi="Arial" w:cs="Arial"/>
          <w:iCs/>
        </w:rPr>
        <w:t>Private study hours: 2</w:t>
      </w:r>
      <w:r>
        <w:rPr>
          <w:rFonts w:ascii="Arial" w:hAnsi="Arial" w:cs="Arial"/>
          <w:iCs/>
        </w:rPr>
        <w:t>56</w:t>
      </w:r>
    </w:p>
    <w:p w14:paraId="495AAE8A" w14:textId="3A291D36" w:rsidR="009A2D37" w:rsidRPr="006578A3" w:rsidRDefault="006578A3" w:rsidP="006578A3">
      <w:pPr>
        <w:pStyle w:val="ListParagraph"/>
        <w:spacing w:after="120" w:line="240" w:lineRule="auto"/>
        <w:ind w:right="260"/>
        <w:jc w:val="both"/>
        <w:rPr>
          <w:rFonts w:ascii="Arial" w:hAnsi="Arial" w:cs="Arial"/>
          <w:iCs/>
        </w:rPr>
      </w:pPr>
      <w:r w:rsidRPr="006578A3">
        <w:rPr>
          <w:rFonts w:ascii="Arial" w:hAnsi="Arial" w:cs="Arial"/>
          <w:iCs/>
        </w:rPr>
        <w:t>Total study hours: 300</w:t>
      </w:r>
    </w:p>
    <w:p w14:paraId="36E6BAFA" w14:textId="77777777" w:rsidR="00154D48" w:rsidRPr="00154D48" w:rsidRDefault="00154D48" w:rsidP="00154D48">
      <w:pPr>
        <w:spacing w:after="120" w:line="240" w:lineRule="auto"/>
        <w:ind w:left="567" w:right="260"/>
        <w:rPr>
          <w:rFonts w:ascii="Arial" w:hAnsi="Arial" w:cs="Arial"/>
          <w:iCs/>
        </w:rPr>
      </w:pPr>
    </w:p>
    <w:p w14:paraId="4C9FD04D"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2A06FEC1"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lastRenderedPageBreak/>
        <w:t>Main assessment methods</w:t>
      </w:r>
    </w:p>
    <w:p w14:paraId="1E7429AE" w14:textId="77777777" w:rsidR="00A94C2F" w:rsidRPr="00A94C2F" w:rsidRDefault="00A94C2F" w:rsidP="00734F44">
      <w:pPr>
        <w:pStyle w:val="ListParagraph"/>
        <w:spacing w:after="120" w:line="240" w:lineRule="auto"/>
        <w:ind w:left="420" w:right="260" w:firstLine="147"/>
        <w:jc w:val="both"/>
        <w:rPr>
          <w:rFonts w:ascii="Arial" w:hAnsi="Arial" w:cs="Arial"/>
          <w:iCs/>
        </w:rPr>
      </w:pPr>
      <w:r w:rsidRPr="00A94C2F">
        <w:rPr>
          <w:rFonts w:ascii="Arial" w:hAnsi="Arial" w:cs="Arial"/>
          <w:iCs/>
        </w:rPr>
        <w:t>Essay 1 (2500 words) (40%)</w:t>
      </w:r>
    </w:p>
    <w:p w14:paraId="6967F15A" w14:textId="6A40667B" w:rsidR="003F3578" w:rsidRPr="00A94C2F" w:rsidRDefault="00A94C2F" w:rsidP="00734F44">
      <w:pPr>
        <w:pStyle w:val="ListParagraph"/>
        <w:spacing w:after="120" w:line="240" w:lineRule="auto"/>
        <w:ind w:left="420" w:right="260" w:firstLine="147"/>
        <w:jc w:val="both"/>
        <w:rPr>
          <w:rFonts w:ascii="Arial" w:hAnsi="Arial" w:cs="Arial"/>
          <w:iCs/>
        </w:rPr>
      </w:pPr>
      <w:r w:rsidRPr="00A94C2F">
        <w:rPr>
          <w:rFonts w:ascii="Arial" w:hAnsi="Arial" w:cs="Arial"/>
          <w:iCs/>
        </w:rPr>
        <w:t>Essay 2 (3500 words) (60%)</w:t>
      </w:r>
    </w:p>
    <w:p w14:paraId="53A2EF39" w14:textId="77777777" w:rsidR="00154D48" w:rsidRPr="00154D48" w:rsidRDefault="00154D48" w:rsidP="00154D48">
      <w:pPr>
        <w:spacing w:after="120" w:line="240" w:lineRule="auto"/>
        <w:ind w:left="567" w:right="260"/>
        <w:rPr>
          <w:rFonts w:ascii="Arial" w:hAnsi="Arial" w:cs="Arial"/>
          <w:iCs/>
        </w:rPr>
      </w:pPr>
    </w:p>
    <w:p w14:paraId="2CC03C45"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65D4DF62" w14:textId="4FA7099B" w:rsidR="00B72470" w:rsidRPr="00D02BF9" w:rsidRDefault="00D02BF9" w:rsidP="00D02BF9">
      <w:pPr>
        <w:spacing w:after="120" w:line="240" w:lineRule="auto"/>
        <w:ind w:left="567" w:right="260"/>
        <w:jc w:val="both"/>
        <w:rPr>
          <w:rFonts w:ascii="Arial" w:hAnsi="Arial" w:cs="Arial"/>
          <w:b/>
          <w:iCs/>
        </w:rPr>
      </w:pPr>
      <w:r>
        <w:rPr>
          <w:rFonts w:ascii="Arial" w:hAnsi="Arial" w:cs="Arial"/>
          <w:iCs/>
        </w:rPr>
        <w:t>Like for Like</w:t>
      </w:r>
    </w:p>
    <w:p w14:paraId="328A94E9" w14:textId="77777777" w:rsidR="00154D48" w:rsidRPr="00154D48" w:rsidRDefault="00154D48" w:rsidP="00154D48">
      <w:pPr>
        <w:spacing w:after="120" w:line="240" w:lineRule="auto"/>
        <w:ind w:left="567" w:right="260"/>
        <w:rPr>
          <w:rFonts w:ascii="Arial" w:hAnsi="Arial" w:cs="Arial"/>
          <w:iCs/>
        </w:rPr>
      </w:pPr>
    </w:p>
    <w:p w14:paraId="097F6E1D" w14:textId="77777777" w:rsidR="00274ED7" w:rsidRDefault="006F3F8B" w:rsidP="00696FF5">
      <w:pPr>
        <w:numPr>
          <w:ilvl w:val="0"/>
          <w:numId w:val="1"/>
        </w:numPr>
        <w:spacing w:after="120" w:line="240" w:lineRule="auto"/>
        <w:ind w:left="567" w:right="261" w:hanging="567"/>
        <w:jc w:val="both"/>
        <w:rPr>
          <w:rFonts w:ascii="Arial" w:hAnsi="Arial" w:cs="Arial"/>
          <w:b/>
          <w:i/>
          <w:iCs/>
        </w:rPr>
      </w:pPr>
      <w:r w:rsidRPr="00302082">
        <w:rPr>
          <w:rFonts w:ascii="Arial" w:hAnsi="Arial" w:cs="Arial"/>
          <w:b/>
          <w:i/>
          <w:iCs/>
        </w:rPr>
        <w:t xml:space="preserve">Map of </w:t>
      </w:r>
      <w:r w:rsidR="00883204" w:rsidRPr="00302082">
        <w:rPr>
          <w:rFonts w:ascii="Arial" w:hAnsi="Arial" w:cs="Arial"/>
          <w:b/>
          <w:i/>
          <w:iCs/>
        </w:rPr>
        <w:t xml:space="preserve">module learning outcomes </w:t>
      </w:r>
      <w:r w:rsidR="00B30E07" w:rsidRPr="00302082">
        <w:rPr>
          <w:rFonts w:ascii="Arial" w:hAnsi="Arial" w:cs="Arial"/>
          <w:b/>
          <w:i/>
          <w:iCs/>
        </w:rPr>
        <w:t>(sections 8 &amp; 9)</w:t>
      </w:r>
      <w:r w:rsidR="00883204">
        <w:rPr>
          <w:rFonts w:ascii="Arial" w:hAnsi="Arial" w:cs="Arial"/>
          <w:b/>
          <w:i/>
          <w:iCs/>
        </w:rPr>
        <w:t xml:space="preserve"> to l</w:t>
      </w:r>
      <w:r w:rsidRPr="00302082">
        <w:rPr>
          <w:rFonts w:ascii="Arial" w:hAnsi="Arial" w:cs="Arial"/>
          <w:b/>
          <w:i/>
          <w:iCs/>
        </w:rPr>
        <w:t>earning</w:t>
      </w:r>
      <w:r w:rsidR="00B30E07" w:rsidRPr="00302082">
        <w:rPr>
          <w:rFonts w:ascii="Arial" w:hAnsi="Arial" w:cs="Arial"/>
          <w:b/>
          <w:i/>
          <w:iCs/>
        </w:rPr>
        <w:t xml:space="preserve"> and </w:t>
      </w:r>
      <w:r w:rsidR="00883204" w:rsidRPr="00302082">
        <w:rPr>
          <w:rFonts w:ascii="Arial" w:hAnsi="Arial" w:cs="Arial"/>
          <w:b/>
          <w:i/>
          <w:iCs/>
        </w:rPr>
        <w:t>teaching m</w:t>
      </w:r>
      <w:r w:rsidR="00B30E07" w:rsidRPr="00302082">
        <w:rPr>
          <w:rFonts w:ascii="Arial" w:hAnsi="Arial" w:cs="Arial"/>
          <w:b/>
          <w:i/>
          <w:iCs/>
        </w:rPr>
        <w:t>ethods (section12</w:t>
      </w:r>
      <w:r w:rsidRPr="00302082">
        <w:rPr>
          <w:rFonts w:ascii="Arial" w:hAnsi="Arial" w:cs="Arial"/>
          <w:b/>
          <w:i/>
          <w:iCs/>
        </w:rPr>
        <w:t>) and m</w:t>
      </w:r>
      <w:r w:rsidR="00883204">
        <w:rPr>
          <w:rFonts w:ascii="Arial" w:hAnsi="Arial" w:cs="Arial"/>
          <w:b/>
          <w:i/>
          <w:iCs/>
        </w:rPr>
        <w:t>ethods of a</w:t>
      </w:r>
      <w:r w:rsidR="00B30E07" w:rsidRPr="00302082">
        <w:rPr>
          <w:rFonts w:ascii="Arial" w:hAnsi="Arial" w:cs="Arial"/>
          <w:b/>
          <w:i/>
          <w:iCs/>
        </w:rPr>
        <w:t>ssessment (section 13</w:t>
      </w:r>
      <w:r w:rsidR="00EF4933" w:rsidRPr="00302082">
        <w:rPr>
          <w:rFonts w:ascii="Arial" w:hAnsi="Arial" w:cs="Arial"/>
          <w:b/>
          <w:i/>
          <w:iCs/>
        </w:rPr>
        <w:t>)</w:t>
      </w:r>
    </w:p>
    <w:p w14:paraId="78AFFC3D" w14:textId="77777777" w:rsidR="001C1787" w:rsidRPr="001C1787" w:rsidRDefault="001C1787" w:rsidP="001C1787">
      <w:pPr>
        <w:spacing w:after="120" w:line="240" w:lineRule="auto"/>
        <w:ind w:left="567" w:right="261"/>
        <w:jc w:val="both"/>
        <w:rPr>
          <w:rFonts w:ascii="Arial" w:hAnsi="Arial" w:cs="Arial"/>
          <w:i/>
          <w:iCs/>
        </w:rPr>
      </w:pPr>
    </w:p>
    <w:tbl>
      <w:tblPr>
        <w:tblStyle w:val="TableGrid"/>
        <w:tblW w:w="0" w:type="auto"/>
        <w:tblInd w:w="625" w:type="dxa"/>
        <w:tblLook w:val="04A0" w:firstRow="1" w:lastRow="0" w:firstColumn="1" w:lastColumn="0" w:noHBand="0" w:noVBand="1"/>
      </w:tblPr>
      <w:tblGrid>
        <w:gridCol w:w="1872"/>
        <w:gridCol w:w="495"/>
        <w:gridCol w:w="495"/>
        <w:gridCol w:w="495"/>
        <w:gridCol w:w="495"/>
        <w:gridCol w:w="495"/>
        <w:gridCol w:w="495"/>
        <w:gridCol w:w="495"/>
        <w:gridCol w:w="495"/>
        <w:gridCol w:w="495"/>
        <w:gridCol w:w="495"/>
        <w:gridCol w:w="495"/>
      </w:tblGrid>
      <w:tr w:rsidR="00DD27AB" w:rsidRPr="00846DF5" w14:paraId="3805481F" w14:textId="77777777" w:rsidTr="00734F44">
        <w:tc>
          <w:tcPr>
            <w:tcW w:w="0" w:type="auto"/>
            <w:shd w:val="clear" w:color="auto" w:fill="D9D9D9" w:themeFill="background1" w:themeFillShade="D9"/>
          </w:tcPr>
          <w:p w14:paraId="1E146D33" w14:textId="77777777" w:rsidR="00DD27AB" w:rsidRPr="00846DF5" w:rsidRDefault="00DD27AB" w:rsidP="00B15D4C">
            <w:pPr>
              <w:spacing w:after="120"/>
              <w:ind w:left="33"/>
              <w:rPr>
                <w:rFonts w:ascii="Arial" w:hAnsi="Arial" w:cs="Arial"/>
                <w:b/>
                <w:sz w:val="20"/>
                <w:szCs w:val="20"/>
              </w:rPr>
            </w:pPr>
            <w:r w:rsidRPr="00846DF5">
              <w:rPr>
                <w:rFonts w:ascii="Arial" w:hAnsi="Arial" w:cs="Arial"/>
                <w:b/>
                <w:sz w:val="20"/>
                <w:szCs w:val="20"/>
              </w:rPr>
              <w:t xml:space="preserve">Module learning </w:t>
            </w:r>
          </w:p>
          <w:p w14:paraId="10ADF2BB" w14:textId="77777777" w:rsidR="00DD27AB" w:rsidRPr="00846DF5" w:rsidRDefault="00DD27AB" w:rsidP="00B15D4C">
            <w:pPr>
              <w:spacing w:after="120"/>
              <w:ind w:left="33"/>
              <w:rPr>
                <w:rFonts w:ascii="Arial" w:hAnsi="Arial" w:cs="Arial"/>
                <w:b/>
                <w:sz w:val="20"/>
                <w:szCs w:val="20"/>
              </w:rPr>
            </w:pPr>
            <w:r w:rsidRPr="00846DF5">
              <w:rPr>
                <w:rFonts w:ascii="Arial" w:hAnsi="Arial" w:cs="Arial"/>
                <w:b/>
                <w:sz w:val="20"/>
                <w:szCs w:val="20"/>
              </w:rPr>
              <w:t>outcome</w:t>
            </w:r>
          </w:p>
        </w:tc>
        <w:tc>
          <w:tcPr>
            <w:tcW w:w="0" w:type="auto"/>
          </w:tcPr>
          <w:p w14:paraId="7C45A20F" w14:textId="77777777" w:rsidR="00DD27AB" w:rsidRPr="00846DF5" w:rsidRDefault="00DD27AB" w:rsidP="00B15D4C">
            <w:pPr>
              <w:spacing w:after="120"/>
              <w:rPr>
                <w:rFonts w:ascii="Arial" w:hAnsi="Arial" w:cs="Arial"/>
                <w:i/>
                <w:sz w:val="20"/>
                <w:szCs w:val="20"/>
              </w:rPr>
            </w:pPr>
            <w:r w:rsidRPr="00846DF5">
              <w:rPr>
                <w:rFonts w:ascii="Arial" w:hAnsi="Arial" w:cs="Arial"/>
                <w:i/>
                <w:sz w:val="20"/>
                <w:szCs w:val="20"/>
              </w:rPr>
              <w:t>8.1</w:t>
            </w:r>
          </w:p>
        </w:tc>
        <w:tc>
          <w:tcPr>
            <w:tcW w:w="0" w:type="auto"/>
          </w:tcPr>
          <w:p w14:paraId="16670726" w14:textId="77777777" w:rsidR="00DD27AB" w:rsidRPr="00846DF5" w:rsidRDefault="00DD27AB" w:rsidP="00B15D4C">
            <w:pPr>
              <w:spacing w:after="120"/>
              <w:rPr>
                <w:rFonts w:ascii="Arial" w:hAnsi="Arial" w:cs="Arial"/>
                <w:i/>
                <w:sz w:val="20"/>
                <w:szCs w:val="20"/>
              </w:rPr>
            </w:pPr>
            <w:r w:rsidRPr="00846DF5">
              <w:rPr>
                <w:rFonts w:ascii="Arial" w:hAnsi="Arial" w:cs="Arial"/>
                <w:i/>
                <w:sz w:val="20"/>
                <w:szCs w:val="20"/>
              </w:rPr>
              <w:t>8.2</w:t>
            </w:r>
          </w:p>
        </w:tc>
        <w:tc>
          <w:tcPr>
            <w:tcW w:w="0" w:type="auto"/>
          </w:tcPr>
          <w:p w14:paraId="0989ED49" w14:textId="77777777" w:rsidR="00DD27AB" w:rsidRPr="00846DF5" w:rsidRDefault="00DD27AB" w:rsidP="00B15D4C">
            <w:pPr>
              <w:spacing w:after="120"/>
              <w:rPr>
                <w:rFonts w:ascii="Arial" w:hAnsi="Arial" w:cs="Arial"/>
                <w:i/>
                <w:sz w:val="20"/>
                <w:szCs w:val="20"/>
              </w:rPr>
            </w:pPr>
            <w:r w:rsidRPr="00846DF5">
              <w:rPr>
                <w:rFonts w:ascii="Arial" w:hAnsi="Arial" w:cs="Arial"/>
                <w:i/>
                <w:sz w:val="20"/>
                <w:szCs w:val="20"/>
              </w:rPr>
              <w:t>8.3</w:t>
            </w:r>
          </w:p>
        </w:tc>
        <w:tc>
          <w:tcPr>
            <w:tcW w:w="0" w:type="auto"/>
          </w:tcPr>
          <w:p w14:paraId="0B60D101" w14:textId="77777777" w:rsidR="00DD27AB" w:rsidRPr="00846DF5" w:rsidRDefault="00DD27AB" w:rsidP="00B15D4C">
            <w:pPr>
              <w:spacing w:after="120"/>
              <w:rPr>
                <w:rFonts w:ascii="Arial" w:hAnsi="Arial" w:cs="Arial"/>
                <w:i/>
                <w:sz w:val="20"/>
                <w:szCs w:val="20"/>
              </w:rPr>
            </w:pPr>
            <w:r w:rsidRPr="00846DF5">
              <w:rPr>
                <w:rFonts w:ascii="Arial" w:hAnsi="Arial" w:cs="Arial"/>
                <w:i/>
                <w:sz w:val="20"/>
                <w:szCs w:val="20"/>
              </w:rPr>
              <w:t>8.4</w:t>
            </w:r>
          </w:p>
        </w:tc>
        <w:tc>
          <w:tcPr>
            <w:tcW w:w="0" w:type="auto"/>
          </w:tcPr>
          <w:p w14:paraId="1C3ED1C8" w14:textId="77777777" w:rsidR="00DD27AB" w:rsidRPr="00846DF5" w:rsidRDefault="00DD27AB" w:rsidP="00B15D4C">
            <w:pPr>
              <w:spacing w:after="120"/>
              <w:rPr>
                <w:rFonts w:ascii="Arial" w:hAnsi="Arial" w:cs="Arial"/>
                <w:i/>
                <w:sz w:val="20"/>
                <w:szCs w:val="20"/>
              </w:rPr>
            </w:pPr>
            <w:r w:rsidRPr="00846DF5">
              <w:rPr>
                <w:rFonts w:ascii="Arial" w:hAnsi="Arial" w:cs="Arial"/>
                <w:i/>
                <w:sz w:val="20"/>
                <w:szCs w:val="20"/>
              </w:rPr>
              <w:t>8.5</w:t>
            </w:r>
          </w:p>
        </w:tc>
        <w:tc>
          <w:tcPr>
            <w:tcW w:w="0" w:type="auto"/>
          </w:tcPr>
          <w:p w14:paraId="3102A4E6" w14:textId="77777777" w:rsidR="00DD27AB" w:rsidRPr="00846DF5" w:rsidRDefault="00DD27AB" w:rsidP="00B15D4C">
            <w:pPr>
              <w:spacing w:after="120"/>
              <w:rPr>
                <w:rFonts w:ascii="Arial" w:hAnsi="Arial" w:cs="Arial"/>
                <w:i/>
                <w:sz w:val="20"/>
                <w:szCs w:val="20"/>
              </w:rPr>
            </w:pPr>
            <w:r w:rsidRPr="00846DF5">
              <w:rPr>
                <w:rFonts w:ascii="Arial" w:hAnsi="Arial" w:cs="Arial"/>
                <w:i/>
                <w:sz w:val="20"/>
                <w:szCs w:val="20"/>
              </w:rPr>
              <w:t>9.1</w:t>
            </w:r>
          </w:p>
        </w:tc>
        <w:tc>
          <w:tcPr>
            <w:tcW w:w="0" w:type="auto"/>
          </w:tcPr>
          <w:p w14:paraId="4D7CCAB8" w14:textId="77777777" w:rsidR="00DD27AB" w:rsidRPr="00846DF5" w:rsidRDefault="00DD27AB" w:rsidP="00B15D4C">
            <w:pPr>
              <w:spacing w:after="120"/>
              <w:rPr>
                <w:rFonts w:ascii="Arial" w:hAnsi="Arial" w:cs="Arial"/>
                <w:i/>
                <w:sz w:val="20"/>
                <w:szCs w:val="20"/>
              </w:rPr>
            </w:pPr>
            <w:r w:rsidRPr="00846DF5">
              <w:rPr>
                <w:rFonts w:ascii="Arial" w:hAnsi="Arial" w:cs="Arial"/>
                <w:i/>
                <w:sz w:val="20"/>
                <w:szCs w:val="20"/>
              </w:rPr>
              <w:t>9.2</w:t>
            </w:r>
          </w:p>
        </w:tc>
        <w:tc>
          <w:tcPr>
            <w:tcW w:w="0" w:type="auto"/>
          </w:tcPr>
          <w:p w14:paraId="4779D367" w14:textId="77777777" w:rsidR="00DD27AB" w:rsidRPr="00846DF5" w:rsidRDefault="00DD27AB" w:rsidP="00B15D4C">
            <w:pPr>
              <w:spacing w:after="120"/>
              <w:rPr>
                <w:rFonts w:ascii="Arial" w:hAnsi="Arial" w:cs="Arial"/>
                <w:i/>
                <w:sz w:val="20"/>
                <w:szCs w:val="20"/>
              </w:rPr>
            </w:pPr>
            <w:r w:rsidRPr="00846DF5">
              <w:rPr>
                <w:rFonts w:ascii="Arial" w:hAnsi="Arial" w:cs="Arial"/>
                <w:i/>
                <w:sz w:val="20"/>
                <w:szCs w:val="20"/>
              </w:rPr>
              <w:t>9.3</w:t>
            </w:r>
          </w:p>
        </w:tc>
        <w:tc>
          <w:tcPr>
            <w:tcW w:w="0" w:type="auto"/>
          </w:tcPr>
          <w:p w14:paraId="27AFF91A" w14:textId="77777777" w:rsidR="00DD27AB" w:rsidRPr="00846DF5" w:rsidRDefault="00DD27AB" w:rsidP="00B15D4C">
            <w:pPr>
              <w:spacing w:after="120"/>
              <w:rPr>
                <w:rFonts w:ascii="Arial" w:hAnsi="Arial" w:cs="Arial"/>
                <w:i/>
                <w:sz w:val="20"/>
                <w:szCs w:val="20"/>
              </w:rPr>
            </w:pPr>
            <w:r w:rsidRPr="00846DF5">
              <w:rPr>
                <w:rFonts w:ascii="Arial" w:hAnsi="Arial" w:cs="Arial"/>
                <w:i/>
                <w:sz w:val="20"/>
                <w:szCs w:val="20"/>
              </w:rPr>
              <w:t>9.4</w:t>
            </w:r>
          </w:p>
        </w:tc>
        <w:tc>
          <w:tcPr>
            <w:tcW w:w="0" w:type="auto"/>
          </w:tcPr>
          <w:p w14:paraId="24F41664" w14:textId="77777777" w:rsidR="00DD27AB" w:rsidRPr="00846DF5" w:rsidRDefault="00DD27AB" w:rsidP="00B15D4C">
            <w:pPr>
              <w:spacing w:after="120"/>
              <w:rPr>
                <w:rFonts w:ascii="Arial" w:hAnsi="Arial" w:cs="Arial"/>
                <w:i/>
                <w:sz w:val="20"/>
                <w:szCs w:val="20"/>
              </w:rPr>
            </w:pPr>
            <w:r w:rsidRPr="00846DF5">
              <w:rPr>
                <w:rFonts w:ascii="Arial" w:hAnsi="Arial" w:cs="Arial"/>
                <w:i/>
                <w:sz w:val="20"/>
                <w:szCs w:val="20"/>
              </w:rPr>
              <w:t>9.5</w:t>
            </w:r>
          </w:p>
        </w:tc>
        <w:tc>
          <w:tcPr>
            <w:tcW w:w="0" w:type="auto"/>
          </w:tcPr>
          <w:p w14:paraId="430BB9CB" w14:textId="77777777" w:rsidR="00DD27AB" w:rsidRPr="00846DF5" w:rsidRDefault="00DD27AB" w:rsidP="00B15D4C">
            <w:pPr>
              <w:spacing w:after="120"/>
              <w:rPr>
                <w:rFonts w:ascii="Arial" w:hAnsi="Arial" w:cs="Arial"/>
                <w:i/>
                <w:sz w:val="20"/>
                <w:szCs w:val="20"/>
              </w:rPr>
            </w:pPr>
            <w:r w:rsidRPr="00846DF5">
              <w:rPr>
                <w:rFonts w:ascii="Arial" w:hAnsi="Arial" w:cs="Arial"/>
                <w:i/>
                <w:sz w:val="20"/>
                <w:szCs w:val="20"/>
              </w:rPr>
              <w:t>9.6</w:t>
            </w:r>
          </w:p>
        </w:tc>
      </w:tr>
      <w:tr w:rsidR="00DD27AB" w:rsidRPr="00846DF5" w14:paraId="1304C942" w14:textId="77777777" w:rsidTr="00734F44">
        <w:tc>
          <w:tcPr>
            <w:tcW w:w="0" w:type="auto"/>
            <w:shd w:val="clear" w:color="auto" w:fill="D9D9D9" w:themeFill="background1" w:themeFillShade="D9"/>
          </w:tcPr>
          <w:p w14:paraId="3DACB111"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Learning/</w:t>
            </w:r>
          </w:p>
          <w:p w14:paraId="2511B0EB"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 xml:space="preserve"> teaching method</w:t>
            </w:r>
          </w:p>
        </w:tc>
        <w:tc>
          <w:tcPr>
            <w:tcW w:w="0" w:type="auto"/>
          </w:tcPr>
          <w:p w14:paraId="32BCF5BF" w14:textId="77777777" w:rsidR="00DD27AB" w:rsidRPr="00846DF5" w:rsidRDefault="00DD27AB" w:rsidP="00B15D4C">
            <w:pPr>
              <w:spacing w:after="120"/>
              <w:rPr>
                <w:rFonts w:ascii="Arial" w:hAnsi="Arial" w:cs="Arial"/>
                <w:b/>
                <w:sz w:val="20"/>
                <w:szCs w:val="20"/>
              </w:rPr>
            </w:pPr>
          </w:p>
        </w:tc>
        <w:tc>
          <w:tcPr>
            <w:tcW w:w="0" w:type="auto"/>
          </w:tcPr>
          <w:p w14:paraId="162C7A14" w14:textId="77777777" w:rsidR="00DD27AB" w:rsidRPr="00846DF5" w:rsidRDefault="00DD27AB" w:rsidP="00B15D4C">
            <w:pPr>
              <w:spacing w:after="120"/>
              <w:rPr>
                <w:rFonts w:ascii="Arial" w:hAnsi="Arial" w:cs="Arial"/>
                <w:b/>
                <w:sz w:val="20"/>
                <w:szCs w:val="20"/>
              </w:rPr>
            </w:pPr>
          </w:p>
        </w:tc>
        <w:tc>
          <w:tcPr>
            <w:tcW w:w="0" w:type="auto"/>
          </w:tcPr>
          <w:p w14:paraId="43541500" w14:textId="77777777" w:rsidR="00DD27AB" w:rsidRPr="00846DF5" w:rsidRDefault="00DD27AB" w:rsidP="00B15D4C">
            <w:pPr>
              <w:spacing w:after="120"/>
              <w:rPr>
                <w:rFonts w:ascii="Arial" w:hAnsi="Arial" w:cs="Arial"/>
                <w:b/>
                <w:sz w:val="20"/>
                <w:szCs w:val="20"/>
              </w:rPr>
            </w:pPr>
          </w:p>
        </w:tc>
        <w:tc>
          <w:tcPr>
            <w:tcW w:w="0" w:type="auto"/>
          </w:tcPr>
          <w:p w14:paraId="0BB682A3" w14:textId="77777777" w:rsidR="00DD27AB" w:rsidRPr="00846DF5" w:rsidRDefault="00DD27AB" w:rsidP="00B15D4C">
            <w:pPr>
              <w:spacing w:after="120"/>
              <w:rPr>
                <w:rFonts w:ascii="Arial" w:hAnsi="Arial" w:cs="Arial"/>
                <w:b/>
                <w:sz w:val="20"/>
                <w:szCs w:val="20"/>
              </w:rPr>
            </w:pPr>
          </w:p>
        </w:tc>
        <w:tc>
          <w:tcPr>
            <w:tcW w:w="0" w:type="auto"/>
          </w:tcPr>
          <w:p w14:paraId="73BE4E53" w14:textId="77777777" w:rsidR="00DD27AB" w:rsidRPr="00846DF5" w:rsidRDefault="00DD27AB" w:rsidP="00B15D4C">
            <w:pPr>
              <w:spacing w:after="120"/>
              <w:rPr>
                <w:rFonts w:ascii="Arial" w:hAnsi="Arial" w:cs="Arial"/>
                <w:b/>
                <w:sz w:val="20"/>
                <w:szCs w:val="20"/>
              </w:rPr>
            </w:pPr>
          </w:p>
        </w:tc>
        <w:tc>
          <w:tcPr>
            <w:tcW w:w="0" w:type="auto"/>
          </w:tcPr>
          <w:p w14:paraId="66CFBF4F" w14:textId="77777777" w:rsidR="00DD27AB" w:rsidRPr="00846DF5" w:rsidRDefault="00DD27AB" w:rsidP="00B15D4C">
            <w:pPr>
              <w:spacing w:after="120"/>
              <w:rPr>
                <w:rFonts w:ascii="Arial" w:hAnsi="Arial" w:cs="Arial"/>
                <w:b/>
                <w:sz w:val="20"/>
                <w:szCs w:val="20"/>
              </w:rPr>
            </w:pPr>
          </w:p>
        </w:tc>
        <w:tc>
          <w:tcPr>
            <w:tcW w:w="0" w:type="auto"/>
          </w:tcPr>
          <w:p w14:paraId="4AEB2EF6" w14:textId="77777777" w:rsidR="00DD27AB" w:rsidRPr="00846DF5" w:rsidRDefault="00DD27AB" w:rsidP="00B15D4C">
            <w:pPr>
              <w:spacing w:after="120"/>
              <w:rPr>
                <w:rFonts w:ascii="Arial" w:hAnsi="Arial" w:cs="Arial"/>
                <w:b/>
                <w:sz w:val="20"/>
                <w:szCs w:val="20"/>
              </w:rPr>
            </w:pPr>
          </w:p>
        </w:tc>
        <w:tc>
          <w:tcPr>
            <w:tcW w:w="0" w:type="auto"/>
          </w:tcPr>
          <w:p w14:paraId="3B757779" w14:textId="77777777" w:rsidR="00DD27AB" w:rsidRPr="00846DF5" w:rsidRDefault="00DD27AB" w:rsidP="00B15D4C">
            <w:pPr>
              <w:spacing w:after="120"/>
              <w:rPr>
                <w:rFonts w:ascii="Arial" w:hAnsi="Arial" w:cs="Arial"/>
                <w:b/>
                <w:sz w:val="20"/>
                <w:szCs w:val="20"/>
              </w:rPr>
            </w:pPr>
          </w:p>
        </w:tc>
        <w:tc>
          <w:tcPr>
            <w:tcW w:w="0" w:type="auto"/>
          </w:tcPr>
          <w:p w14:paraId="24752A36" w14:textId="77777777" w:rsidR="00DD27AB" w:rsidRPr="00846DF5" w:rsidRDefault="00DD27AB" w:rsidP="00B15D4C">
            <w:pPr>
              <w:spacing w:after="120"/>
              <w:rPr>
                <w:rFonts w:ascii="Arial" w:hAnsi="Arial" w:cs="Arial"/>
                <w:b/>
                <w:sz w:val="20"/>
                <w:szCs w:val="20"/>
              </w:rPr>
            </w:pPr>
          </w:p>
        </w:tc>
        <w:tc>
          <w:tcPr>
            <w:tcW w:w="0" w:type="auto"/>
          </w:tcPr>
          <w:p w14:paraId="3DE11782" w14:textId="77777777" w:rsidR="00DD27AB" w:rsidRPr="00846DF5" w:rsidRDefault="00DD27AB" w:rsidP="00B15D4C">
            <w:pPr>
              <w:spacing w:after="120"/>
              <w:rPr>
                <w:rFonts w:ascii="Arial" w:hAnsi="Arial" w:cs="Arial"/>
                <w:b/>
                <w:sz w:val="20"/>
                <w:szCs w:val="20"/>
              </w:rPr>
            </w:pPr>
          </w:p>
        </w:tc>
        <w:tc>
          <w:tcPr>
            <w:tcW w:w="0" w:type="auto"/>
          </w:tcPr>
          <w:p w14:paraId="7F4FB169" w14:textId="77777777" w:rsidR="00DD27AB" w:rsidRPr="00846DF5" w:rsidRDefault="00DD27AB" w:rsidP="00B15D4C">
            <w:pPr>
              <w:spacing w:after="120"/>
              <w:rPr>
                <w:rFonts w:ascii="Arial" w:hAnsi="Arial" w:cs="Arial"/>
                <w:b/>
                <w:sz w:val="20"/>
                <w:szCs w:val="20"/>
              </w:rPr>
            </w:pPr>
          </w:p>
        </w:tc>
      </w:tr>
      <w:tr w:rsidR="00DD27AB" w:rsidRPr="00846DF5" w14:paraId="33CEAEB7" w14:textId="77777777" w:rsidTr="00734F44">
        <w:tc>
          <w:tcPr>
            <w:tcW w:w="0" w:type="auto"/>
          </w:tcPr>
          <w:p w14:paraId="39A99795"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Lectures</w:t>
            </w:r>
          </w:p>
        </w:tc>
        <w:tc>
          <w:tcPr>
            <w:tcW w:w="0" w:type="auto"/>
          </w:tcPr>
          <w:p w14:paraId="3A290838"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532D250F"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05F38CB1"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6B69066A"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3727FF7A"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1480C59D"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2B29C6CB"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7CBC1A68"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574DFE9E" w14:textId="77777777" w:rsidR="00DD27AB" w:rsidRPr="00846DF5" w:rsidRDefault="00DD27AB" w:rsidP="00B15D4C">
            <w:pPr>
              <w:spacing w:after="120"/>
              <w:rPr>
                <w:rFonts w:ascii="Arial" w:hAnsi="Arial" w:cs="Arial"/>
                <w:b/>
                <w:sz w:val="20"/>
                <w:szCs w:val="20"/>
              </w:rPr>
            </w:pPr>
          </w:p>
        </w:tc>
        <w:tc>
          <w:tcPr>
            <w:tcW w:w="0" w:type="auto"/>
          </w:tcPr>
          <w:p w14:paraId="662DD088" w14:textId="77777777" w:rsidR="00DD27AB" w:rsidRPr="00846DF5" w:rsidRDefault="00DD27AB" w:rsidP="00B15D4C">
            <w:pPr>
              <w:spacing w:after="120"/>
              <w:rPr>
                <w:rFonts w:ascii="Arial" w:hAnsi="Arial" w:cs="Arial"/>
                <w:b/>
                <w:sz w:val="20"/>
                <w:szCs w:val="20"/>
              </w:rPr>
            </w:pPr>
          </w:p>
        </w:tc>
        <w:tc>
          <w:tcPr>
            <w:tcW w:w="0" w:type="auto"/>
          </w:tcPr>
          <w:p w14:paraId="06A5E925" w14:textId="77777777" w:rsidR="00DD27AB" w:rsidRPr="00846DF5" w:rsidRDefault="00DD27AB" w:rsidP="00B15D4C">
            <w:pPr>
              <w:spacing w:after="120"/>
              <w:rPr>
                <w:rFonts w:ascii="Arial" w:hAnsi="Arial" w:cs="Arial"/>
                <w:b/>
                <w:sz w:val="20"/>
                <w:szCs w:val="20"/>
              </w:rPr>
            </w:pPr>
          </w:p>
        </w:tc>
      </w:tr>
      <w:tr w:rsidR="00DD27AB" w:rsidRPr="00846DF5" w14:paraId="02D340DD" w14:textId="77777777" w:rsidTr="00734F44">
        <w:tc>
          <w:tcPr>
            <w:tcW w:w="0" w:type="auto"/>
          </w:tcPr>
          <w:p w14:paraId="1B116CBD"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Seminars</w:t>
            </w:r>
          </w:p>
        </w:tc>
        <w:tc>
          <w:tcPr>
            <w:tcW w:w="0" w:type="auto"/>
          </w:tcPr>
          <w:p w14:paraId="0685425D"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414FAA00"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28398F07"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4330CEE4"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427DE861"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7348AC20"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46002E20"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0FF66E0D"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7BE895D3"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24C8CD32"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4674AF49"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r>
      <w:tr w:rsidR="00DD27AB" w:rsidRPr="00846DF5" w14:paraId="480F0AF7" w14:textId="77777777" w:rsidTr="00734F44">
        <w:tc>
          <w:tcPr>
            <w:tcW w:w="0" w:type="auto"/>
          </w:tcPr>
          <w:p w14:paraId="7D6C1D5F"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Screenings</w:t>
            </w:r>
          </w:p>
        </w:tc>
        <w:tc>
          <w:tcPr>
            <w:tcW w:w="0" w:type="auto"/>
          </w:tcPr>
          <w:p w14:paraId="37AFC378"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6CEAAA08"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0189F423"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2467A6AD" w14:textId="77777777" w:rsidR="00DD27AB" w:rsidRPr="00846DF5" w:rsidRDefault="00DD27AB" w:rsidP="00B15D4C">
            <w:pPr>
              <w:spacing w:after="120"/>
              <w:rPr>
                <w:rFonts w:ascii="Arial" w:hAnsi="Arial" w:cs="Arial"/>
                <w:b/>
                <w:sz w:val="20"/>
                <w:szCs w:val="20"/>
              </w:rPr>
            </w:pPr>
          </w:p>
        </w:tc>
        <w:tc>
          <w:tcPr>
            <w:tcW w:w="0" w:type="auto"/>
          </w:tcPr>
          <w:p w14:paraId="37720B06"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2D1DB1CC"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673A9B5A"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4E66A708"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5322C7DB" w14:textId="77777777" w:rsidR="00DD27AB" w:rsidRPr="00846DF5" w:rsidRDefault="00DD27AB" w:rsidP="00B15D4C">
            <w:pPr>
              <w:spacing w:after="120"/>
              <w:rPr>
                <w:rFonts w:ascii="Arial" w:hAnsi="Arial" w:cs="Arial"/>
                <w:b/>
                <w:sz w:val="20"/>
                <w:szCs w:val="20"/>
              </w:rPr>
            </w:pPr>
          </w:p>
        </w:tc>
        <w:tc>
          <w:tcPr>
            <w:tcW w:w="0" w:type="auto"/>
          </w:tcPr>
          <w:p w14:paraId="7859F040" w14:textId="77777777" w:rsidR="00DD27AB" w:rsidRPr="00846DF5" w:rsidRDefault="00DD27AB" w:rsidP="00B15D4C">
            <w:pPr>
              <w:spacing w:after="120"/>
              <w:rPr>
                <w:rFonts w:ascii="Arial" w:hAnsi="Arial" w:cs="Arial"/>
                <w:b/>
                <w:sz w:val="20"/>
                <w:szCs w:val="20"/>
              </w:rPr>
            </w:pPr>
          </w:p>
        </w:tc>
        <w:tc>
          <w:tcPr>
            <w:tcW w:w="0" w:type="auto"/>
          </w:tcPr>
          <w:p w14:paraId="2D62C355"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r>
      <w:tr w:rsidR="00DD27AB" w:rsidRPr="00846DF5" w14:paraId="61C37054" w14:textId="77777777" w:rsidTr="00734F44">
        <w:tc>
          <w:tcPr>
            <w:tcW w:w="0" w:type="auto"/>
          </w:tcPr>
          <w:p w14:paraId="042485B8"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Private Study</w:t>
            </w:r>
          </w:p>
        </w:tc>
        <w:tc>
          <w:tcPr>
            <w:tcW w:w="0" w:type="auto"/>
          </w:tcPr>
          <w:p w14:paraId="082A8B1C" w14:textId="77777777" w:rsidR="00DD27AB" w:rsidRPr="00846DF5" w:rsidRDefault="00DD27AB" w:rsidP="00B15D4C">
            <w:pPr>
              <w:spacing w:after="120"/>
              <w:rPr>
                <w:rFonts w:ascii="Arial" w:hAnsi="Arial" w:cs="Arial"/>
                <w:b/>
                <w:sz w:val="20"/>
                <w:szCs w:val="20"/>
              </w:rPr>
            </w:pPr>
            <w:r>
              <w:rPr>
                <w:rFonts w:ascii="Arial" w:hAnsi="Arial" w:cs="Arial"/>
                <w:b/>
                <w:sz w:val="20"/>
                <w:szCs w:val="20"/>
              </w:rPr>
              <w:t>x</w:t>
            </w:r>
          </w:p>
        </w:tc>
        <w:tc>
          <w:tcPr>
            <w:tcW w:w="0" w:type="auto"/>
          </w:tcPr>
          <w:p w14:paraId="63276B8A" w14:textId="77777777" w:rsidR="00DD27AB" w:rsidRPr="00846DF5" w:rsidRDefault="00DD27AB" w:rsidP="00B15D4C">
            <w:pPr>
              <w:spacing w:after="120"/>
              <w:rPr>
                <w:rFonts w:ascii="Arial" w:hAnsi="Arial" w:cs="Arial"/>
                <w:b/>
                <w:sz w:val="20"/>
                <w:szCs w:val="20"/>
              </w:rPr>
            </w:pPr>
            <w:r>
              <w:rPr>
                <w:rFonts w:ascii="Arial" w:hAnsi="Arial" w:cs="Arial"/>
                <w:b/>
                <w:sz w:val="20"/>
                <w:szCs w:val="20"/>
              </w:rPr>
              <w:t>x</w:t>
            </w:r>
          </w:p>
        </w:tc>
        <w:tc>
          <w:tcPr>
            <w:tcW w:w="0" w:type="auto"/>
          </w:tcPr>
          <w:p w14:paraId="7A557A13" w14:textId="77777777" w:rsidR="00DD27AB" w:rsidRPr="00846DF5" w:rsidRDefault="00DD27AB" w:rsidP="00B15D4C">
            <w:pPr>
              <w:spacing w:after="120"/>
              <w:rPr>
                <w:rFonts w:ascii="Arial" w:hAnsi="Arial" w:cs="Arial"/>
                <w:b/>
                <w:sz w:val="20"/>
                <w:szCs w:val="20"/>
              </w:rPr>
            </w:pPr>
            <w:r>
              <w:rPr>
                <w:rFonts w:ascii="Arial" w:hAnsi="Arial" w:cs="Arial"/>
                <w:b/>
                <w:sz w:val="20"/>
                <w:szCs w:val="20"/>
              </w:rPr>
              <w:t>x</w:t>
            </w:r>
          </w:p>
        </w:tc>
        <w:tc>
          <w:tcPr>
            <w:tcW w:w="0" w:type="auto"/>
          </w:tcPr>
          <w:p w14:paraId="3C392F27" w14:textId="77777777" w:rsidR="00DD27AB" w:rsidRPr="00846DF5" w:rsidRDefault="00DD27AB" w:rsidP="00B15D4C">
            <w:pPr>
              <w:spacing w:after="120"/>
              <w:rPr>
                <w:rFonts w:ascii="Arial" w:hAnsi="Arial" w:cs="Arial"/>
                <w:b/>
                <w:sz w:val="20"/>
                <w:szCs w:val="20"/>
              </w:rPr>
            </w:pPr>
            <w:r>
              <w:rPr>
                <w:rFonts w:ascii="Arial" w:hAnsi="Arial" w:cs="Arial"/>
                <w:b/>
                <w:sz w:val="20"/>
                <w:szCs w:val="20"/>
              </w:rPr>
              <w:t>x</w:t>
            </w:r>
          </w:p>
        </w:tc>
        <w:tc>
          <w:tcPr>
            <w:tcW w:w="0" w:type="auto"/>
          </w:tcPr>
          <w:p w14:paraId="78D2B592" w14:textId="77777777" w:rsidR="00DD27AB" w:rsidRPr="00846DF5" w:rsidRDefault="00DD27AB" w:rsidP="00B15D4C">
            <w:pPr>
              <w:spacing w:after="120"/>
              <w:rPr>
                <w:rFonts w:ascii="Arial" w:hAnsi="Arial" w:cs="Arial"/>
                <w:b/>
                <w:sz w:val="20"/>
                <w:szCs w:val="20"/>
              </w:rPr>
            </w:pPr>
            <w:r>
              <w:rPr>
                <w:rFonts w:ascii="Arial" w:hAnsi="Arial" w:cs="Arial"/>
                <w:b/>
                <w:sz w:val="20"/>
                <w:szCs w:val="20"/>
              </w:rPr>
              <w:t>x</w:t>
            </w:r>
          </w:p>
        </w:tc>
        <w:tc>
          <w:tcPr>
            <w:tcW w:w="0" w:type="auto"/>
          </w:tcPr>
          <w:p w14:paraId="468C8A0A" w14:textId="77777777" w:rsidR="00DD27AB" w:rsidRPr="00846DF5" w:rsidRDefault="00DD27AB" w:rsidP="00B15D4C">
            <w:pPr>
              <w:spacing w:after="120"/>
              <w:rPr>
                <w:rFonts w:ascii="Arial" w:hAnsi="Arial" w:cs="Arial"/>
                <w:b/>
                <w:sz w:val="20"/>
                <w:szCs w:val="20"/>
              </w:rPr>
            </w:pPr>
            <w:r>
              <w:rPr>
                <w:rFonts w:ascii="Arial" w:hAnsi="Arial" w:cs="Arial"/>
                <w:b/>
                <w:sz w:val="20"/>
                <w:szCs w:val="20"/>
              </w:rPr>
              <w:t>x</w:t>
            </w:r>
          </w:p>
        </w:tc>
        <w:tc>
          <w:tcPr>
            <w:tcW w:w="0" w:type="auto"/>
          </w:tcPr>
          <w:p w14:paraId="18987FF8" w14:textId="77777777" w:rsidR="00DD27AB" w:rsidRPr="00846DF5" w:rsidRDefault="00DD27AB" w:rsidP="00B15D4C">
            <w:pPr>
              <w:spacing w:after="120"/>
              <w:rPr>
                <w:rFonts w:ascii="Arial" w:hAnsi="Arial" w:cs="Arial"/>
                <w:b/>
                <w:sz w:val="20"/>
                <w:szCs w:val="20"/>
              </w:rPr>
            </w:pPr>
            <w:r>
              <w:rPr>
                <w:rFonts w:ascii="Arial" w:hAnsi="Arial" w:cs="Arial"/>
                <w:b/>
                <w:sz w:val="20"/>
                <w:szCs w:val="20"/>
              </w:rPr>
              <w:t>x</w:t>
            </w:r>
          </w:p>
        </w:tc>
        <w:tc>
          <w:tcPr>
            <w:tcW w:w="0" w:type="auto"/>
          </w:tcPr>
          <w:p w14:paraId="2D721ADF" w14:textId="77777777" w:rsidR="00DD27AB" w:rsidRPr="00846DF5" w:rsidRDefault="00DD27AB" w:rsidP="00B15D4C">
            <w:pPr>
              <w:spacing w:after="120"/>
              <w:rPr>
                <w:rFonts w:ascii="Arial" w:hAnsi="Arial" w:cs="Arial"/>
                <w:b/>
                <w:sz w:val="20"/>
                <w:szCs w:val="20"/>
              </w:rPr>
            </w:pPr>
            <w:r>
              <w:rPr>
                <w:rFonts w:ascii="Arial" w:hAnsi="Arial" w:cs="Arial"/>
                <w:b/>
                <w:sz w:val="20"/>
                <w:szCs w:val="20"/>
              </w:rPr>
              <w:t>x</w:t>
            </w:r>
          </w:p>
        </w:tc>
        <w:tc>
          <w:tcPr>
            <w:tcW w:w="0" w:type="auto"/>
          </w:tcPr>
          <w:p w14:paraId="0D7DA552" w14:textId="77777777" w:rsidR="00DD27AB" w:rsidRPr="00846DF5" w:rsidRDefault="00DD27AB" w:rsidP="00B15D4C">
            <w:pPr>
              <w:spacing w:after="120"/>
              <w:rPr>
                <w:rFonts w:ascii="Arial" w:hAnsi="Arial" w:cs="Arial"/>
                <w:b/>
                <w:sz w:val="20"/>
                <w:szCs w:val="20"/>
              </w:rPr>
            </w:pPr>
            <w:r>
              <w:rPr>
                <w:rFonts w:ascii="Arial" w:hAnsi="Arial" w:cs="Arial"/>
                <w:b/>
                <w:sz w:val="20"/>
                <w:szCs w:val="20"/>
              </w:rPr>
              <w:t>x</w:t>
            </w:r>
          </w:p>
        </w:tc>
        <w:tc>
          <w:tcPr>
            <w:tcW w:w="0" w:type="auto"/>
          </w:tcPr>
          <w:p w14:paraId="283BF922" w14:textId="77777777" w:rsidR="00DD27AB" w:rsidRPr="00846DF5" w:rsidRDefault="00DD27AB" w:rsidP="00B15D4C">
            <w:pPr>
              <w:spacing w:after="120"/>
              <w:rPr>
                <w:rFonts w:ascii="Arial" w:hAnsi="Arial" w:cs="Arial"/>
                <w:b/>
                <w:sz w:val="20"/>
                <w:szCs w:val="20"/>
              </w:rPr>
            </w:pPr>
            <w:r>
              <w:rPr>
                <w:rFonts w:ascii="Arial" w:hAnsi="Arial" w:cs="Arial"/>
                <w:b/>
                <w:sz w:val="20"/>
                <w:szCs w:val="20"/>
              </w:rPr>
              <w:t>x</w:t>
            </w:r>
          </w:p>
        </w:tc>
        <w:tc>
          <w:tcPr>
            <w:tcW w:w="0" w:type="auto"/>
          </w:tcPr>
          <w:p w14:paraId="1FD145A0" w14:textId="77777777" w:rsidR="00DD27AB" w:rsidRPr="00846DF5" w:rsidRDefault="00DD27AB" w:rsidP="00B15D4C">
            <w:pPr>
              <w:spacing w:after="120"/>
              <w:rPr>
                <w:rFonts w:ascii="Arial" w:hAnsi="Arial" w:cs="Arial"/>
                <w:b/>
                <w:sz w:val="20"/>
                <w:szCs w:val="20"/>
              </w:rPr>
            </w:pPr>
            <w:r>
              <w:rPr>
                <w:rFonts w:ascii="Arial" w:hAnsi="Arial" w:cs="Arial"/>
                <w:b/>
                <w:sz w:val="20"/>
                <w:szCs w:val="20"/>
              </w:rPr>
              <w:t>x</w:t>
            </w:r>
          </w:p>
        </w:tc>
      </w:tr>
      <w:tr w:rsidR="00DD27AB" w:rsidRPr="00846DF5" w14:paraId="6959A085" w14:textId="77777777" w:rsidTr="00734F44">
        <w:tc>
          <w:tcPr>
            <w:tcW w:w="0" w:type="auto"/>
            <w:shd w:val="clear" w:color="auto" w:fill="D9D9D9" w:themeFill="background1" w:themeFillShade="D9"/>
          </w:tcPr>
          <w:p w14:paraId="21B92CB8"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Assessment</w:t>
            </w:r>
          </w:p>
          <w:p w14:paraId="57F55F64"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method</w:t>
            </w:r>
          </w:p>
        </w:tc>
        <w:tc>
          <w:tcPr>
            <w:tcW w:w="0" w:type="auto"/>
          </w:tcPr>
          <w:p w14:paraId="7B596347" w14:textId="77777777" w:rsidR="00DD27AB" w:rsidRPr="00846DF5" w:rsidRDefault="00DD27AB" w:rsidP="00B15D4C">
            <w:pPr>
              <w:spacing w:after="120"/>
              <w:rPr>
                <w:rFonts w:ascii="Arial" w:hAnsi="Arial" w:cs="Arial"/>
                <w:b/>
                <w:sz w:val="20"/>
                <w:szCs w:val="20"/>
              </w:rPr>
            </w:pPr>
          </w:p>
        </w:tc>
        <w:tc>
          <w:tcPr>
            <w:tcW w:w="0" w:type="auto"/>
          </w:tcPr>
          <w:p w14:paraId="2F42A6D6" w14:textId="77777777" w:rsidR="00DD27AB" w:rsidRPr="00846DF5" w:rsidRDefault="00DD27AB" w:rsidP="00B15D4C">
            <w:pPr>
              <w:spacing w:after="120"/>
              <w:rPr>
                <w:rFonts w:ascii="Arial" w:hAnsi="Arial" w:cs="Arial"/>
                <w:b/>
                <w:sz w:val="20"/>
                <w:szCs w:val="20"/>
              </w:rPr>
            </w:pPr>
          </w:p>
        </w:tc>
        <w:tc>
          <w:tcPr>
            <w:tcW w:w="0" w:type="auto"/>
          </w:tcPr>
          <w:p w14:paraId="2B0725F4" w14:textId="77777777" w:rsidR="00DD27AB" w:rsidRPr="00846DF5" w:rsidRDefault="00DD27AB" w:rsidP="00B15D4C">
            <w:pPr>
              <w:spacing w:after="120"/>
              <w:rPr>
                <w:rFonts w:ascii="Arial" w:hAnsi="Arial" w:cs="Arial"/>
                <w:b/>
                <w:sz w:val="20"/>
                <w:szCs w:val="20"/>
              </w:rPr>
            </w:pPr>
          </w:p>
        </w:tc>
        <w:tc>
          <w:tcPr>
            <w:tcW w:w="0" w:type="auto"/>
          </w:tcPr>
          <w:p w14:paraId="4C47BCAF" w14:textId="77777777" w:rsidR="00DD27AB" w:rsidRPr="00846DF5" w:rsidRDefault="00DD27AB" w:rsidP="00B15D4C">
            <w:pPr>
              <w:spacing w:after="120"/>
              <w:rPr>
                <w:rFonts w:ascii="Arial" w:hAnsi="Arial" w:cs="Arial"/>
                <w:b/>
                <w:sz w:val="20"/>
                <w:szCs w:val="20"/>
              </w:rPr>
            </w:pPr>
          </w:p>
        </w:tc>
        <w:tc>
          <w:tcPr>
            <w:tcW w:w="0" w:type="auto"/>
          </w:tcPr>
          <w:p w14:paraId="771E6481" w14:textId="77777777" w:rsidR="00DD27AB" w:rsidRPr="00846DF5" w:rsidRDefault="00DD27AB" w:rsidP="00B15D4C">
            <w:pPr>
              <w:spacing w:after="120"/>
              <w:rPr>
                <w:rFonts w:ascii="Arial" w:hAnsi="Arial" w:cs="Arial"/>
                <w:b/>
                <w:sz w:val="20"/>
                <w:szCs w:val="20"/>
              </w:rPr>
            </w:pPr>
          </w:p>
        </w:tc>
        <w:tc>
          <w:tcPr>
            <w:tcW w:w="0" w:type="auto"/>
          </w:tcPr>
          <w:p w14:paraId="6402AE62" w14:textId="77777777" w:rsidR="00DD27AB" w:rsidRPr="00846DF5" w:rsidRDefault="00DD27AB" w:rsidP="00B15D4C">
            <w:pPr>
              <w:spacing w:after="120"/>
              <w:rPr>
                <w:rFonts w:ascii="Arial" w:hAnsi="Arial" w:cs="Arial"/>
                <w:b/>
                <w:sz w:val="20"/>
                <w:szCs w:val="20"/>
              </w:rPr>
            </w:pPr>
          </w:p>
        </w:tc>
        <w:tc>
          <w:tcPr>
            <w:tcW w:w="0" w:type="auto"/>
          </w:tcPr>
          <w:p w14:paraId="55E8D9D0" w14:textId="77777777" w:rsidR="00DD27AB" w:rsidRPr="00846DF5" w:rsidRDefault="00DD27AB" w:rsidP="00B15D4C">
            <w:pPr>
              <w:spacing w:after="120"/>
              <w:rPr>
                <w:rFonts w:ascii="Arial" w:hAnsi="Arial" w:cs="Arial"/>
                <w:b/>
                <w:sz w:val="20"/>
                <w:szCs w:val="20"/>
              </w:rPr>
            </w:pPr>
          </w:p>
        </w:tc>
        <w:tc>
          <w:tcPr>
            <w:tcW w:w="0" w:type="auto"/>
          </w:tcPr>
          <w:p w14:paraId="60F8F633" w14:textId="77777777" w:rsidR="00DD27AB" w:rsidRPr="00846DF5" w:rsidRDefault="00DD27AB" w:rsidP="00B15D4C">
            <w:pPr>
              <w:spacing w:after="120"/>
              <w:rPr>
                <w:rFonts w:ascii="Arial" w:hAnsi="Arial" w:cs="Arial"/>
                <w:b/>
                <w:sz w:val="20"/>
                <w:szCs w:val="20"/>
              </w:rPr>
            </w:pPr>
          </w:p>
        </w:tc>
        <w:tc>
          <w:tcPr>
            <w:tcW w:w="0" w:type="auto"/>
          </w:tcPr>
          <w:p w14:paraId="4A09E31C" w14:textId="77777777" w:rsidR="00DD27AB" w:rsidRPr="00846DF5" w:rsidRDefault="00DD27AB" w:rsidP="00B15D4C">
            <w:pPr>
              <w:spacing w:after="120"/>
              <w:rPr>
                <w:rFonts w:ascii="Arial" w:hAnsi="Arial" w:cs="Arial"/>
                <w:b/>
                <w:sz w:val="20"/>
                <w:szCs w:val="20"/>
              </w:rPr>
            </w:pPr>
          </w:p>
        </w:tc>
        <w:tc>
          <w:tcPr>
            <w:tcW w:w="0" w:type="auto"/>
          </w:tcPr>
          <w:p w14:paraId="785A882E" w14:textId="77777777" w:rsidR="00DD27AB" w:rsidRPr="00846DF5" w:rsidRDefault="00DD27AB" w:rsidP="00B15D4C">
            <w:pPr>
              <w:spacing w:after="120"/>
              <w:rPr>
                <w:rFonts w:ascii="Arial" w:hAnsi="Arial" w:cs="Arial"/>
                <w:b/>
                <w:sz w:val="20"/>
                <w:szCs w:val="20"/>
              </w:rPr>
            </w:pPr>
          </w:p>
        </w:tc>
        <w:tc>
          <w:tcPr>
            <w:tcW w:w="0" w:type="auto"/>
          </w:tcPr>
          <w:p w14:paraId="442732D7" w14:textId="77777777" w:rsidR="00DD27AB" w:rsidRPr="00846DF5" w:rsidRDefault="00DD27AB" w:rsidP="00B15D4C">
            <w:pPr>
              <w:spacing w:after="120"/>
              <w:rPr>
                <w:rFonts w:ascii="Arial" w:hAnsi="Arial" w:cs="Arial"/>
                <w:b/>
                <w:sz w:val="20"/>
                <w:szCs w:val="20"/>
              </w:rPr>
            </w:pPr>
          </w:p>
        </w:tc>
      </w:tr>
      <w:tr w:rsidR="00DD27AB" w:rsidRPr="00846DF5" w14:paraId="1D4A0FF8" w14:textId="77777777" w:rsidTr="00734F44">
        <w:tc>
          <w:tcPr>
            <w:tcW w:w="0" w:type="auto"/>
          </w:tcPr>
          <w:p w14:paraId="2E6FEF80" w14:textId="77777777" w:rsidR="00DD27AB" w:rsidRPr="00846DF5" w:rsidRDefault="00DD27AB" w:rsidP="00B15D4C">
            <w:pPr>
              <w:spacing w:after="120"/>
              <w:rPr>
                <w:rFonts w:ascii="Arial" w:hAnsi="Arial" w:cs="Arial"/>
                <w:i/>
                <w:sz w:val="20"/>
                <w:szCs w:val="20"/>
              </w:rPr>
            </w:pPr>
            <w:r>
              <w:rPr>
                <w:rFonts w:ascii="Arial" w:hAnsi="Arial" w:cs="Arial"/>
                <w:i/>
                <w:sz w:val="20"/>
                <w:szCs w:val="20"/>
              </w:rPr>
              <w:t>Essays</w:t>
            </w:r>
          </w:p>
        </w:tc>
        <w:tc>
          <w:tcPr>
            <w:tcW w:w="0" w:type="auto"/>
          </w:tcPr>
          <w:p w14:paraId="1743CB88"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1EE3E591"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27EAB841"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72AB6183"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33C8DEDE"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3C1AC34A"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69C2C326"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6FC57DC4"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0676B6CD"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134F8DD9"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c>
          <w:tcPr>
            <w:tcW w:w="0" w:type="auto"/>
          </w:tcPr>
          <w:p w14:paraId="6E017A39" w14:textId="77777777" w:rsidR="00DD27AB" w:rsidRPr="00846DF5" w:rsidRDefault="00DD27AB" w:rsidP="00B15D4C">
            <w:pPr>
              <w:spacing w:after="120"/>
              <w:rPr>
                <w:rFonts w:ascii="Arial" w:hAnsi="Arial" w:cs="Arial"/>
                <w:b/>
                <w:sz w:val="20"/>
                <w:szCs w:val="20"/>
              </w:rPr>
            </w:pPr>
            <w:r w:rsidRPr="00846DF5">
              <w:rPr>
                <w:rFonts w:ascii="Arial" w:hAnsi="Arial" w:cs="Arial"/>
                <w:b/>
                <w:sz w:val="20"/>
                <w:szCs w:val="20"/>
              </w:rPr>
              <w:t>x</w:t>
            </w:r>
          </w:p>
        </w:tc>
      </w:tr>
    </w:tbl>
    <w:p w14:paraId="2E62D7A9" w14:textId="77777777" w:rsidR="007A6245" w:rsidRDefault="007A6245" w:rsidP="00302082">
      <w:pPr>
        <w:spacing w:after="120" w:line="240" w:lineRule="auto"/>
        <w:ind w:left="426" w:right="260"/>
        <w:rPr>
          <w:rFonts w:ascii="Arial" w:hAnsi="Arial" w:cs="Arial"/>
          <w:b/>
          <w:iCs/>
        </w:rPr>
      </w:pPr>
    </w:p>
    <w:p w14:paraId="20F8483C"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6FF7F777" w14:textId="7494EE90"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The School</w:t>
      </w:r>
      <w:r w:rsidR="00F06D86">
        <w:rPr>
          <w:rFonts w:ascii="Arial" w:hAnsi="Arial" w:cs="Arial"/>
        </w:rPr>
        <w:t xml:space="preserve"> </w:t>
      </w:r>
      <w:r w:rsidRPr="00D50113">
        <w:rPr>
          <w:rFonts w:ascii="Arial" w:hAnsi="Arial" w:cs="Arial"/>
        </w:rPr>
        <w:t>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16DD8FFC"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CE984D9"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359A4B8E" w14:textId="77777777" w:rsidR="00883204" w:rsidRPr="00D50113"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793B264E" w14:textId="77777777" w:rsidR="00096DA4" w:rsidRPr="00302082" w:rsidRDefault="00096DA4" w:rsidP="00302082">
      <w:pPr>
        <w:spacing w:after="120" w:line="240" w:lineRule="auto"/>
        <w:ind w:left="426" w:right="260"/>
        <w:rPr>
          <w:rFonts w:ascii="Arial" w:hAnsi="Arial" w:cs="Arial"/>
          <w:i/>
          <w:iCs/>
        </w:rPr>
      </w:pPr>
    </w:p>
    <w:p w14:paraId="6D3975D8"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506AD4E1" w14:textId="7B17221F" w:rsidR="009A2D37" w:rsidRPr="00F06D86" w:rsidRDefault="00F06D86" w:rsidP="00F06D86">
      <w:pPr>
        <w:pStyle w:val="ListParagraph"/>
        <w:spacing w:after="120" w:line="240" w:lineRule="auto"/>
        <w:ind w:right="260"/>
        <w:rPr>
          <w:rFonts w:ascii="Arial" w:hAnsi="Arial" w:cs="Arial"/>
          <w:iCs/>
        </w:rPr>
      </w:pPr>
      <w:r w:rsidRPr="00F06D86">
        <w:rPr>
          <w:rFonts w:ascii="Arial" w:hAnsi="Arial" w:cs="Arial"/>
        </w:rPr>
        <w:t>Canterbury</w:t>
      </w:r>
    </w:p>
    <w:p w14:paraId="2D75ADDB" w14:textId="77777777" w:rsidR="00154D48" w:rsidRPr="00154D48" w:rsidRDefault="00154D48" w:rsidP="00154D48">
      <w:pPr>
        <w:spacing w:after="120" w:line="240" w:lineRule="auto"/>
        <w:ind w:left="567" w:right="260"/>
        <w:rPr>
          <w:rFonts w:ascii="Arial" w:hAnsi="Arial" w:cs="Arial"/>
          <w:iCs/>
        </w:rPr>
      </w:pPr>
    </w:p>
    <w:p w14:paraId="169B768A"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2F2342C" w14:textId="476409FD" w:rsidR="00734F44" w:rsidRPr="00734F44" w:rsidRDefault="00F06D86" w:rsidP="00734F44">
      <w:pPr>
        <w:pStyle w:val="ListParagraph"/>
        <w:pBdr>
          <w:bottom w:val="single" w:sz="6" w:space="1" w:color="auto"/>
        </w:pBdr>
        <w:spacing w:after="120" w:line="240" w:lineRule="auto"/>
        <w:ind w:right="260"/>
        <w:rPr>
          <w:rFonts w:ascii="Arial" w:hAnsi="Arial" w:cs="Arial"/>
        </w:rPr>
      </w:pPr>
      <w:r w:rsidRPr="00F06D86">
        <w:rPr>
          <w:rFonts w:ascii="Arial" w:hAnsi="Arial" w:cs="Arial"/>
        </w:rPr>
        <w:t>This module explores the television series and its role in international entertainment culture.</w:t>
      </w:r>
    </w:p>
    <w:p w14:paraId="7F3070A5" w14:textId="22EBF51D" w:rsidR="00734F44" w:rsidRDefault="00734F44" w:rsidP="009C3880">
      <w:pPr>
        <w:pStyle w:val="ListParagraph"/>
        <w:pBdr>
          <w:bottom w:val="single" w:sz="6" w:space="1" w:color="auto"/>
        </w:pBdr>
        <w:spacing w:after="120" w:line="240" w:lineRule="auto"/>
        <w:ind w:right="260"/>
        <w:rPr>
          <w:rFonts w:ascii="Arial" w:hAnsi="Arial" w:cs="Arial"/>
        </w:rPr>
      </w:pPr>
    </w:p>
    <w:p w14:paraId="2D8ADE2C" w14:textId="2F423894" w:rsidR="00734F44" w:rsidRDefault="00734F44" w:rsidP="009C3880">
      <w:pPr>
        <w:pStyle w:val="ListParagraph"/>
        <w:pBdr>
          <w:bottom w:val="single" w:sz="6" w:space="1" w:color="auto"/>
        </w:pBdr>
        <w:spacing w:after="120" w:line="240" w:lineRule="auto"/>
        <w:ind w:right="260"/>
        <w:rPr>
          <w:rFonts w:ascii="Arial" w:hAnsi="Arial" w:cs="Arial"/>
        </w:rPr>
      </w:pPr>
    </w:p>
    <w:p w14:paraId="1A814588" w14:textId="77777777" w:rsidR="00734F44" w:rsidRPr="00302082" w:rsidRDefault="00734F44" w:rsidP="009C3880">
      <w:pPr>
        <w:pStyle w:val="ListParagraph"/>
        <w:pBdr>
          <w:bottom w:val="single" w:sz="6" w:space="1" w:color="auto"/>
        </w:pBdr>
        <w:spacing w:after="120" w:line="240" w:lineRule="auto"/>
        <w:ind w:right="260"/>
        <w:rPr>
          <w:rFonts w:ascii="Arial" w:hAnsi="Arial" w:cs="Arial"/>
        </w:rPr>
      </w:pPr>
      <w:bookmarkStart w:id="0" w:name="_GoBack"/>
      <w:bookmarkEnd w:id="0"/>
    </w:p>
    <w:p w14:paraId="7A190D77"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E2698C6"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19BFB83A"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1871"/>
        <w:gridCol w:w="2552"/>
        <w:gridCol w:w="3032"/>
      </w:tblGrid>
      <w:tr w:rsidR="00302082" w:rsidRPr="00BA453C" w14:paraId="7C626554" w14:textId="77777777" w:rsidTr="00154D48">
        <w:trPr>
          <w:trHeight w:val="317"/>
        </w:trPr>
        <w:tc>
          <w:tcPr>
            <w:tcW w:w="1526" w:type="dxa"/>
          </w:tcPr>
          <w:p w14:paraId="6B0B49CE"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2B1B61A4"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547DA984"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73DD1E1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3032" w:type="dxa"/>
          </w:tcPr>
          <w:p w14:paraId="04D86334"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F4A3D5F" w14:textId="77777777" w:rsidTr="00154D48">
        <w:trPr>
          <w:trHeight w:val="305"/>
        </w:trPr>
        <w:tc>
          <w:tcPr>
            <w:tcW w:w="1526" w:type="dxa"/>
          </w:tcPr>
          <w:p w14:paraId="65D6447E" w14:textId="4077EEA5" w:rsidR="00422B69" w:rsidRPr="00302082" w:rsidRDefault="00734F44" w:rsidP="00302082">
            <w:pPr>
              <w:spacing w:after="120"/>
              <w:ind w:right="-330"/>
              <w:rPr>
                <w:rFonts w:ascii="Arial" w:hAnsi="Arial" w:cs="Arial"/>
              </w:rPr>
            </w:pPr>
            <w:r>
              <w:rPr>
                <w:rFonts w:ascii="Arial" w:hAnsi="Arial" w:cs="Arial"/>
              </w:rPr>
              <w:t>10/12/19</w:t>
            </w:r>
          </w:p>
        </w:tc>
        <w:tc>
          <w:tcPr>
            <w:tcW w:w="1701" w:type="dxa"/>
          </w:tcPr>
          <w:p w14:paraId="680E9513" w14:textId="7DDBC959" w:rsidR="00422B69" w:rsidRPr="00302082" w:rsidRDefault="00734F44" w:rsidP="00302082">
            <w:pPr>
              <w:spacing w:after="120"/>
              <w:ind w:right="-330"/>
              <w:rPr>
                <w:rFonts w:ascii="Arial" w:hAnsi="Arial" w:cs="Arial"/>
              </w:rPr>
            </w:pPr>
            <w:r>
              <w:rPr>
                <w:rFonts w:ascii="Arial" w:hAnsi="Arial" w:cs="Arial"/>
              </w:rPr>
              <w:t>Minor</w:t>
            </w:r>
          </w:p>
        </w:tc>
        <w:tc>
          <w:tcPr>
            <w:tcW w:w="1871" w:type="dxa"/>
          </w:tcPr>
          <w:p w14:paraId="1279EB0C" w14:textId="354F1A08" w:rsidR="00422B69" w:rsidRPr="00302082" w:rsidRDefault="00734F44" w:rsidP="00302082">
            <w:pPr>
              <w:spacing w:after="120"/>
              <w:ind w:right="-330"/>
              <w:rPr>
                <w:rFonts w:ascii="Arial" w:hAnsi="Arial" w:cs="Arial"/>
              </w:rPr>
            </w:pPr>
            <w:r>
              <w:rPr>
                <w:rFonts w:ascii="Arial" w:hAnsi="Arial" w:cs="Arial"/>
              </w:rPr>
              <w:t>Sep 2020</w:t>
            </w:r>
          </w:p>
        </w:tc>
        <w:tc>
          <w:tcPr>
            <w:tcW w:w="2552" w:type="dxa"/>
          </w:tcPr>
          <w:p w14:paraId="6A3AE979" w14:textId="61CF530D" w:rsidR="00422B69" w:rsidRPr="00302082" w:rsidRDefault="00734F44" w:rsidP="00302082">
            <w:pPr>
              <w:spacing w:after="120"/>
              <w:ind w:right="-330"/>
              <w:rPr>
                <w:rFonts w:ascii="Arial" w:hAnsi="Arial" w:cs="Arial"/>
              </w:rPr>
            </w:pPr>
            <w:r>
              <w:rPr>
                <w:rFonts w:ascii="Arial" w:hAnsi="Arial" w:cs="Arial"/>
              </w:rPr>
              <w:t>12</w:t>
            </w:r>
          </w:p>
        </w:tc>
        <w:tc>
          <w:tcPr>
            <w:tcW w:w="3032" w:type="dxa"/>
          </w:tcPr>
          <w:p w14:paraId="711BB70C" w14:textId="486B2ADF" w:rsidR="00422B69" w:rsidRPr="00302082" w:rsidRDefault="00734F44" w:rsidP="00302082">
            <w:pPr>
              <w:spacing w:after="120"/>
              <w:ind w:right="-330"/>
              <w:rPr>
                <w:rFonts w:ascii="Arial" w:hAnsi="Arial" w:cs="Arial"/>
              </w:rPr>
            </w:pPr>
            <w:r>
              <w:rPr>
                <w:rFonts w:ascii="Arial" w:hAnsi="Arial" w:cs="Arial"/>
              </w:rPr>
              <w:t>No</w:t>
            </w:r>
          </w:p>
        </w:tc>
      </w:tr>
      <w:tr w:rsidR="00302082" w:rsidRPr="00302082" w14:paraId="1E01D3B1" w14:textId="77777777" w:rsidTr="00154D48">
        <w:trPr>
          <w:trHeight w:val="305"/>
        </w:trPr>
        <w:tc>
          <w:tcPr>
            <w:tcW w:w="1526" w:type="dxa"/>
          </w:tcPr>
          <w:p w14:paraId="6E2142A5" w14:textId="77777777" w:rsidR="00422B69" w:rsidRPr="00302082" w:rsidRDefault="00422B69" w:rsidP="00302082">
            <w:pPr>
              <w:spacing w:after="120"/>
              <w:ind w:right="-330"/>
              <w:rPr>
                <w:rFonts w:ascii="Arial" w:hAnsi="Arial" w:cs="Arial"/>
              </w:rPr>
            </w:pPr>
          </w:p>
        </w:tc>
        <w:tc>
          <w:tcPr>
            <w:tcW w:w="1701" w:type="dxa"/>
          </w:tcPr>
          <w:p w14:paraId="0D06ABAE" w14:textId="77777777" w:rsidR="00422B69" w:rsidRPr="00302082" w:rsidRDefault="00422B69" w:rsidP="00302082">
            <w:pPr>
              <w:spacing w:after="120"/>
              <w:ind w:right="-330"/>
              <w:rPr>
                <w:rFonts w:ascii="Arial" w:hAnsi="Arial" w:cs="Arial"/>
              </w:rPr>
            </w:pPr>
          </w:p>
        </w:tc>
        <w:tc>
          <w:tcPr>
            <w:tcW w:w="1871" w:type="dxa"/>
          </w:tcPr>
          <w:p w14:paraId="53F4EFE0" w14:textId="77777777" w:rsidR="00422B69" w:rsidRPr="00302082" w:rsidRDefault="00422B69" w:rsidP="00302082">
            <w:pPr>
              <w:spacing w:after="120"/>
              <w:ind w:right="-330"/>
              <w:rPr>
                <w:rFonts w:ascii="Arial" w:hAnsi="Arial" w:cs="Arial"/>
              </w:rPr>
            </w:pPr>
          </w:p>
        </w:tc>
        <w:tc>
          <w:tcPr>
            <w:tcW w:w="2552" w:type="dxa"/>
          </w:tcPr>
          <w:p w14:paraId="76A35105" w14:textId="77777777" w:rsidR="00422B69" w:rsidRPr="00302082" w:rsidRDefault="00422B69" w:rsidP="00302082">
            <w:pPr>
              <w:spacing w:after="120"/>
              <w:ind w:right="-330"/>
              <w:rPr>
                <w:rFonts w:ascii="Arial" w:hAnsi="Arial" w:cs="Arial"/>
              </w:rPr>
            </w:pPr>
          </w:p>
        </w:tc>
        <w:tc>
          <w:tcPr>
            <w:tcW w:w="3032" w:type="dxa"/>
          </w:tcPr>
          <w:p w14:paraId="72681530" w14:textId="77777777" w:rsidR="00422B69" w:rsidRPr="00302082" w:rsidRDefault="00422B69" w:rsidP="00302082">
            <w:pPr>
              <w:spacing w:after="120"/>
              <w:ind w:right="-330"/>
              <w:rPr>
                <w:rFonts w:ascii="Arial" w:hAnsi="Arial" w:cs="Arial"/>
              </w:rPr>
            </w:pPr>
          </w:p>
        </w:tc>
      </w:tr>
    </w:tbl>
    <w:p w14:paraId="4722ED84" w14:textId="77777777" w:rsidR="00D83563" w:rsidRPr="00302082" w:rsidRDefault="00D83563" w:rsidP="00302082">
      <w:pPr>
        <w:spacing w:after="120" w:line="240" w:lineRule="auto"/>
        <w:ind w:right="-330"/>
        <w:rPr>
          <w:rFonts w:ascii="Arial" w:hAnsi="Arial" w:cs="Arial"/>
        </w:rPr>
      </w:pPr>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ADECBA" w14:textId="77777777" w:rsidR="00D4016F" w:rsidRDefault="00D4016F" w:rsidP="009A2D37">
      <w:pPr>
        <w:spacing w:after="0" w:line="240" w:lineRule="auto"/>
      </w:pPr>
      <w:r>
        <w:separator/>
      </w:r>
    </w:p>
  </w:endnote>
  <w:endnote w:type="continuationSeparator" w:id="0">
    <w:p w14:paraId="5CA93D7C" w14:textId="77777777" w:rsidR="00D4016F" w:rsidRDefault="00D4016F" w:rsidP="009A2D37">
      <w:pPr>
        <w:spacing w:after="0" w:line="240" w:lineRule="auto"/>
      </w:pPr>
      <w:r>
        <w:continuationSeparator/>
      </w:r>
    </w:p>
  </w:endnote>
  <w:endnote w:type="continuationNotice" w:id="1">
    <w:p w14:paraId="594189D2" w14:textId="77777777" w:rsidR="00D4016F" w:rsidRDefault="00D4016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 w:name="Plantin">
    <w:altName w:val="Cambr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40A2E65A" w14:textId="72929131" w:rsidR="008B2543" w:rsidRDefault="0019787E" w:rsidP="009A2D37">
        <w:pPr>
          <w:pStyle w:val="Footer"/>
          <w:jc w:val="center"/>
        </w:pPr>
        <w:r>
          <w:fldChar w:fldCharType="begin"/>
        </w:r>
        <w:r>
          <w:instrText xml:space="preserve"> PAGE   \* MERGEFORMAT </w:instrText>
        </w:r>
        <w:r>
          <w:fldChar w:fldCharType="separate"/>
        </w:r>
        <w:r w:rsidR="00734F44">
          <w:rPr>
            <w:noProof/>
          </w:rPr>
          <w:t>4</w:t>
        </w:r>
        <w:r>
          <w:rPr>
            <w:noProof/>
          </w:rPr>
          <w:fldChar w:fldCharType="end"/>
        </w:r>
      </w:p>
    </w:sdtContent>
  </w:sdt>
  <w:p w14:paraId="446BEC8D"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DB36AB">
      <w:rPr>
        <w:rFonts w:ascii="Arial" w:hAnsi="Arial"/>
        <w:sz w:val="18"/>
      </w:rPr>
      <w:t>September 2019</w:t>
    </w:r>
    <w:r>
      <w:rPr>
        <w:rFonts w:ascii="Arial" w:hAnsi="Arial"/>
        <w:sz w:val="18"/>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51F1FAB2" w14:textId="54F956BF" w:rsidR="00DB36AB" w:rsidRDefault="00DB36AB" w:rsidP="00DB36AB">
        <w:pPr>
          <w:pStyle w:val="Footer"/>
          <w:jc w:val="center"/>
        </w:pPr>
        <w:r>
          <w:fldChar w:fldCharType="begin"/>
        </w:r>
        <w:r>
          <w:instrText xml:space="preserve"> PAGE   \* MERGEFORMAT </w:instrText>
        </w:r>
        <w:r>
          <w:fldChar w:fldCharType="separate"/>
        </w:r>
        <w:r w:rsidR="00734F44">
          <w:rPr>
            <w:noProof/>
          </w:rPr>
          <w:t>1</w:t>
        </w:r>
        <w:r>
          <w:rPr>
            <w:noProof/>
          </w:rPr>
          <w:fldChar w:fldCharType="end"/>
        </w:r>
      </w:p>
    </w:sdtContent>
  </w:sdt>
  <w:p w14:paraId="4B2B640B" w14:textId="77777777" w:rsidR="00DB36AB" w:rsidRPr="00DB36AB" w:rsidRDefault="00DB36AB" w:rsidP="00DB36AB">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with Guidance (September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B515C1" w14:textId="77777777" w:rsidR="00D4016F" w:rsidRDefault="00D4016F" w:rsidP="009A2D37">
      <w:pPr>
        <w:spacing w:after="0" w:line="240" w:lineRule="auto"/>
      </w:pPr>
      <w:r>
        <w:separator/>
      </w:r>
    </w:p>
  </w:footnote>
  <w:footnote w:type="continuationSeparator" w:id="0">
    <w:p w14:paraId="0E428A3F" w14:textId="77777777" w:rsidR="00D4016F" w:rsidRDefault="00D4016F" w:rsidP="009A2D37">
      <w:pPr>
        <w:spacing w:after="0" w:line="240" w:lineRule="auto"/>
      </w:pPr>
      <w:r>
        <w:continuationSeparator/>
      </w:r>
    </w:p>
  </w:footnote>
  <w:footnote w:type="continuationNotice" w:id="1">
    <w:p w14:paraId="033F53BB" w14:textId="77777777" w:rsidR="00D4016F" w:rsidRDefault="00D4016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DA8677"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2565FD59" wp14:editId="54B505D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065314F" w14:textId="77777777" w:rsidR="008B2543" w:rsidRPr="008C00F8" w:rsidRDefault="008B2543" w:rsidP="005E6D38">
    <w:pPr>
      <w:pStyle w:val="Heading1"/>
      <w:spacing w:before="60" w:after="60"/>
      <w:rPr>
        <w:rFonts w:ascii="Arial" w:hAnsi="Arial" w:cs="Arial"/>
      </w:rPr>
    </w:pPr>
  </w:p>
  <w:p w14:paraId="752198BC"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963BD"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3FADE006" wp14:editId="0C7814A2">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20A43FF9"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4ADD"/>
    <w:rsid w:val="00025992"/>
    <w:rsid w:val="00027937"/>
    <w:rsid w:val="00030C9E"/>
    <w:rsid w:val="00031E67"/>
    <w:rsid w:val="000408CC"/>
    <w:rsid w:val="00045373"/>
    <w:rsid w:val="00063A2F"/>
    <w:rsid w:val="000678D3"/>
    <w:rsid w:val="00094810"/>
    <w:rsid w:val="00096DA4"/>
    <w:rsid w:val="000C0294"/>
    <w:rsid w:val="000C3A7E"/>
    <w:rsid w:val="000C7A1C"/>
    <w:rsid w:val="000D2A8A"/>
    <w:rsid w:val="000D32AC"/>
    <w:rsid w:val="000E20C1"/>
    <w:rsid w:val="000E3B73"/>
    <w:rsid w:val="000F607F"/>
    <w:rsid w:val="000F6C56"/>
    <w:rsid w:val="000F7FBF"/>
    <w:rsid w:val="00106BE5"/>
    <w:rsid w:val="00110947"/>
    <w:rsid w:val="00111906"/>
    <w:rsid w:val="00111CB3"/>
    <w:rsid w:val="00112F78"/>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4A5"/>
    <w:rsid w:val="00183B34"/>
    <w:rsid w:val="00185F46"/>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5E42"/>
    <w:rsid w:val="0035632A"/>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2CA4"/>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57466"/>
    <w:rsid w:val="0056127B"/>
    <w:rsid w:val="00561D26"/>
    <w:rsid w:val="00562D36"/>
    <w:rsid w:val="00564738"/>
    <w:rsid w:val="00567EC9"/>
    <w:rsid w:val="00571630"/>
    <w:rsid w:val="005759F4"/>
    <w:rsid w:val="005779D1"/>
    <w:rsid w:val="0058041A"/>
    <w:rsid w:val="00584AEC"/>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7A50"/>
    <w:rsid w:val="00641D6D"/>
    <w:rsid w:val="0064364E"/>
    <w:rsid w:val="006438F3"/>
    <w:rsid w:val="00647907"/>
    <w:rsid w:val="00651A82"/>
    <w:rsid w:val="006525E9"/>
    <w:rsid w:val="006578A3"/>
    <w:rsid w:val="0066747B"/>
    <w:rsid w:val="006725EC"/>
    <w:rsid w:val="00674ED0"/>
    <w:rsid w:val="00682650"/>
    <w:rsid w:val="00683609"/>
    <w:rsid w:val="00684851"/>
    <w:rsid w:val="00694309"/>
    <w:rsid w:val="00695285"/>
    <w:rsid w:val="00696FF5"/>
    <w:rsid w:val="006A6BB4"/>
    <w:rsid w:val="006A7FB0"/>
    <w:rsid w:val="006B297E"/>
    <w:rsid w:val="006C2A9A"/>
    <w:rsid w:val="006C423D"/>
    <w:rsid w:val="006C46EF"/>
    <w:rsid w:val="006C4C67"/>
    <w:rsid w:val="006D13C0"/>
    <w:rsid w:val="006D41AB"/>
    <w:rsid w:val="006D444F"/>
    <w:rsid w:val="006E4FEA"/>
    <w:rsid w:val="006F1A15"/>
    <w:rsid w:val="006F3F8B"/>
    <w:rsid w:val="006F4FD8"/>
    <w:rsid w:val="00700488"/>
    <w:rsid w:val="00702CA3"/>
    <w:rsid w:val="00703404"/>
    <w:rsid w:val="00703F92"/>
    <w:rsid w:val="00704637"/>
    <w:rsid w:val="007105E4"/>
    <w:rsid w:val="00714EE5"/>
    <w:rsid w:val="00720270"/>
    <w:rsid w:val="00724362"/>
    <w:rsid w:val="00727780"/>
    <w:rsid w:val="00734F44"/>
    <w:rsid w:val="0073792C"/>
    <w:rsid w:val="00754069"/>
    <w:rsid w:val="007667DF"/>
    <w:rsid w:val="0077080B"/>
    <w:rsid w:val="00787070"/>
    <w:rsid w:val="007906FD"/>
    <w:rsid w:val="00797197"/>
    <w:rsid w:val="007972A7"/>
    <w:rsid w:val="007A1C0D"/>
    <w:rsid w:val="007A2BA2"/>
    <w:rsid w:val="007A6245"/>
    <w:rsid w:val="007A651E"/>
    <w:rsid w:val="007B1DB2"/>
    <w:rsid w:val="007B375B"/>
    <w:rsid w:val="007B412A"/>
    <w:rsid w:val="007B635E"/>
    <w:rsid w:val="007B7724"/>
    <w:rsid w:val="007B7CDC"/>
    <w:rsid w:val="007C74B4"/>
    <w:rsid w:val="007E3412"/>
    <w:rsid w:val="007F393D"/>
    <w:rsid w:val="008029AF"/>
    <w:rsid w:val="00802FFA"/>
    <w:rsid w:val="00803E82"/>
    <w:rsid w:val="008102E5"/>
    <w:rsid w:val="008111B4"/>
    <w:rsid w:val="008133F0"/>
    <w:rsid w:val="00815880"/>
    <w:rsid w:val="0082322C"/>
    <w:rsid w:val="00823942"/>
    <w:rsid w:val="00827FFD"/>
    <w:rsid w:val="00854535"/>
    <w:rsid w:val="00856EB3"/>
    <w:rsid w:val="00863C96"/>
    <w:rsid w:val="00864A72"/>
    <w:rsid w:val="00865623"/>
    <w:rsid w:val="00873E9F"/>
    <w:rsid w:val="00874047"/>
    <w:rsid w:val="008778CB"/>
    <w:rsid w:val="00881545"/>
    <w:rsid w:val="00883204"/>
    <w:rsid w:val="00883A3E"/>
    <w:rsid w:val="0089148D"/>
    <w:rsid w:val="00891E0D"/>
    <w:rsid w:val="008A0F36"/>
    <w:rsid w:val="008A197D"/>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3880"/>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4C2F"/>
    <w:rsid w:val="00A97038"/>
    <w:rsid w:val="00A97CB8"/>
    <w:rsid w:val="00AA3C15"/>
    <w:rsid w:val="00AA6330"/>
    <w:rsid w:val="00AC7501"/>
    <w:rsid w:val="00AD748B"/>
    <w:rsid w:val="00AE4865"/>
    <w:rsid w:val="00AF50EE"/>
    <w:rsid w:val="00B02666"/>
    <w:rsid w:val="00B0591D"/>
    <w:rsid w:val="00B13402"/>
    <w:rsid w:val="00B14BC2"/>
    <w:rsid w:val="00B17024"/>
    <w:rsid w:val="00B17CD2"/>
    <w:rsid w:val="00B213D2"/>
    <w:rsid w:val="00B248BA"/>
    <w:rsid w:val="00B24B56"/>
    <w:rsid w:val="00B30E07"/>
    <w:rsid w:val="00B34ADD"/>
    <w:rsid w:val="00B52FF5"/>
    <w:rsid w:val="00B5498B"/>
    <w:rsid w:val="00B57219"/>
    <w:rsid w:val="00B65427"/>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612A8"/>
    <w:rsid w:val="00C618D2"/>
    <w:rsid w:val="00C67631"/>
    <w:rsid w:val="00C709C6"/>
    <w:rsid w:val="00C729D7"/>
    <w:rsid w:val="00C820D0"/>
    <w:rsid w:val="00C83354"/>
    <w:rsid w:val="00C84004"/>
    <w:rsid w:val="00C843F6"/>
    <w:rsid w:val="00C84507"/>
    <w:rsid w:val="00C862C7"/>
    <w:rsid w:val="00CA3254"/>
    <w:rsid w:val="00CB11CE"/>
    <w:rsid w:val="00CC25A2"/>
    <w:rsid w:val="00CC654C"/>
    <w:rsid w:val="00CD7F07"/>
    <w:rsid w:val="00CE04F3"/>
    <w:rsid w:val="00CE12D8"/>
    <w:rsid w:val="00CE4574"/>
    <w:rsid w:val="00CE5F9F"/>
    <w:rsid w:val="00CE70E6"/>
    <w:rsid w:val="00CF0BCA"/>
    <w:rsid w:val="00CF2E1E"/>
    <w:rsid w:val="00D02BF9"/>
    <w:rsid w:val="00D02E99"/>
    <w:rsid w:val="00D13357"/>
    <w:rsid w:val="00D13A13"/>
    <w:rsid w:val="00D2689A"/>
    <w:rsid w:val="00D4016F"/>
    <w:rsid w:val="00D65506"/>
    <w:rsid w:val="00D773CF"/>
    <w:rsid w:val="00D83563"/>
    <w:rsid w:val="00D8448F"/>
    <w:rsid w:val="00DA64B6"/>
    <w:rsid w:val="00DB36AB"/>
    <w:rsid w:val="00DB5C9D"/>
    <w:rsid w:val="00DD02E6"/>
    <w:rsid w:val="00DD27AB"/>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6D8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2B5826B"/>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2D18692-6BE9-4E93-924D-4FA2D07FC2D2}">
  <ds:schemaRefs>
    <ds:schemaRef ds:uri="http://schemas.openxmlformats.org/officeDocument/2006/bibliography"/>
  </ds:schemaRefs>
</ds:datastoreItem>
</file>

<file path=customXml/itemProps2.xml><?xml version="1.0" encoding="utf-8"?>
<ds:datastoreItem xmlns:ds="http://schemas.openxmlformats.org/officeDocument/2006/customXml" ds:itemID="{B773B180-E3DC-45E8-BEA2-E1B7D3584268}"/>
</file>

<file path=customXml/itemProps3.xml><?xml version="1.0" encoding="utf-8"?>
<ds:datastoreItem xmlns:ds="http://schemas.openxmlformats.org/officeDocument/2006/customXml" ds:itemID="{7E506199-523E-4751-9D2B-93740B90FAD6}"/>
</file>

<file path=customXml/itemProps4.xml><?xml version="1.0" encoding="utf-8"?>
<ds:datastoreItem xmlns:ds="http://schemas.openxmlformats.org/officeDocument/2006/customXml" ds:itemID="{35BEA841-0F8A-46F9-BD7F-8623FA93E465}"/>
</file>

<file path=docProps/app.xml><?xml version="1.0" encoding="utf-8"?>
<Properties xmlns="http://schemas.openxmlformats.org/officeDocument/2006/extended-properties" xmlns:vt="http://schemas.openxmlformats.org/officeDocument/2006/docPropsVTypes">
  <Template>Normal</Template>
  <TotalTime>1</TotalTime>
  <Pages>4</Pages>
  <Words>1007</Words>
  <Characters>5740</Characters>
  <Application>Microsoft Office Word</Application>
  <DocSecurity>0</DocSecurity>
  <Lines>47</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University of Kent</Company>
  <LinksUpToDate>false</LinksUpToDate>
  <CharactersWithSpaces>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Laura Dack</cp:lastModifiedBy>
  <cp:revision>3</cp:revision>
  <cp:lastPrinted>2015-09-09T08:37:00Z</cp:lastPrinted>
  <dcterms:created xsi:type="dcterms:W3CDTF">2020-01-16T14:35:00Z</dcterms:created>
  <dcterms:modified xsi:type="dcterms:W3CDTF">2020-02-07T12:01:00Z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