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2A7A3C" w:rsidRDefault="00E1736E" w:rsidP="00072357">
      <w:pPr>
        <w:pStyle w:val="header2"/>
      </w:pPr>
      <w:r w:rsidRPr="002A7A3C">
        <w:t>KentVision Code and t</w:t>
      </w:r>
      <w:r w:rsidR="009A2D37" w:rsidRPr="002A7A3C">
        <w:t>itle of the module</w:t>
      </w:r>
    </w:p>
    <w:p w14:paraId="4AE52586" w14:textId="6D0D2725" w:rsidR="009A2D37" w:rsidRPr="002A7A3C" w:rsidRDefault="00267DCA" w:rsidP="00DE6569">
      <w:pPr>
        <w:spacing w:after="120" w:line="240" w:lineRule="auto"/>
        <w:ind w:left="426" w:right="543" w:firstLine="141"/>
        <w:jc w:val="both"/>
        <w:rPr>
          <w:rFonts w:ascii="Arial" w:hAnsi="Arial" w:cs="Arial"/>
          <w:sz w:val="24"/>
          <w:szCs w:val="24"/>
        </w:rPr>
      </w:pPr>
      <w:r w:rsidRPr="002A7A3C">
        <w:rPr>
          <w:rFonts w:ascii="Arial" w:hAnsi="Arial" w:cs="Arial"/>
          <w:sz w:val="24"/>
          <w:szCs w:val="24"/>
        </w:rPr>
        <w:t>ENGL852</w:t>
      </w:r>
      <w:r w:rsidR="00692C1A" w:rsidRPr="002A7A3C">
        <w:rPr>
          <w:rFonts w:ascii="Arial" w:hAnsi="Arial" w:cs="Arial"/>
          <w:sz w:val="24"/>
          <w:szCs w:val="24"/>
        </w:rPr>
        <w:t>0</w:t>
      </w:r>
      <w:r w:rsidR="008B6079" w:rsidRPr="002A7A3C">
        <w:rPr>
          <w:rFonts w:ascii="Arial" w:hAnsi="Arial" w:cs="Arial"/>
          <w:sz w:val="24"/>
          <w:szCs w:val="24"/>
        </w:rPr>
        <w:t xml:space="preserve"> </w:t>
      </w:r>
      <w:r w:rsidR="008445D1" w:rsidRPr="002A7A3C">
        <w:rPr>
          <w:rFonts w:ascii="Arial" w:hAnsi="Arial" w:cs="Arial"/>
          <w:sz w:val="24"/>
          <w:szCs w:val="24"/>
        </w:rPr>
        <w:t>Discourses on Empire</w:t>
      </w:r>
    </w:p>
    <w:p w14:paraId="53DD716D" w14:textId="77777777" w:rsidR="00694B52" w:rsidRPr="002A7A3C" w:rsidRDefault="00694B52" w:rsidP="009D52D0">
      <w:pPr>
        <w:spacing w:after="120" w:line="240" w:lineRule="auto"/>
        <w:ind w:left="426" w:right="543"/>
        <w:jc w:val="both"/>
        <w:rPr>
          <w:rFonts w:ascii="Arial" w:hAnsi="Arial" w:cs="Arial"/>
          <w:sz w:val="24"/>
          <w:szCs w:val="24"/>
        </w:rPr>
      </w:pPr>
    </w:p>
    <w:p w14:paraId="71554414" w14:textId="66149F08" w:rsidR="009A2D37" w:rsidRPr="002A7A3C" w:rsidRDefault="007A49C1" w:rsidP="00072357">
      <w:pPr>
        <w:pStyle w:val="Heading2"/>
      </w:pPr>
      <w:r w:rsidRPr="002A7A3C">
        <w:t>Division</w:t>
      </w:r>
      <w:r w:rsidR="009A2D37" w:rsidRPr="002A7A3C">
        <w:t xml:space="preserve"> </w:t>
      </w:r>
      <w:r w:rsidR="000674E0" w:rsidRPr="002A7A3C">
        <w:t xml:space="preserve">and School/Department </w:t>
      </w:r>
      <w:r w:rsidR="009A2D37" w:rsidRPr="002A7A3C">
        <w:t>or partner institution which will be responsible for management of the module</w:t>
      </w:r>
    </w:p>
    <w:p w14:paraId="6F21992A" w14:textId="3577FA75" w:rsidR="009A2D37" w:rsidRPr="002A7A3C" w:rsidRDefault="00DE6569" w:rsidP="00DE6569">
      <w:pPr>
        <w:spacing w:after="120" w:line="240" w:lineRule="auto"/>
        <w:ind w:left="426" w:right="543" w:firstLine="141"/>
        <w:jc w:val="both"/>
        <w:rPr>
          <w:rFonts w:ascii="Arial" w:hAnsi="Arial" w:cs="Arial"/>
          <w:iCs/>
          <w:sz w:val="24"/>
          <w:szCs w:val="24"/>
        </w:rPr>
      </w:pPr>
      <w:r w:rsidRPr="002A7A3C">
        <w:rPr>
          <w:rFonts w:ascii="Arial" w:hAnsi="Arial" w:cs="Arial"/>
          <w:iCs/>
          <w:sz w:val="24"/>
          <w:szCs w:val="24"/>
        </w:rPr>
        <w:t xml:space="preserve">Arts and Humanities, </w:t>
      </w:r>
      <w:r w:rsidR="008445D1" w:rsidRPr="002A7A3C">
        <w:rPr>
          <w:rFonts w:ascii="Arial" w:hAnsi="Arial" w:cs="Arial"/>
          <w:iCs/>
          <w:sz w:val="24"/>
          <w:szCs w:val="24"/>
        </w:rPr>
        <w:t>School of English</w:t>
      </w:r>
    </w:p>
    <w:p w14:paraId="76FDE1A8" w14:textId="77777777" w:rsidR="00694B52" w:rsidRPr="002A7A3C" w:rsidRDefault="00694B52" w:rsidP="009D52D0">
      <w:pPr>
        <w:spacing w:after="120" w:line="240" w:lineRule="auto"/>
        <w:ind w:left="426" w:right="543"/>
        <w:jc w:val="both"/>
        <w:rPr>
          <w:rFonts w:ascii="Arial" w:hAnsi="Arial" w:cs="Arial"/>
          <w:iCs/>
          <w:sz w:val="24"/>
          <w:szCs w:val="24"/>
        </w:rPr>
      </w:pPr>
    </w:p>
    <w:p w14:paraId="04C6DE8C" w14:textId="77777777" w:rsidR="009A2D37" w:rsidRPr="002A7A3C" w:rsidRDefault="00883204" w:rsidP="00072357">
      <w:pPr>
        <w:pStyle w:val="Heading2"/>
      </w:pPr>
      <w:r w:rsidRPr="002A7A3C">
        <w:t>The level of the module (</w:t>
      </w:r>
      <w:r w:rsidR="00D83563" w:rsidRPr="002A7A3C">
        <w:t>Level</w:t>
      </w:r>
      <w:r w:rsidR="00441E76" w:rsidRPr="002A7A3C">
        <w:t xml:space="preserve"> 4</w:t>
      </w:r>
      <w:r w:rsidR="001D0C7D" w:rsidRPr="002A7A3C">
        <w:t xml:space="preserve">, </w:t>
      </w:r>
      <w:r w:rsidR="00441E76" w:rsidRPr="002A7A3C">
        <w:t>Level 5</w:t>
      </w:r>
      <w:r w:rsidR="001D0C7D" w:rsidRPr="002A7A3C">
        <w:t xml:space="preserve">, </w:t>
      </w:r>
      <w:r w:rsidR="00441E76" w:rsidRPr="002A7A3C">
        <w:t>Level 6</w:t>
      </w:r>
      <w:r w:rsidR="001D0C7D" w:rsidRPr="002A7A3C">
        <w:t xml:space="preserve"> or </w:t>
      </w:r>
      <w:r w:rsidR="00C612A8" w:rsidRPr="002A7A3C">
        <w:t>L</w:t>
      </w:r>
      <w:r w:rsidR="00441E76" w:rsidRPr="002A7A3C">
        <w:t>evel 7</w:t>
      </w:r>
      <w:r w:rsidR="009A2D37" w:rsidRPr="002A7A3C">
        <w:t>)</w:t>
      </w:r>
    </w:p>
    <w:p w14:paraId="5C5465B8" w14:textId="7795D58E" w:rsidR="009A2D37" w:rsidRPr="002A7A3C" w:rsidRDefault="0031513D" w:rsidP="00DE6569">
      <w:pPr>
        <w:spacing w:after="120" w:line="240" w:lineRule="auto"/>
        <w:ind w:left="426" w:right="543" w:firstLine="141"/>
        <w:jc w:val="both"/>
        <w:rPr>
          <w:rFonts w:ascii="Arial" w:hAnsi="Arial" w:cs="Arial"/>
          <w:sz w:val="24"/>
          <w:szCs w:val="24"/>
        </w:rPr>
      </w:pPr>
      <w:r w:rsidRPr="002A7A3C">
        <w:rPr>
          <w:rFonts w:ascii="Arial" w:hAnsi="Arial" w:cs="Arial"/>
          <w:sz w:val="24"/>
          <w:szCs w:val="24"/>
        </w:rPr>
        <w:t>Level 7</w:t>
      </w:r>
    </w:p>
    <w:p w14:paraId="2CCF1AE9" w14:textId="77777777" w:rsidR="00694B52" w:rsidRPr="002A7A3C" w:rsidRDefault="00694B52" w:rsidP="009D52D0">
      <w:pPr>
        <w:spacing w:after="120" w:line="240" w:lineRule="auto"/>
        <w:ind w:left="426" w:right="543"/>
        <w:jc w:val="both"/>
        <w:rPr>
          <w:rFonts w:ascii="Arial" w:hAnsi="Arial" w:cs="Arial"/>
          <w:iCs/>
          <w:sz w:val="24"/>
          <w:szCs w:val="24"/>
        </w:rPr>
      </w:pPr>
    </w:p>
    <w:p w14:paraId="20483909" w14:textId="77777777" w:rsidR="009A2D37" w:rsidRPr="002A7A3C" w:rsidRDefault="009A2D37" w:rsidP="00072357">
      <w:pPr>
        <w:pStyle w:val="Heading2"/>
      </w:pPr>
      <w:r w:rsidRPr="002A7A3C">
        <w:t xml:space="preserve">The number of credits and the ECTS value which the module represents </w:t>
      </w:r>
    </w:p>
    <w:p w14:paraId="0DC0C053" w14:textId="54A62FBB" w:rsidR="009A2D37" w:rsidRPr="002A7A3C" w:rsidRDefault="0031513D" w:rsidP="00DE6569">
      <w:pPr>
        <w:spacing w:after="120" w:line="240" w:lineRule="auto"/>
        <w:ind w:left="426" w:right="543" w:firstLine="141"/>
        <w:rPr>
          <w:rFonts w:ascii="Arial" w:hAnsi="Arial" w:cs="Arial"/>
          <w:sz w:val="24"/>
          <w:szCs w:val="24"/>
        </w:rPr>
      </w:pPr>
      <w:r w:rsidRPr="002A7A3C">
        <w:rPr>
          <w:rFonts w:ascii="Arial" w:hAnsi="Arial" w:cs="Arial"/>
          <w:sz w:val="24"/>
          <w:szCs w:val="24"/>
        </w:rPr>
        <w:t>30 Credits (15 ECTS)</w:t>
      </w:r>
    </w:p>
    <w:p w14:paraId="369EF084" w14:textId="77777777" w:rsidR="00694B52" w:rsidRPr="002A7A3C" w:rsidRDefault="00694B52" w:rsidP="009D52D0">
      <w:pPr>
        <w:spacing w:after="120" w:line="240" w:lineRule="auto"/>
        <w:ind w:left="426" w:right="543"/>
        <w:rPr>
          <w:rFonts w:ascii="Arial" w:hAnsi="Arial" w:cs="Arial"/>
          <w:sz w:val="24"/>
          <w:szCs w:val="24"/>
        </w:rPr>
      </w:pPr>
    </w:p>
    <w:p w14:paraId="0A7DD2EB" w14:textId="77777777" w:rsidR="009A2D37" w:rsidRPr="002A7A3C" w:rsidRDefault="009A2D37" w:rsidP="00072357">
      <w:pPr>
        <w:pStyle w:val="Heading2"/>
      </w:pPr>
      <w:r w:rsidRPr="002A7A3C">
        <w:t>Which term(s) the module is to be taught in (or other teaching pattern)</w:t>
      </w:r>
    </w:p>
    <w:p w14:paraId="1811487B" w14:textId="40AA14A3" w:rsidR="009A2D37" w:rsidRPr="002A7A3C" w:rsidRDefault="0031513D" w:rsidP="00DE6569">
      <w:pPr>
        <w:spacing w:after="120" w:line="240" w:lineRule="auto"/>
        <w:ind w:left="426" w:right="543" w:firstLine="141"/>
        <w:rPr>
          <w:rFonts w:ascii="Arial" w:hAnsi="Arial" w:cs="Arial"/>
          <w:iCs/>
          <w:sz w:val="24"/>
          <w:szCs w:val="24"/>
        </w:rPr>
      </w:pPr>
      <w:r w:rsidRPr="002A7A3C">
        <w:rPr>
          <w:rFonts w:ascii="Arial" w:hAnsi="Arial" w:cs="Arial"/>
          <w:iCs/>
          <w:sz w:val="24"/>
          <w:szCs w:val="24"/>
        </w:rPr>
        <w:t xml:space="preserve">Autumn </w:t>
      </w:r>
      <w:r w:rsidR="00692C1A" w:rsidRPr="002A7A3C">
        <w:rPr>
          <w:rFonts w:ascii="Arial" w:hAnsi="Arial" w:cs="Arial"/>
          <w:iCs/>
          <w:sz w:val="24"/>
          <w:szCs w:val="24"/>
        </w:rPr>
        <w:t>or</w:t>
      </w:r>
      <w:r w:rsidRPr="002A7A3C">
        <w:rPr>
          <w:rFonts w:ascii="Arial" w:hAnsi="Arial" w:cs="Arial"/>
          <w:iCs/>
          <w:sz w:val="24"/>
          <w:szCs w:val="24"/>
        </w:rPr>
        <w:t xml:space="preserve"> Spring</w:t>
      </w:r>
    </w:p>
    <w:p w14:paraId="6A16589E" w14:textId="77777777" w:rsidR="00694B52" w:rsidRPr="002A7A3C" w:rsidRDefault="00694B52" w:rsidP="009D52D0">
      <w:pPr>
        <w:spacing w:after="120" w:line="240" w:lineRule="auto"/>
        <w:ind w:left="426" w:right="543"/>
        <w:rPr>
          <w:rFonts w:ascii="Arial" w:hAnsi="Arial" w:cs="Arial"/>
          <w:iCs/>
          <w:sz w:val="24"/>
          <w:szCs w:val="24"/>
        </w:rPr>
      </w:pPr>
    </w:p>
    <w:p w14:paraId="76529F9A" w14:textId="1E4AB6DA" w:rsidR="009A2D37" w:rsidRPr="002A7A3C" w:rsidRDefault="009A2D37" w:rsidP="00072357">
      <w:pPr>
        <w:pStyle w:val="Heading2"/>
      </w:pPr>
      <w:r w:rsidRPr="002A7A3C">
        <w:t>Prerequisite and co-requisite modules</w:t>
      </w:r>
      <w:r w:rsidR="00E1736E" w:rsidRPr="002A7A3C">
        <w:t xml:space="preserve"> and/or any module restrictions</w:t>
      </w:r>
    </w:p>
    <w:p w14:paraId="3EABD14E" w14:textId="3C02DA1C" w:rsidR="00687284" w:rsidRPr="002A7A3C" w:rsidRDefault="0031513D" w:rsidP="00687284">
      <w:pPr>
        <w:spacing w:after="120" w:line="240" w:lineRule="auto"/>
        <w:ind w:left="567" w:right="543"/>
        <w:jc w:val="both"/>
        <w:rPr>
          <w:rFonts w:ascii="Arial" w:hAnsi="Arial" w:cs="Arial"/>
          <w:sz w:val="24"/>
          <w:szCs w:val="24"/>
        </w:rPr>
      </w:pPr>
      <w:r w:rsidRPr="002A7A3C">
        <w:rPr>
          <w:rFonts w:ascii="Arial" w:hAnsi="Arial" w:cs="Arial"/>
          <w:sz w:val="24"/>
          <w:szCs w:val="24"/>
        </w:rPr>
        <w:t>None</w:t>
      </w:r>
    </w:p>
    <w:p w14:paraId="5AC1E0F6" w14:textId="77777777" w:rsidR="009A2D37" w:rsidRPr="002A7A3C" w:rsidRDefault="009A2D37" w:rsidP="00E1736E">
      <w:pPr>
        <w:spacing w:after="120" w:line="240" w:lineRule="auto"/>
        <w:ind w:right="543"/>
        <w:rPr>
          <w:rFonts w:ascii="Arial" w:hAnsi="Arial" w:cs="Arial"/>
          <w:iCs/>
          <w:sz w:val="24"/>
          <w:szCs w:val="24"/>
        </w:rPr>
      </w:pPr>
    </w:p>
    <w:p w14:paraId="65457720" w14:textId="77777777" w:rsidR="009A2D37" w:rsidRPr="002A7A3C" w:rsidRDefault="009A2D37" w:rsidP="00072357">
      <w:pPr>
        <w:pStyle w:val="Heading2"/>
      </w:pPr>
      <w:r w:rsidRPr="002A7A3C">
        <w:t xml:space="preserve">The </w:t>
      </w:r>
      <w:r w:rsidR="007A49C1" w:rsidRPr="002A7A3C">
        <w:t>course(s)</w:t>
      </w:r>
      <w:r w:rsidRPr="002A7A3C">
        <w:t xml:space="preserve"> of study to which the module contributes</w:t>
      </w:r>
    </w:p>
    <w:p w14:paraId="1C72C6E3" w14:textId="77777777" w:rsidR="0031513D" w:rsidRPr="002A7A3C" w:rsidRDefault="00E1736E" w:rsidP="0031513D">
      <w:pPr>
        <w:spacing w:after="120" w:line="240" w:lineRule="auto"/>
        <w:ind w:left="567" w:right="260"/>
        <w:rPr>
          <w:rFonts w:ascii="Arial" w:hAnsi="Arial" w:cs="Arial"/>
          <w:iCs/>
          <w:sz w:val="24"/>
          <w:szCs w:val="24"/>
        </w:rPr>
      </w:pPr>
      <w:r w:rsidRPr="002A7A3C">
        <w:rPr>
          <w:rFonts w:ascii="Arial" w:hAnsi="Arial" w:cs="Arial"/>
          <w:iCs/>
          <w:sz w:val="24"/>
          <w:szCs w:val="24"/>
        </w:rPr>
        <w:t>Compulsory to the following courses:</w:t>
      </w:r>
      <w:r w:rsidR="0031513D" w:rsidRPr="002A7A3C">
        <w:rPr>
          <w:rFonts w:ascii="Arial" w:hAnsi="Arial" w:cs="Arial"/>
          <w:iCs/>
          <w:sz w:val="24"/>
          <w:szCs w:val="24"/>
        </w:rPr>
        <w:t xml:space="preserve"> </w:t>
      </w:r>
    </w:p>
    <w:p w14:paraId="56A33971" w14:textId="77777777" w:rsidR="008445D1" w:rsidRPr="002A7A3C" w:rsidRDefault="0031513D" w:rsidP="0031513D">
      <w:pPr>
        <w:spacing w:after="120" w:line="240" w:lineRule="auto"/>
        <w:ind w:left="567" w:right="260"/>
        <w:rPr>
          <w:rFonts w:ascii="Arial" w:hAnsi="Arial" w:cs="Arial"/>
          <w:iCs/>
          <w:sz w:val="24"/>
          <w:szCs w:val="24"/>
        </w:rPr>
      </w:pPr>
      <w:r w:rsidRPr="002A7A3C">
        <w:rPr>
          <w:rFonts w:ascii="Arial" w:hAnsi="Arial" w:cs="Arial"/>
          <w:iCs/>
          <w:sz w:val="24"/>
          <w:szCs w:val="24"/>
        </w:rPr>
        <w:t xml:space="preserve">MA Postcolonial Studies; </w:t>
      </w:r>
    </w:p>
    <w:p w14:paraId="1C2740A2" w14:textId="407EF7CC" w:rsidR="008445D1" w:rsidRPr="002A7A3C" w:rsidRDefault="008445D1" w:rsidP="0031513D">
      <w:pPr>
        <w:spacing w:after="120" w:line="240" w:lineRule="auto"/>
        <w:ind w:left="567" w:right="260"/>
        <w:rPr>
          <w:rFonts w:ascii="Arial" w:hAnsi="Arial" w:cs="Arial"/>
          <w:iCs/>
          <w:sz w:val="24"/>
          <w:szCs w:val="24"/>
        </w:rPr>
      </w:pPr>
      <w:r w:rsidRPr="002A7A3C">
        <w:rPr>
          <w:rFonts w:ascii="Arial" w:hAnsi="Arial" w:cs="Arial"/>
          <w:iCs/>
          <w:sz w:val="24"/>
          <w:szCs w:val="24"/>
        </w:rPr>
        <w:t>Optional to the following courses:</w:t>
      </w:r>
    </w:p>
    <w:p w14:paraId="08BDB55D" w14:textId="2CA3A3D7" w:rsidR="0031513D" w:rsidRPr="002A7A3C" w:rsidRDefault="0031513D" w:rsidP="0031513D">
      <w:pPr>
        <w:spacing w:after="120" w:line="240" w:lineRule="auto"/>
        <w:ind w:left="567" w:right="260"/>
        <w:rPr>
          <w:rFonts w:ascii="Arial" w:hAnsi="Arial" w:cs="Arial"/>
          <w:iCs/>
          <w:sz w:val="24"/>
          <w:szCs w:val="24"/>
        </w:rPr>
      </w:pPr>
      <w:r w:rsidRPr="002A7A3C">
        <w:rPr>
          <w:rFonts w:ascii="Arial" w:hAnsi="Arial" w:cs="Arial"/>
          <w:iCs/>
          <w:sz w:val="24"/>
          <w:szCs w:val="24"/>
        </w:rPr>
        <w:t>MA English</w:t>
      </w:r>
      <w:r w:rsidR="004823C6" w:rsidRPr="002A7A3C">
        <w:rPr>
          <w:rFonts w:ascii="Arial" w:hAnsi="Arial" w:cs="Arial"/>
          <w:iCs/>
          <w:sz w:val="24"/>
          <w:szCs w:val="24"/>
        </w:rPr>
        <w:t xml:space="preserve"> </w:t>
      </w:r>
      <w:r w:rsidRPr="002A7A3C">
        <w:rPr>
          <w:rFonts w:ascii="Arial" w:hAnsi="Arial" w:cs="Arial"/>
          <w:iCs/>
          <w:sz w:val="24"/>
          <w:szCs w:val="24"/>
        </w:rPr>
        <w:t>Literature</w:t>
      </w:r>
    </w:p>
    <w:p w14:paraId="119D9EC5" w14:textId="29FB66BE" w:rsidR="00E1736E" w:rsidRPr="002A7A3C" w:rsidRDefault="00E1736E" w:rsidP="00E1736E">
      <w:pPr>
        <w:spacing w:after="120" w:line="240" w:lineRule="auto"/>
        <w:ind w:left="567" w:right="543"/>
        <w:rPr>
          <w:rFonts w:ascii="Arial" w:hAnsi="Arial" w:cs="Arial"/>
          <w:iCs/>
          <w:sz w:val="24"/>
          <w:szCs w:val="24"/>
        </w:rPr>
      </w:pPr>
      <w:r w:rsidRPr="002A7A3C">
        <w:rPr>
          <w:rFonts w:ascii="Arial" w:hAnsi="Arial" w:cs="Arial"/>
          <w:iCs/>
          <w:sz w:val="24"/>
          <w:szCs w:val="24"/>
        </w:rPr>
        <w:t>Also available as an elective module</w:t>
      </w:r>
    </w:p>
    <w:p w14:paraId="28CC1478" w14:textId="77777777" w:rsidR="00694B52" w:rsidRPr="002A7A3C" w:rsidRDefault="00694B52" w:rsidP="009D52D0">
      <w:pPr>
        <w:spacing w:after="120" w:line="240" w:lineRule="auto"/>
        <w:ind w:left="426" w:right="543"/>
        <w:rPr>
          <w:rFonts w:ascii="Arial" w:hAnsi="Arial" w:cs="Arial"/>
          <w:iCs/>
          <w:sz w:val="24"/>
          <w:szCs w:val="24"/>
        </w:rPr>
      </w:pPr>
    </w:p>
    <w:p w14:paraId="3839F6AB" w14:textId="77777777" w:rsidR="009A2D37" w:rsidRPr="002A7A3C" w:rsidRDefault="009A2D37" w:rsidP="00072357">
      <w:pPr>
        <w:pStyle w:val="Heading2"/>
        <w:jc w:val="left"/>
      </w:pPr>
      <w:r w:rsidRPr="002A7A3C">
        <w:t>The intended subject specific learning outcomes</w:t>
      </w:r>
      <w:r w:rsidR="00C729D7" w:rsidRPr="002A7A3C">
        <w:t>.</w:t>
      </w:r>
      <w:r w:rsidR="00C729D7" w:rsidRPr="002A7A3C">
        <w:br/>
        <w:t>On successfully completing the module students will be able to:</w:t>
      </w:r>
    </w:p>
    <w:p w14:paraId="166ADC2B" w14:textId="77777777" w:rsidR="00DE6569" w:rsidRPr="002A7A3C" w:rsidRDefault="00267DCA" w:rsidP="00DE6569">
      <w:pPr>
        <w:pStyle w:val="ListParagraph"/>
        <w:numPr>
          <w:ilvl w:val="1"/>
          <w:numId w:val="13"/>
        </w:numPr>
        <w:spacing w:after="120" w:line="240" w:lineRule="auto"/>
        <w:ind w:right="543"/>
        <w:rPr>
          <w:rFonts w:ascii="Arial" w:hAnsi="Arial" w:cs="Arial"/>
          <w:bCs/>
          <w:sz w:val="24"/>
          <w:szCs w:val="24"/>
        </w:rPr>
      </w:pPr>
      <w:r w:rsidRPr="002A7A3C">
        <w:rPr>
          <w:rFonts w:ascii="Arial" w:hAnsi="Arial" w:cs="Arial"/>
          <w:bCs/>
          <w:sz w:val="24"/>
          <w:szCs w:val="24"/>
        </w:rPr>
        <w:t xml:space="preserve">Identify the main concerns of discourses on empire, including justification and critiques of imperialism and colonialism and the theorisation of resistance, liberation and decolonisation struggles. </w:t>
      </w:r>
    </w:p>
    <w:p w14:paraId="60C593EF" w14:textId="77777777" w:rsidR="00DE6569" w:rsidRPr="002A7A3C" w:rsidRDefault="00267DCA" w:rsidP="00DE6569">
      <w:pPr>
        <w:pStyle w:val="ListParagraph"/>
        <w:numPr>
          <w:ilvl w:val="1"/>
          <w:numId w:val="13"/>
        </w:numPr>
        <w:spacing w:after="120" w:line="240" w:lineRule="auto"/>
        <w:ind w:right="543"/>
        <w:rPr>
          <w:rFonts w:ascii="Arial" w:hAnsi="Arial" w:cs="Arial"/>
          <w:bCs/>
          <w:sz w:val="24"/>
          <w:szCs w:val="24"/>
        </w:rPr>
      </w:pPr>
      <w:r w:rsidRPr="002A7A3C">
        <w:rPr>
          <w:rFonts w:ascii="Arial" w:hAnsi="Arial" w:cs="Arial"/>
          <w:bCs/>
          <w:sz w:val="24"/>
          <w:szCs w:val="24"/>
        </w:rPr>
        <w:t>Understand the role of culture in the expression of struggles and in the articulation of identities</w:t>
      </w:r>
    </w:p>
    <w:p w14:paraId="6E3A6C04" w14:textId="77777777" w:rsidR="00776959" w:rsidRDefault="00267DCA" w:rsidP="00776959">
      <w:pPr>
        <w:pStyle w:val="ListParagraph"/>
        <w:numPr>
          <w:ilvl w:val="1"/>
          <w:numId w:val="13"/>
        </w:numPr>
        <w:spacing w:after="120" w:line="240" w:lineRule="auto"/>
        <w:ind w:right="543"/>
        <w:rPr>
          <w:rFonts w:ascii="Arial" w:hAnsi="Arial" w:cs="Arial"/>
          <w:bCs/>
          <w:sz w:val="24"/>
          <w:szCs w:val="24"/>
        </w:rPr>
      </w:pPr>
      <w:r w:rsidRPr="002A7A3C">
        <w:rPr>
          <w:rFonts w:ascii="Arial" w:hAnsi="Arial" w:cs="Arial"/>
          <w:bCs/>
          <w:sz w:val="24"/>
          <w:szCs w:val="24"/>
        </w:rPr>
        <w:t>Demonstrate a nuanced understanding of the works of key texts and intellectuals in the field.</w:t>
      </w:r>
    </w:p>
    <w:p w14:paraId="256A8AC3" w14:textId="170D2468" w:rsidR="002A7A3C" w:rsidRPr="00776959" w:rsidRDefault="00267DCA" w:rsidP="00776959">
      <w:pPr>
        <w:pStyle w:val="ListParagraph"/>
        <w:numPr>
          <w:ilvl w:val="1"/>
          <w:numId w:val="13"/>
        </w:numPr>
        <w:spacing w:after="120" w:line="240" w:lineRule="auto"/>
        <w:ind w:right="543"/>
        <w:rPr>
          <w:rFonts w:ascii="Arial" w:hAnsi="Arial" w:cs="Arial"/>
          <w:bCs/>
          <w:sz w:val="24"/>
          <w:szCs w:val="24"/>
        </w:rPr>
      </w:pPr>
      <w:r w:rsidRPr="00776959">
        <w:rPr>
          <w:rFonts w:ascii="Arial" w:hAnsi="Arial" w:cs="Arial"/>
          <w:bCs/>
          <w:sz w:val="24"/>
          <w:szCs w:val="24"/>
        </w:rPr>
        <w:t>Demonstrate an advanced understanding of the historical contexts of discourses on empire.</w:t>
      </w:r>
    </w:p>
    <w:p w14:paraId="2AED4C45" w14:textId="77777777" w:rsidR="002A7A3C" w:rsidRPr="002A7A3C" w:rsidRDefault="002A7A3C">
      <w:pPr>
        <w:rPr>
          <w:rFonts w:ascii="Arial" w:hAnsi="Arial" w:cs="Arial"/>
          <w:bCs/>
          <w:sz w:val="24"/>
          <w:szCs w:val="24"/>
        </w:rPr>
      </w:pPr>
      <w:r w:rsidRPr="002A7A3C">
        <w:rPr>
          <w:rFonts w:ascii="Arial" w:hAnsi="Arial" w:cs="Arial"/>
          <w:bCs/>
          <w:sz w:val="24"/>
          <w:szCs w:val="24"/>
        </w:rPr>
        <w:br w:type="page"/>
      </w:r>
    </w:p>
    <w:p w14:paraId="035A14B0" w14:textId="77777777" w:rsidR="00C729D7" w:rsidRPr="002A7A3C" w:rsidRDefault="009A2D37" w:rsidP="00072357">
      <w:pPr>
        <w:pStyle w:val="Heading2"/>
        <w:jc w:val="left"/>
      </w:pPr>
      <w:r w:rsidRPr="002A7A3C">
        <w:lastRenderedPageBreak/>
        <w:t>The intended generic learning outcomes</w:t>
      </w:r>
      <w:r w:rsidR="00C729D7" w:rsidRPr="002A7A3C">
        <w:t>.</w:t>
      </w:r>
      <w:r w:rsidR="00C729D7" w:rsidRPr="002A7A3C">
        <w:br/>
        <w:t>On successfully completing the module students will be able to:</w:t>
      </w:r>
    </w:p>
    <w:p w14:paraId="49C09B93" w14:textId="6F1CAC8E" w:rsidR="003E4254" w:rsidRPr="002A7A3C" w:rsidRDefault="003E4254" w:rsidP="00920E37">
      <w:pPr>
        <w:pStyle w:val="header2"/>
        <w:numPr>
          <w:ilvl w:val="1"/>
          <w:numId w:val="11"/>
        </w:numPr>
        <w:rPr>
          <w:b w:val="0"/>
          <w:bCs/>
        </w:rPr>
      </w:pPr>
      <w:r w:rsidRPr="002A7A3C">
        <w:rPr>
          <w:b w:val="0"/>
          <w:bCs/>
        </w:rPr>
        <w:t>Demonstrate an ability to apply close reading techniques to a diverse range of material.</w:t>
      </w:r>
    </w:p>
    <w:p w14:paraId="7D1D399B" w14:textId="38E04DFA" w:rsidR="003E4254" w:rsidRPr="002A7A3C" w:rsidRDefault="003E4254" w:rsidP="00920E37">
      <w:pPr>
        <w:pStyle w:val="header2"/>
        <w:numPr>
          <w:ilvl w:val="1"/>
          <w:numId w:val="11"/>
        </w:numPr>
        <w:rPr>
          <w:b w:val="0"/>
          <w:bCs/>
        </w:rPr>
      </w:pPr>
      <w:r w:rsidRPr="002A7A3C">
        <w:rPr>
          <w:b w:val="0"/>
          <w:bCs/>
        </w:rPr>
        <w:t>Conduct self-directed research and demonstrate an ability to discuss, evaluate and creatively deploy critical and theoretical sources of relevance.</w:t>
      </w:r>
    </w:p>
    <w:p w14:paraId="6537DC07" w14:textId="1202D1A9" w:rsidR="003E4254" w:rsidRPr="002A7A3C" w:rsidRDefault="003E4254" w:rsidP="00920E37">
      <w:pPr>
        <w:pStyle w:val="header2"/>
        <w:numPr>
          <w:ilvl w:val="1"/>
          <w:numId w:val="11"/>
        </w:numPr>
        <w:rPr>
          <w:b w:val="0"/>
          <w:bCs/>
        </w:rPr>
      </w:pPr>
      <w:r w:rsidRPr="002A7A3C">
        <w:rPr>
          <w:b w:val="0"/>
          <w:bCs/>
        </w:rPr>
        <w:t>Construct original, articulate and well-substantiated arguments.</w:t>
      </w:r>
    </w:p>
    <w:p w14:paraId="43163BBE" w14:textId="06678449" w:rsidR="002A7A3C" w:rsidRPr="002A7A3C" w:rsidRDefault="003E4254" w:rsidP="002A7A3C">
      <w:pPr>
        <w:pStyle w:val="header2"/>
        <w:numPr>
          <w:ilvl w:val="1"/>
          <w:numId w:val="11"/>
        </w:numPr>
        <w:rPr>
          <w:b w:val="0"/>
          <w:bCs/>
        </w:rPr>
      </w:pPr>
      <w:r w:rsidRPr="002A7A3C">
        <w:rPr>
          <w:b w:val="0"/>
          <w:bCs/>
        </w:rPr>
        <w:t>Identify and evaluate advanced research questions</w:t>
      </w:r>
      <w:r w:rsidR="002A7A3C" w:rsidRPr="002A7A3C">
        <w:rPr>
          <w:b w:val="0"/>
          <w:bCs/>
        </w:rPr>
        <w:t>.</w:t>
      </w:r>
    </w:p>
    <w:p w14:paraId="4C4AA5B5" w14:textId="77777777" w:rsidR="002A7A3C" w:rsidRPr="002A7A3C" w:rsidRDefault="002A7A3C" w:rsidP="002A7A3C">
      <w:pPr>
        <w:pStyle w:val="Heading2"/>
        <w:numPr>
          <w:ilvl w:val="0"/>
          <w:numId w:val="0"/>
        </w:numPr>
        <w:ind w:left="567"/>
      </w:pPr>
    </w:p>
    <w:p w14:paraId="73386C6A" w14:textId="77777777" w:rsidR="009A2D37" w:rsidRPr="002A7A3C" w:rsidRDefault="009A2D37" w:rsidP="008B6079">
      <w:pPr>
        <w:pStyle w:val="Heading2"/>
        <w:numPr>
          <w:ilvl w:val="0"/>
          <w:numId w:val="11"/>
        </w:numPr>
        <w:ind w:left="567" w:hanging="567"/>
      </w:pPr>
      <w:r w:rsidRPr="002A7A3C">
        <w:t>A synopsis of the curriculum</w:t>
      </w:r>
    </w:p>
    <w:p w14:paraId="56A41831" w14:textId="35D1BBC5" w:rsidR="009A2D37" w:rsidRPr="002A7A3C" w:rsidRDefault="003E4254" w:rsidP="00776959">
      <w:pPr>
        <w:spacing w:after="120" w:line="240" w:lineRule="auto"/>
        <w:ind w:left="567" w:right="543"/>
        <w:jc w:val="both"/>
        <w:rPr>
          <w:rFonts w:ascii="Arial" w:hAnsi="Arial" w:cs="Arial"/>
          <w:iCs/>
          <w:sz w:val="24"/>
          <w:szCs w:val="24"/>
        </w:rPr>
      </w:pPr>
      <w:r w:rsidRPr="002A7A3C">
        <w:rPr>
          <w:rFonts w:ascii="Arial" w:hAnsi="Arial" w:cs="Arial"/>
          <w:color w:val="000000"/>
          <w:sz w:val="24"/>
          <w:szCs w:val="24"/>
          <w:shd w:val="clear" w:color="auto" w:fill="FFFFFF"/>
        </w:rPr>
        <w:t>This module examines colonial and post-colonial discourses on empire in a variety of disciplines and locations from across the world. From Bartolomé De Las Casas’s </w:t>
      </w:r>
      <w:r w:rsidRPr="002A7A3C">
        <w:rPr>
          <w:rFonts w:ascii="Arial" w:hAnsi="Arial" w:cs="Arial"/>
          <w:i/>
          <w:iCs/>
          <w:color w:val="000000"/>
          <w:sz w:val="24"/>
          <w:szCs w:val="24"/>
          <w:shd w:val="clear" w:color="auto" w:fill="FFFFFF"/>
        </w:rPr>
        <w:t>A Short Account of the Destruction of the Indies</w:t>
      </w:r>
      <w:r w:rsidRPr="002A7A3C">
        <w:rPr>
          <w:rFonts w:ascii="Arial" w:hAnsi="Arial" w:cs="Arial"/>
          <w:color w:val="000000"/>
          <w:sz w:val="24"/>
          <w:szCs w:val="24"/>
          <w:shd w:val="clear" w:color="auto" w:fill="FFFFFF"/>
        </w:rPr>
        <w:t> (1542) to Arundhati Roy’s essays on American empire and the War on Terror, this module studies how colonialism and imperialism are represented in theoretical and political writings: how they are justified and challenged; legitimised and overcome. Special attention is given to the period of decolonization and to the globally significant tracts and texts it has generated, including Fanon’s </w:t>
      </w:r>
      <w:r w:rsidRPr="002A7A3C">
        <w:rPr>
          <w:rFonts w:ascii="Arial" w:hAnsi="Arial" w:cs="Arial"/>
          <w:i/>
          <w:iCs/>
          <w:color w:val="000000"/>
          <w:sz w:val="24"/>
          <w:szCs w:val="24"/>
          <w:shd w:val="clear" w:color="auto" w:fill="FFFFFF"/>
        </w:rPr>
        <w:t>Wretched of the Earth</w:t>
      </w:r>
      <w:r w:rsidRPr="002A7A3C">
        <w:rPr>
          <w:rFonts w:ascii="Arial" w:hAnsi="Arial" w:cs="Arial"/>
          <w:color w:val="000000"/>
          <w:sz w:val="24"/>
          <w:szCs w:val="24"/>
          <w:shd w:val="clear" w:color="auto" w:fill="FFFFFF"/>
        </w:rPr>
        <w:t> (1961). The module also tackles more recent developments in cultural studies and political theory and charts the turn to the study of empire in contemporary academic and public discourse.</w:t>
      </w:r>
    </w:p>
    <w:p w14:paraId="7040E90A" w14:textId="77777777" w:rsidR="008D4447" w:rsidRPr="002A7A3C" w:rsidRDefault="008D4447" w:rsidP="009D52D0">
      <w:pPr>
        <w:spacing w:after="120" w:line="240" w:lineRule="auto"/>
        <w:ind w:left="426" w:right="543"/>
        <w:rPr>
          <w:rFonts w:ascii="Arial" w:hAnsi="Arial" w:cs="Arial"/>
          <w:iCs/>
          <w:sz w:val="24"/>
          <w:szCs w:val="24"/>
        </w:rPr>
      </w:pPr>
    </w:p>
    <w:p w14:paraId="05E3877E" w14:textId="77777777" w:rsidR="00636058" w:rsidRPr="002A7A3C" w:rsidRDefault="00883204" w:rsidP="008B6079">
      <w:pPr>
        <w:pStyle w:val="Heading2"/>
        <w:numPr>
          <w:ilvl w:val="0"/>
          <w:numId w:val="11"/>
        </w:numPr>
        <w:ind w:left="567" w:hanging="567"/>
      </w:pPr>
      <w:r w:rsidRPr="002A7A3C">
        <w:t>Reading l</w:t>
      </w:r>
      <w:r w:rsidR="009A2D37" w:rsidRPr="002A7A3C">
        <w:t xml:space="preserve">ist </w:t>
      </w:r>
    </w:p>
    <w:p w14:paraId="6574CE52" w14:textId="4D1C00BF" w:rsidR="00636058" w:rsidRPr="002A7A3C" w:rsidRDefault="00636058" w:rsidP="00636058">
      <w:pPr>
        <w:pStyle w:val="Heading2"/>
        <w:numPr>
          <w:ilvl w:val="0"/>
          <w:numId w:val="0"/>
        </w:numPr>
        <w:ind w:left="567"/>
        <w:rPr>
          <w:b w:val="0"/>
          <w:bCs/>
        </w:rPr>
      </w:pPr>
      <w:r w:rsidRPr="002A7A3C">
        <w:rPr>
          <w:b w:val="0"/>
          <w:bCs/>
        </w:rPr>
        <w:t xml:space="preserve">The University is committed to ensuring that core reading materials are in accessible electronic format in line with the Kent Inclusive Practices. </w:t>
      </w:r>
    </w:p>
    <w:p w14:paraId="6A052CDF" w14:textId="0B3AB175" w:rsidR="00636058" w:rsidRPr="002A7A3C" w:rsidRDefault="00636058" w:rsidP="00636058">
      <w:pPr>
        <w:pStyle w:val="Heading2"/>
        <w:numPr>
          <w:ilvl w:val="0"/>
          <w:numId w:val="0"/>
        </w:numPr>
        <w:ind w:left="567"/>
        <w:rPr>
          <w:b w:val="0"/>
          <w:bCs/>
        </w:rPr>
      </w:pPr>
      <w:r w:rsidRPr="002A7A3C">
        <w:rPr>
          <w:b w:val="0"/>
          <w:bCs/>
        </w:rPr>
        <w:t xml:space="preserve">The most up to date reading list for each module can be found on the university's </w:t>
      </w:r>
      <w:hyperlink r:id="rId8" w:history="1">
        <w:r w:rsidRPr="002A7A3C">
          <w:rPr>
            <w:rStyle w:val="Hyperlink"/>
            <w:b w:val="0"/>
            <w:bCs/>
          </w:rPr>
          <w:t>reading list pages</w:t>
        </w:r>
      </w:hyperlink>
      <w:r w:rsidRPr="002A7A3C">
        <w:rPr>
          <w:b w:val="0"/>
          <w:bCs/>
        </w:rPr>
        <w:t xml:space="preserve">. </w:t>
      </w:r>
    </w:p>
    <w:p w14:paraId="65C929EC" w14:textId="46557AE0" w:rsidR="008D4447" w:rsidRPr="002A7A3C" w:rsidRDefault="00636058" w:rsidP="009D52D0">
      <w:pPr>
        <w:spacing w:after="120" w:line="240" w:lineRule="auto"/>
        <w:ind w:right="543"/>
        <w:jc w:val="both"/>
        <w:rPr>
          <w:rFonts w:ascii="Arial" w:hAnsi="Arial" w:cs="Arial"/>
          <w:b/>
          <w:sz w:val="24"/>
          <w:szCs w:val="24"/>
        </w:rPr>
      </w:pPr>
      <w:r w:rsidRPr="002A7A3C">
        <w:rPr>
          <w:rFonts w:ascii="Arial" w:hAnsi="Arial" w:cs="Arial"/>
          <w:sz w:val="24"/>
          <w:szCs w:val="24"/>
        </w:rPr>
        <w:t xml:space="preserve"> </w:t>
      </w:r>
    </w:p>
    <w:p w14:paraId="715A2291" w14:textId="15D7BD54" w:rsidR="00883204" w:rsidRPr="002A7A3C" w:rsidRDefault="00636058" w:rsidP="008B6079">
      <w:pPr>
        <w:pStyle w:val="Heading2"/>
        <w:numPr>
          <w:ilvl w:val="0"/>
          <w:numId w:val="11"/>
        </w:numPr>
        <w:ind w:left="567" w:hanging="567"/>
      </w:pPr>
      <w:r w:rsidRPr="002A7A3C">
        <w:t>Contact Hours</w:t>
      </w:r>
    </w:p>
    <w:p w14:paraId="1086FCCF" w14:textId="0F985019" w:rsidR="00636058" w:rsidRPr="002A7A3C" w:rsidRDefault="00636058" w:rsidP="00636058">
      <w:pPr>
        <w:ind w:left="567"/>
        <w:rPr>
          <w:rFonts w:ascii="Arial" w:hAnsi="Arial" w:cs="Arial"/>
          <w:sz w:val="24"/>
          <w:szCs w:val="24"/>
        </w:rPr>
      </w:pPr>
      <w:r w:rsidRPr="002A7A3C">
        <w:rPr>
          <w:rFonts w:ascii="Arial" w:hAnsi="Arial" w:cs="Arial"/>
          <w:sz w:val="24"/>
          <w:szCs w:val="24"/>
        </w:rPr>
        <w:t>Private Study</w:t>
      </w:r>
      <w:r w:rsidR="007A3F31" w:rsidRPr="002A7A3C">
        <w:rPr>
          <w:rFonts w:ascii="Arial" w:hAnsi="Arial" w:cs="Arial"/>
          <w:sz w:val="24"/>
          <w:szCs w:val="24"/>
        </w:rPr>
        <w:t>:</w:t>
      </w:r>
      <w:r w:rsidR="0031513D" w:rsidRPr="002A7A3C">
        <w:rPr>
          <w:rFonts w:ascii="Arial" w:hAnsi="Arial" w:cs="Arial"/>
          <w:sz w:val="24"/>
          <w:szCs w:val="24"/>
        </w:rPr>
        <w:t xml:space="preserve"> </w:t>
      </w:r>
      <w:r w:rsidR="004823C6" w:rsidRPr="002A7A3C">
        <w:rPr>
          <w:rFonts w:ascii="Arial" w:hAnsi="Arial" w:cs="Arial"/>
          <w:sz w:val="24"/>
          <w:szCs w:val="24"/>
        </w:rPr>
        <w:t>278</w:t>
      </w:r>
    </w:p>
    <w:p w14:paraId="3BE5E6D9" w14:textId="3A35CEF0" w:rsidR="00636058" w:rsidRPr="002A7A3C" w:rsidRDefault="00636058" w:rsidP="00636058">
      <w:pPr>
        <w:ind w:left="567"/>
        <w:rPr>
          <w:rFonts w:ascii="Arial" w:hAnsi="Arial" w:cs="Arial"/>
          <w:sz w:val="24"/>
          <w:szCs w:val="24"/>
        </w:rPr>
      </w:pPr>
      <w:r w:rsidRPr="002A7A3C">
        <w:rPr>
          <w:rFonts w:ascii="Arial" w:hAnsi="Arial" w:cs="Arial"/>
          <w:sz w:val="24"/>
          <w:szCs w:val="24"/>
        </w:rPr>
        <w:t>Contact Hours</w:t>
      </w:r>
      <w:r w:rsidR="007A3F31" w:rsidRPr="002A7A3C">
        <w:rPr>
          <w:rFonts w:ascii="Arial" w:hAnsi="Arial" w:cs="Arial"/>
          <w:sz w:val="24"/>
          <w:szCs w:val="24"/>
        </w:rPr>
        <w:t>:</w:t>
      </w:r>
      <w:r w:rsidR="0031513D" w:rsidRPr="002A7A3C">
        <w:rPr>
          <w:rFonts w:ascii="Arial" w:hAnsi="Arial" w:cs="Arial"/>
          <w:sz w:val="24"/>
          <w:szCs w:val="24"/>
        </w:rPr>
        <w:t xml:space="preserve"> </w:t>
      </w:r>
      <w:r w:rsidR="004823C6" w:rsidRPr="002A7A3C">
        <w:rPr>
          <w:rFonts w:ascii="Arial" w:hAnsi="Arial" w:cs="Arial"/>
          <w:sz w:val="24"/>
          <w:szCs w:val="24"/>
        </w:rPr>
        <w:t>22</w:t>
      </w:r>
    </w:p>
    <w:p w14:paraId="260000FF" w14:textId="320448E8" w:rsidR="00636058" w:rsidRPr="002A7A3C" w:rsidRDefault="00636058" w:rsidP="00636058">
      <w:pPr>
        <w:ind w:left="567"/>
        <w:rPr>
          <w:rFonts w:ascii="Arial" w:hAnsi="Arial" w:cs="Arial"/>
          <w:sz w:val="24"/>
          <w:szCs w:val="24"/>
        </w:rPr>
      </w:pPr>
      <w:r w:rsidRPr="002A7A3C">
        <w:rPr>
          <w:rFonts w:ascii="Arial" w:hAnsi="Arial" w:cs="Arial"/>
          <w:sz w:val="24"/>
          <w:szCs w:val="24"/>
        </w:rPr>
        <w:t>Total</w:t>
      </w:r>
      <w:r w:rsidR="007A3F31" w:rsidRPr="002A7A3C">
        <w:rPr>
          <w:rFonts w:ascii="Arial" w:hAnsi="Arial" w:cs="Arial"/>
          <w:sz w:val="24"/>
          <w:szCs w:val="24"/>
        </w:rPr>
        <w:t>:</w:t>
      </w:r>
      <w:r w:rsidR="0031513D" w:rsidRPr="002A7A3C">
        <w:rPr>
          <w:rFonts w:ascii="Arial" w:hAnsi="Arial" w:cs="Arial"/>
          <w:sz w:val="24"/>
          <w:szCs w:val="24"/>
        </w:rPr>
        <w:t>300</w:t>
      </w:r>
    </w:p>
    <w:p w14:paraId="035B9AB3" w14:textId="66C3EBA4" w:rsidR="002A7A3C" w:rsidRPr="002A7A3C" w:rsidRDefault="002A7A3C">
      <w:pPr>
        <w:rPr>
          <w:rFonts w:ascii="Arial" w:hAnsi="Arial" w:cs="Arial"/>
          <w:iCs/>
          <w:sz w:val="24"/>
          <w:szCs w:val="24"/>
        </w:rPr>
      </w:pPr>
      <w:r w:rsidRPr="002A7A3C">
        <w:rPr>
          <w:rFonts w:ascii="Arial" w:hAnsi="Arial" w:cs="Arial"/>
          <w:iCs/>
          <w:sz w:val="24"/>
          <w:szCs w:val="24"/>
        </w:rPr>
        <w:br w:type="page"/>
      </w:r>
    </w:p>
    <w:p w14:paraId="1C49B47B" w14:textId="77777777" w:rsidR="00B2615D" w:rsidRPr="002A7A3C" w:rsidRDefault="00EF4933" w:rsidP="008B6079">
      <w:pPr>
        <w:pStyle w:val="Heading2"/>
        <w:numPr>
          <w:ilvl w:val="0"/>
          <w:numId w:val="11"/>
        </w:numPr>
        <w:ind w:left="567" w:hanging="567"/>
        <w:rPr>
          <w:i/>
          <w:iCs/>
        </w:rPr>
      </w:pPr>
      <w:r w:rsidRPr="002A7A3C">
        <w:lastRenderedPageBreak/>
        <w:t>Assessment methods</w:t>
      </w:r>
    </w:p>
    <w:p w14:paraId="7F14E902" w14:textId="586040FB" w:rsidR="00696FF5" w:rsidRPr="002A7A3C" w:rsidRDefault="008B6079" w:rsidP="00DE6569">
      <w:pPr>
        <w:pStyle w:val="header2"/>
        <w:numPr>
          <w:ilvl w:val="0"/>
          <w:numId w:val="0"/>
        </w:numPr>
        <w:ind w:left="567" w:hanging="567"/>
        <w:rPr>
          <w:b w:val="0"/>
          <w:bCs/>
          <w:iCs/>
        </w:rPr>
      </w:pPr>
      <w:r w:rsidRPr="002A7A3C">
        <w:rPr>
          <w:b w:val="0"/>
          <w:bCs/>
          <w:iCs/>
        </w:rPr>
        <w:t xml:space="preserve">13.1 </w:t>
      </w:r>
      <w:r w:rsidR="002A7A3C">
        <w:rPr>
          <w:b w:val="0"/>
          <w:bCs/>
          <w:iCs/>
        </w:rPr>
        <w:t xml:space="preserve">  </w:t>
      </w:r>
      <w:r w:rsidR="00696FF5" w:rsidRPr="002A7A3C">
        <w:rPr>
          <w:b w:val="0"/>
          <w:bCs/>
          <w:iCs/>
        </w:rPr>
        <w:t>Main assessment methods</w:t>
      </w:r>
    </w:p>
    <w:p w14:paraId="6E1ECF7D" w14:textId="2C103C2A" w:rsidR="0031513D" w:rsidRPr="002A7A3C" w:rsidRDefault="002A7A3C" w:rsidP="0031513D">
      <w:pPr>
        <w:pStyle w:val="Heading2"/>
        <w:numPr>
          <w:ilvl w:val="0"/>
          <w:numId w:val="0"/>
        </w:numPr>
        <w:ind w:left="567"/>
        <w:rPr>
          <w:b w:val="0"/>
          <w:bCs/>
        </w:rPr>
      </w:pPr>
      <w:r>
        <w:rPr>
          <w:b w:val="0"/>
          <w:bCs/>
          <w:iCs/>
        </w:rPr>
        <w:t xml:space="preserve">  </w:t>
      </w:r>
      <w:r w:rsidR="0031513D" w:rsidRPr="002A7A3C">
        <w:rPr>
          <w:b w:val="0"/>
          <w:bCs/>
          <w:iCs/>
        </w:rPr>
        <w:t>Assignment (5,000 words) – 100%</w:t>
      </w:r>
    </w:p>
    <w:p w14:paraId="74F6DDA3" w14:textId="77777777" w:rsidR="008D4447" w:rsidRPr="002A7A3C" w:rsidRDefault="008D4447" w:rsidP="009D52D0">
      <w:pPr>
        <w:spacing w:after="120" w:line="240" w:lineRule="auto"/>
        <w:ind w:left="426" w:right="543"/>
        <w:rPr>
          <w:rFonts w:ascii="Arial" w:hAnsi="Arial" w:cs="Arial"/>
          <w:b/>
          <w:iCs/>
          <w:sz w:val="24"/>
          <w:szCs w:val="24"/>
        </w:rPr>
      </w:pPr>
    </w:p>
    <w:p w14:paraId="3DA1BBE3" w14:textId="6BFD9E5D" w:rsidR="00696FF5" w:rsidRPr="002A7A3C" w:rsidRDefault="00B2615D" w:rsidP="009D52D0">
      <w:pPr>
        <w:spacing w:after="120"/>
        <w:ind w:left="567" w:right="543" w:hanging="567"/>
        <w:rPr>
          <w:rFonts w:ascii="Arial" w:hAnsi="Arial" w:cs="Arial"/>
          <w:iCs/>
          <w:sz w:val="24"/>
          <w:szCs w:val="24"/>
        </w:rPr>
      </w:pPr>
      <w:r w:rsidRPr="002A7A3C">
        <w:rPr>
          <w:rFonts w:ascii="Arial" w:hAnsi="Arial" w:cs="Arial"/>
          <w:iCs/>
          <w:sz w:val="24"/>
          <w:szCs w:val="24"/>
        </w:rPr>
        <w:t>1</w:t>
      </w:r>
      <w:r w:rsidR="008B6079" w:rsidRPr="002A7A3C">
        <w:rPr>
          <w:rFonts w:ascii="Arial" w:hAnsi="Arial" w:cs="Arial"/>
          <w:iCs/>
          <w:sz w:val="24"/>
          <w:szCs w:val="24"/>
        </w:rPr>
        <w:t>3</w:t>
      </w:r>
      <w:r w:rsidRPr="002A7A3C">
        <w:rPr>
          <w:rFonts w:ascii="Arial" w:hAnsi="Arial" w:cs="Arial"/>
          <w:iCs/>
          <w:sz w:val="24"/>
          <w:szCs w:val="24"/>
        </w:rPr>
        <w:t xml:space="preserve">.2 </w:t>
      </w:r>
      <w:r w:rsidR="00636058" w:rsidRPr="002A7A3C">
        <w:rPr>
          <w:rFonts w:ascii="Arial" w:hAnsi="Arial" w:cs="Arial"/>
          <w:iCs/>
          <w:sz w:val="24"/>
          <w:szCs w:val="24"/>
        </w:rPr>
        <w:tab/>
      </w:r>
      <w:r w:rsidR="00636058" w:rsidRPr="002A7A3C">
        <w:rPr>
          <w:rFonts w:ascii="Arial" w:hAnsi="Arial" w:cs="Arial"/>
          <w:iCs/>
          <w:sz w:val="24"/>
          <w:szCs w:val="24"/>
        </w:rPr>
        <w:tab/>
      </w:r>
      <w:r w:rsidR="00696FF5" w:rsidRPr="002A7A3C">
        <w:rPr>
          <w:rFonts w:ascii="Arial" w:hAnsi="Arial" w:cs="Arial"/>
          <w:iCs/>
          <w:sz w:val="24"/>
          <w:szCs w:val="24"/>
        </w:rPr>
        <w:t xml:space="preserve">Reassessment methods </w:t>
      </w:r>
    </w:p>
    <w:p w14:paraId="00B1CF1B" w14:textId="7D7DECC7" w:rsidR="00B72470" w:rsidRPr="002A7A3C" w:rsidRDefault="0031513D" w:rsidP="00DE6569">
      <w:pPr>
        <w:spacing w:after="120" w:line="240" w:lineRule="auto"/>
        <w:ind w:left="426" w:right="543" w:firstLine="294"/>
        <w:rPr>
          <w:rFonts w:ascii="Arial" w:hAnsi="Arial" w:cs="Arial"/>
          <w:iCs/>
          <w:sz w:val="24"/>
          <w:szCs w:val="24"/>
        </w:rPr>
      </w:pPr>
      <w:r w:rsidRPr="002A7A3C">
        <w:rPr>
          <w:rFonts w:ascii="Arial" w:hAnsi="Arial" w:cs="Arial"/>
          <w:iCs/>
          <w:sz w:val="24"/>
          <w:szCs w:val="24"/>
        </w:rPr>
        <w:t>Like for Like</w:t>
      </w:r>
    </w:p>
    <w:p w14:paraId="4062F7E7" w14:textId="77777777" w:rsidR="008D4447" w:rsidRPr="002A7A3C" w:rsidRDefault="008D4447" w:rsidP="009D52D0">
      <w:pPr>
        <w:spacing w:after="120" w:line="240" w:lineRule="auto"/>
        <w:ind w:left="426" w:right="543"/>
        <w:rPr>
          <w:rFonts w:ascii="Arial" w:hAnsi="Arial" w:cs="Arial"/>
          <w:iCs/>
          <w:sz w:val="24"/>
          <w:szCs w:val="24"/>
        </w:rPr>
      </w:pPr>
    </w:p>
    <w:p w14:paraId="2FCD427F" w14:textId="0A2BCC6A" w:rsidR="00274ED7" w:rsidRPr="002A7A3C" w:rsidRDefault="006F3F8B" w:rsidP="008B6079">
      <w:pPr>
        <w:pStyle w:val="Heading2"/>
        <w:numPr>
          <w:ilvl w:val="0"/>
          <w:numId w:val="11"/>
        </w:numPr>
        <w:ind w:left="567" w:hanging="567"/>
      </w:pPr>
      <w:r w:rsidRPr="002A7A3C">
        <w:t xml:space="preserve">Map of </w:t>
      </w:r>
      <w:r w:rsidR="00883204" w:rsidRPr="002A7A3C">
        <w:t xml:space="preserve">module learning outcomes </w:t>
      </w:r>
      <w:r w:rsidR="00B30E07" w:rsidRPr="002A7A3C">
        <w:t xml:space="preserve">(sections </w:t>
      </w:r>
      <w:r w:rsidR="00DE6569" w:rsidRPr="002A7A3C">
        <w:t>8</w:t>
      </w:r>
      <w:r w:rsidR="00B30E07" w:rsidRPr="002A7A3C">
        <w:t xml:space="preserve"> &amp; </w:t>
      </w:r>
      <w:r w:rsidR="00DE6569" w:rsidRPr="002A7A3C">
        <w:t>9</w:t>
      </w:r>
      <w:r w:rsidR="00B30E07" w:rsidRPr="002A7A3C">
        <w:t>)</w:t>
      </w:r>
      <w:r w:rsidR="00883204" w:rsidRPr="002A7A3C">
        <w:t xml:space="preserve"> to l</w:t>
      </w:r>
      <w:r w:rsidRPr="002A7A3C">
        <w:t>earning</w:t>
      </w:r>
      <w:r w:rsidR="00B30E07" w:rsidRPr="002A7A3C">
        <w:t xml:space="preserve"> and </w:t>
      </w:r>
      <w:r w:rsidR="00883204" w:rsidRPr="002A7A3C">
        <w:t>teaching m</w:t>
      </w:r>
      <w:r w:rsidR="00B30E07" w:rsidRPr="002A7A3C">
        <w:t xml:space="preserve">ethods </w:t>
      </w:r>
      <w:r w:rsidRPr="002A7A3C">
        <w:t>and m</w:t>
      </w:r>
      <w:r w:rsidR="00883204" w:rsidRPr="002A7A3C">
        <w:t>ethods of a</w:t>
      </w:r>
      <w:r w:rsidR="00B30E07" w:rsidRPr="002A7A3C">
        <w:t xml:space="preserve">ssessment </w:t>
      </w:r>
    </w:p>
    <w:p w14:paraId="707CBE74" w14:textId="252DF6B7" w:rsidR="001C1787" w:rsidRPr="002A7A3C" w:rsidRDefault="001C1787" w:rsidP="009D52D0">
      <w:pPr>
        <w:spacing w:after="120" w:line="240" w:lineRule="auto"/>
        <w:ind w:left="567" w:right="543"/>
        <w:jc w:val="both"/>
        <w:rPr>
          <w:rFonts w:ascii="Arial" w:hAnsi="Arial" w:cs="Arial"/>
          <w:i/>
          <w:iCs/>
          <w:sz w:val="24"/>
          <w:szCs w:val="24"/>
        </w:rPr>
      </w:pPr>
    </w:p>
    <w:p w14:paraId="6F5E84D9" w14:textId="21BBC0D5" w:rsidR="00636058" w:rsidRPr="002A7A3C" w:rsidRDefault="00636058" w:rsidP="009D52D0">
      <w:pPr>
        <w:spacing w:after="120" w:line="240" w:lineRule="auto"/>
        <w:ind w:left="567" w:right="543"/>
        <w:jc w:val="both"/>
        <w:rPr>
          <w:rFonts w:ascii="Arial" w:hAnsi="Arial" w:cs="Arial"/>
          <w:b/>
          <w:bCs/>
          <w:sz w:val="24"/>
          <w:szCs w:val="24"/>
        </w:rPr>
      </w:pPr>
      <w:r w:rsidRPr="002A7A3C">
        <w:rPr>
          <w:rFonts w:ascii="Arial" w:hAnsi="Arial" w:cs="Arial"/>
          <w:b/>
          <w:bCs/>
          <w:sz w:val="24"/>
          <w:szCs w:val="24"/>
        </w:rPr>
        <w:t>Module learning outcomes against learning and teaching methods:</w:t>
      </w:r>
    </w:p>
    <w:tbl>
      <w:tblPr>
        <w:tblStyle w:val="TableGrid"/>
        <w:tblW w:w="6975"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8B6079" w:rsidRPr="002A7A3C" w14:paraId="5413EC92" w14:textId="77777777" w:rsidTr="008B6079">
        <w:trPr>
          <w:cantSplit/>
          <w:tblHeader/>
        </w:trPr>
        <w:tc>
          <w:tcPr>
            <w:tcW w:w="2439" w:type="dxa"/>
            <w:shd w:val="clear" w:color="auto" w:fill="D9D9D9" w:themeFill="background1" w:themeFillShade="D9"/>
          </w:tcPr>
          <w:p w14:paraId="140365DD" w14:textId="77777777" w:rsidR="008B6079" w:rsidRPr="0023733E" w:rsidRDefault="008B6079" w:rsidP="004F0496">
            <w:pPr>
              <w:spacing w:after="120"/>
              <w:ind w:left="33" w:right="543"/>
              <w:rPr>
                <w:rFonts w:ascii="Arial" w:hAnsi="Arial" w:cs="Arial"/>
                <w:b/>
                <w:sz w:val="20"/>
                <w:szCs w:val="20"/>
              </w:rPr>
            </w:pPr>
            <w:r w:rsidRPr="0023733E">
              <w:rPr>
                <w:rFonts w:ascii="Arial" w:hAnsi="Arial" w:cs="Arial"/>
                <w:b/>
                <w:sz w:val="20"/>
                <w:szCs w:val="20"/>
              </w:rPr>
              <w:t>Module learning outcome</w:t>
            </w:r>
          </w:p>
        </w:tc>
        <w:tc>
          <w:tcPr>
            <w:tcW w:w="567" w:type="dxa"/>
          </w:tcPr>
          <w:p w14:paraId="6167848F"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8.1</w:t>
            </w:r>
          </w:p>
        </w:tc>
        <w:tc>
          <w:tcPr>
            <w:tcW w:w="567" w:type="dxa"/>
          </w:tcPr>
          <w:p w14:paraId="5B554168"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8.2</w:t>
            </w:r>
          </w:p>
        </w:tc>
        <w:tc>
          <w:tcPr>
            <w:tcW w:w="567" w:type="dxa"/>
          </w:tcPr>
          <w:p w14:paraId="70BB1C5A"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8.3</w:t>
            </w:r>
          </w:p>
        </w:tc>
        <w:tc>
          <w:tcPr>
            <w:tcW w:w="567" w:type="dxa"/>
          </w:tcPr>
          <w:p w14:paraId="553BA646"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8.4</w:t>
            </w:r>
          </w:p>
        </w:tc>
        <w:tc>
          <w:tcPr>
            <w:tcW w:w="567" w:type="dxa"/>
          </w:tcPr>
          <w:p w14:paraId="3B577D4A"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9.1</w:t>
            </w:r>
          </w:p>
        </w:tc>
        <w:tc>
          <w:tcPr>
            <w:tcW w:w="567" w:type="dxa"/>
          </w:tcPr>
          <w:p w14:paraId="266E4126"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9.2</w:t>
            </w:r>
          </w:p>
        </w:tc>
        <w:tc>
          <w:tcPr>
            <w:tcW w:w="567" w:type="dxa"/>
          </w:tcPr>
          <w:p w14:paraId="6EC60A4C"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9.3</w:t>
            </w:r>
          </w:p>
        </w:tc>
        <w:tc>
          <w:tcPr>
            <w:tcW w:w="567" w:type="dxa"/>
          </w:tcPr>
          <w:p w14:paraId="3E85E7FE" w14:textId="77777777" w:rsidR="008B6079" w:rsidRPr="0023733E" w:rsidRDefault="008B6079" w:rsidP="004F0496">
            <w:pPr>
              <w:spacing w:after="120"/>
              <w:ind w:right="543"/>
              <w:rPr>
                <w:rFonts w:ascii="Arial" w:hAnsi="Arial" w:cs="Arial"/>
                <w:sz w:val="20"/>
                <w:szCs w:val="20"/>
              </w:rPr>
            </w:pPr>
            <w:r w:rsidRPr="0023733E">
              <w:rPr>
                <w:rFonts w:ascii="Arial" w:hAnsi="Arial" w:cs="Arial"/>
                <w:sz w:val="20"/>
                <w:szCs w:val="20"/>
              </w:rPr>
              <w:t>9.4</w:t>
            </w:r>
          </w:p>
        </w:tc>
      </w:tr>
      <w:tr w:rsidR="008B6079" w:rsidRPr="002A7A3C" w14:paraId="780DC4A5" w14:textId="77777777" w:rsidTr="008B6079">
        <w:tc>
          <w:tcPr>
            <w:tcW w:w="2439" w:type="dxa"/>
          </w:tcPr>
          <w:p w14:paraId="16F79E00" w14:textId="77777777"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Private Study</w:t>
            </w:r>
          </w:p>
        </w:tc>
        <w:tc>
          <w:tcPr>
            <w:tcW w:w="567" w:type="dxa"/>
          </w:tcPr>
          <w:p w14:paraId="34752F0E" w14:textId="1C0DD756"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0E9B09C0" w14:textId="77430652"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6CD1C02C" w14:textId="4B2C9521"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45C64561" w14:textId="30376DA5"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A716802" w14:textId="2478B3A7"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5BAFD1A4" w14:textId="4590C32B"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030A7445" w14:textId="5D9C169F"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431B3FED" w14:textId="481CAEF9"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r>
      <w:tr w:rsidR="008B6079" w:rsidRPr="002A7A3C" w14:paraId="5C50A519" w14:textId="77777777" w:rsidTr="008B6079">
        <w:tc>
          <w:tcPr>
            <w:tcW w:w="2439" w:type="dxa"/>
          </w:tcPr>
          <w:p w14:paraId="433DE3A7" w14:textId="5369BC93" w:rsidR="008B6079" w:rsidRPr="0023733E" w:rsidRDefault="008B6079" w:rsidP="004F0496">
            <w:pPr>
              <w:spacing w:after="120"/>
              <w:ind w:right="543"/>
              <w:rPr>
                <w:rFonts w:ascii="Arial" w:hAnsi="Arial" w:cs="Arial"/>
                <w:b/>
                <w:bCs/>
                <w:iCs/>
                <w:sz w:val="20"/>
                <w:szCs w:val="20"/>
              </w:rPr>
            </w:pPr>
            <w:r w:rsidRPr="0023733E">
              <w:rPr>
                <w:rFonts w:ascii="Arial" w:hAnsi="Arial" w:cs="Arial"/>
                <w:b/>
                <w:bCs/>
                <w:iCs/>
                <w:sz w:val="20"/>
                <w:szCs w:val="20"/>
              </w:rPr>
              <w:t>Seminar</w:t>
            </w:r>
          </w:p>
        </w:tc>
        <w:tc>
          <w:tcPr>
            <w:tcW w:w="567" w:type="dxa"/>
          </w:tcPr>
          <w:p w14:paraId="3853654B" w14:textId="1A7435DC"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7261D01A" w14:textId="615669FA"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D7957D4" w14:textId="0861EFC1"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32B2686" w14:textId="59762510"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AE9F109" w14:textId="0F715ECD"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6BD0A090" w14:textId="0B4E97DF"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3DAC9A4A" w14:textId="6124FEBB"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21A7EAF7" w14:textId="634D3907" w:rsidR="008B6079" w:rsidRPr="0023733E" w:rsidRDefault="008B6079" w:rsidP="004F0496">
            <w:pPr>
              <w:spacing w:after="120"/>
              <w:ind w:right="543"/>
              <w:rPr>
                <w:rFonts w:ascii="Arial" w:hAnsi="Arial" w:cs="Arial"/>
                <w:b/>
                <w:sz w:val="20"/>
                <w:szCs w:val="20"/>
              </w:rPr>
            </w:pPr>
            <w:r w:rsidRPr="0023733E">
              <w:rPr>
                <w:rFonts w:ascii="Arial" w:hAnsi="Arial" w:cs="Arial"/>
                <w:b/>
                <w:sz w:val="20"/>
                <w:szCs w:val="20"/>
              </w:rPr>
              <w:t>x</w:t>
            </w:r>
          </w:p>
        </w:tc>
      </w:tr>
    </w:tbl>
    <w:p w14:paraId="64533D41" w14:textId="77777777" w:rsidR="00636058" w:rsidRPr="002A7A3C" w:rsidRDefault="00636058" w:rsidP="008B6079">
      <w:pPr>
        <w:spacing w:after="120" w:line="240" w:lineRule="auto"/>
        <w:ind w:right="543"/>
        <w:rPr>
          <w:rFonts w:ascii="Arial" w:hAnsi="Arial" w:cs="Arial"/>
          <w:b/>
          <w:iCs/>
          <w:sz w:val="24"/>
          <w:szCs w:val="24"/>
        </w:rPr>
      </w:pPr>
    </w:p>
    <w:p w14:paraId="0C992BDB" w14:textId="77777777" w:rsidR="00636058" w:rsidRPr="002A7A3C" w:rsidRDefault="00636058" w:rsidP="00636058">
      <w:pPr>
        <w:spacing w:after="120" w:line="240" w:lineRule="auto"/>
        <w:ind w:left="426" w:right="543" w:firstLine="294"/>
        <w:rPr>
          <w:rFonts w:ascii="Arial" w:hAnsi="Arial" w:cs="Arial"/>
          <w:b/>
          <w:iCs/>
          <w:sz w:val="24"/>
          <w:szCs w:val="24"/>
        </w:rPr>
      </w:pPr>
    </w:p>
    <w:p w14:paraId="1DF2B576" w14:textId="6861D79A" w:rsidR="007A6245" w:rsidRPr="002A7A3C" w:rsidRDefault="00636058" w:rsidP="00636058">
      <w:pPr>
        <w:spacing w:after="120" w:line="240" w:lineRule="auto"/>
        <w:ind w:left="426" w:right="543" w:firstLine="294"/>
        <w:rPr>
          <w:rFonts w:ascii="Arial" w:hAnsi="Arial" w:cs="Arial"/>
          <w:b/>
          <w:iCs/>
          <w:sz w:val="24"/>
          <w:szCs w:val="24"/>
        </w:rPr>
      </w:pPr>
      <w:r w:rsidRPr="002A7A3C">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083" w:type="dxa"/>
        <w:tblLayout w:type="fixed"/>
        <w:tblLook w:val="04A0" w:firstRow="1" w:lastRow="0" w:firstColumn="1" w:lastColumn="0" w:noHBand="0" w:noVBand="1"/>
      </w:tblPr>
      <w:tblGrid>
        <w:gridCol w:w="2405"/>
        <w:gridCol w:w="567"/>
        <w:gridCol w:w="567"/>
        <w:gridCol w:w="709"/>
        <w:gridCol w:w="567"/>
        <w:gridCol w:w="567"/>
        <w:gridCol w:w="567"/>
        <w:gridCol w:w="567"/>
        <w:gridCol w:w="567"/>
      </w:tblGrid>
      <w:tr w:rsidR="008B6079" w:rsidRPr="002A7A3C" w14:paraId="7367825C" w14:textId="77777777" w:rsidTr="008B6079">
        <w:trPr>
          <w:tblHeader/>
        </w:trPr>
        <w:tc>
          <w:tcPr>
            <w:tcW w:w="2405" w:type="dxa"/>
            <w:shd w:val="clear" w:color="auto" w:fill="D9D9D9" w:themeFill="background1" w:themeFillShade="D9"/>
          </w:tcPr>
          <w:p w14:paraId="4E99BFB5" w14:textId="77777777" w:rsidR="008B6079" w:rsidRPr="0023733E" w:rsidRDefault="008B6079" w:rsidP="00636058">
            <w:pPr>
              <w:spacing w:after="120"/>
              <w:ind w:left="33" w:right="543"/>
              <w:rPr>
                <w:rFonts w:ascii="Arial" w:hAnsi="Arial" w:cs="Arial"/>
                <w:b/>
                <w:sz w:val="20"/>
                <w:szCs w:val="20"/>
              </w:rPr>
            </w:pPr>
            <w:r w:rsidRPr="0023733E">
              <w:rPr>
                <w:rFonts w:ascii="Arial" w:hAnsi="Arial" w:cs="Arial"/>
                <w:b/>
                <w:sz w:val="20"/>
                <w:szCs w:val="20"/>
              </w:rPr>
              <w:t>Module learning outcome</w:t>
            </w:r>
          </w:p>
        </w:tc>
        <w:tc>
          <w:tcPr>
            <w:tcW w:w="567" w:type="dxa"/>
          </w:tcPr>
          <w:p w14:paraId="7B5C6163"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8.1</w:t>
            </w:r>
          </w:p>
        </w:tc>
        <w:tc>
          <w:tcPr>
            <w:tcW w:w="567" w:type="dxa"/>
          </w:tcPr>
          <w:p w14:paraId="2210FC9E"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8.2</w:t>
            </w:r>
          </w:p>
        </w:tc>
        <w:tc>
          <w:tcPr>
            <w:tcW w:w="709" w:type="dxa"/>
          </w:tcPr>
          <w:p w14:paraId="00B7F160"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8.3</w:t>
            </w:r>
          </w:p>
        </w:tc>
        <w:tc>
          <w:tcPr>
            <w:tcW w:w="567" w:type="dxa"/>
          </w:tcPr>
          <w:p w14:paraId="2BB3974A"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8.4</w:t>
            </w:r>
          </w:p>
        </w:tc>
        <w:tc>
          <w:tcPr>
            <w:tcW w:w="567" w:type="dxa"/>
          </w:tcPr>
          <w:p w14:paraId="0D56B3A5"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9.1</w:t>
            </w:r>
          </w:p>
        </w:tc>
        <w:tc>
          <w:tcPr>
            <w:tcW w:w="567" w:type="dxa"/>
          </w:tcPr>
          <w:p w14:paraId="523687DC"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9.2</w:t>
            </w:r>
          </w:p>
        </w:tc>
        <w:tc>
          <w:tcPr>
            <w:tcW w:w="567" w:type="dxa"/>
          </w:tcPr>
          <w:p w14:paraId="1106ECFC"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9.3</w:t>
            </w:r>
          </w:p>
        </w:tc>
        <w:tc>
          <w:tcPr>
            <w:tcW w:w="567" w:type="dxa"/>
          </w:tcPr>
          <w:p w14:paraId="51BE4A79" w14:textId="77777777" w:rsidR="008B6079" w:rsidRPr="0023733E" w:rsidRDefault="008B6079" w:rsidP="00636058">
            <w:pPr>
              <w:spacing w:after="120"/>
              <w:ind w:right="543"/>
              <w:rPr>
                <w:rFonts w:ascii="Arial" w:hAnsi="Arial" w:cs="Arial"/>
                <w:sz w:val="20"/>
                <w:szCs w:val="20"/>
              </w:rPr>
            </w:pPr>
            <w:r w:rsidRPr="0023733E">
              <w:rPr>
                <w:rFonts w:ascii="Arial" w:hAnsi="Arial" w:cs="Arial"/>
                <w:sz w:val="20"/>
                <w:szCs w:val="20"/>
              </w:rPr>
              <w:t>9.4</w:t>
            </w:r>
          </w:p>
        </w:tc>
      </w:tr>
      <w:tr w:rsidR="008B6079" w:rsidRPr="002A7A3C" w14:paraId="6D8FD37D" w14:textId="77777777" w:rsidTr="008B6079">
        <w:trPr>
          <w:tblHeader/>
        </w:trPr>
        <w:tc>
          <w:tcPr>
            <w:tcW w:w="2405" w:type="dxa"/>
          </w:tcPr>
          <w:p w14:paraId="6500FA2E" w14:textId="0E36522E" w:rsidR="008B6079" w:rsidRPr="0023733E" w:rsidRDefault="00DE6569" w:rsidP="00636058">
            <w:pPr>
              <w:spacing w:after="120"/>
              <w:ind w:right="543"/>
              <w:rPr>
                <w:rFonts w:ascii="Arial" w:hAnsi="Arial" w:cs="Arial"/>
                <w:sz w:val="20"/>
                <w:szCs w:val="20"/>
              </w:rPr>
            </w:pPr>
            <w:r w:rsidRPr="0023733E">
              <w:rPr>
                <w:rFonts w:ascii="Arial" w:hAnsi="Arial" w:cs="Arial"/>
                <w:sz w:val="20"/>
                <w:szCs w:val="20"/>
              </w:rPr>
              <w:t>Assignment</w:t>
            </w:r>
            <w:r w:rsidR="008B6079" w:rsidRPr="0023733E">
              <w:rPr>
                <w:rFonts w:ascii="Arial" w:hAnsi="Arial" w:cs="Arial"/>
                <w:sz w:val="20"/>
                <w:szCs w:val="20"/>
              </w:rPr>
              <w:t xml:space="preserve"> </w:t>
            </w:r>
          </w:p>
        </w:tc>
        <w:tc>
          <w:tcPr>
            <w:tcW w:w="567" w:type="dxa"/>
          </w:tcPr>
          <w:p w14:paraId="718AB32A" w14:textId="4D0443AA"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71084725" w14:textId="37A4B34A"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709" w:type="dxa"/>
          </w:tcPr>
          <w:p w14:paraId="659E3E11" w14:textId="447EF241"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02BFF41C" w14:textId="55206F52"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60747C35" w14:textId="585B701C"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6FCDE494" w14:textId="46E8BB69"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48C6EE1D" w14:textId="696A91CB"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c>
          <w:tcPr>
            <w:tcW w:w="567" w:type="dxa"/>
          </w:tcPr>
          <w:p w14:paraId="12A99B31" w14:textId="3868131B" w:rsidR="008B6079" w:rsidRPr="0023733E" w:rsidRDefault="008B6079" w:rsidP="00636058">
            <w:pPr>
              <w:spacing w:after="120"/>
              <w:ind w:right="543"/>
              <w:rPr>
                <w:rFonts w:ascii="Arial" w:hAnsi="Arial" w:cs="Arial"/>
                <w:b/>
                <w:sz w:val="20"/>
                <w:szCs w:val="20"/>
              </w:rPr>
            </w:pPr>
            <w:r w:rsidRPr="0023733E">
              <w:rPr>
                <w:rFonts w:ascii="Arial" w:hAnsi="Arial" w:cs="Arial"/>
                <w:b/>
                <w:sz w:val="20"/>
                <w:szCs w:val="20"/>
              </w:rPr>
              <w:t>x</w:t>
            </w:r>
          </w:p>
        </w:tc>
      </w:tr>
    </w:tbl>
    <w:p w14:paraId="172848FA" w14:textId="39E7AE7D" w:rsidR="00636058" w:rsidRPr="002A7A3C" w:rsidRDefault="00636058" w:rsidP="009D52D0">
      <w:pPr>
        <w:spacing w:after="120" w:line="240" w:lineRule="auto"/>
        <w:ind w:left="426" w:right="543"/>
        <w:rPr>
          <w:rFonts w:ascii="Arial" w:hAnsi="Arial" w:cs="Arial"/>
          <w:b/>
          <w:iCs/>
          <w:sz w:val="24"/>
          <w:szCs w:val="24"/>
        </w:rPr>
      </w:pPr>
    </w:p>
    <w:p w14:paraId="081DBD04" w14:textId="77E9007E" w:rsidR="00636058" w:rsidRPr="002A7A3C" w:rsidRDefault="00636058" w:rsidP="009D52D0">
      <w:pPr>
        <w:spacing w:after="120" w:line="240" w:lineRule="auto"/>
        <w:ind w:left="426" w:right="543"/>
        <w:rPr>
          <w:rFonts w:ascii="Arial" w:hAnsi="Arial" w:cs="Arial"/>
          <w:b/>
          <w:iCs/>
          <w:sz w:val="24"/>
          <w:szCs w:val="24"/>
        </w:rPr>
      </w:pPr>
    </w:p>
    <w:p w14:paraId="40C4CAE6" w14:textId="58A8AD66" w:rsidR="00636058" w:rsidRPr="002A7A3C" w:rsidRDefault="00636058" w:rsidP="009D52D0">
      <w:pPr>
        <w:spacing w:after="120" w:line="240" w:lineRule="auto"/>
        <w:ind w:left="426" w:right="543"/>
        <w:rPr>
          <w:rFonts w:ascii="Arial" w:hAnsi="Arial" w:cs="Arial"/>
          <w:b/>
          <w:iCs/>
          <w:sz w:val="24"/>
          <w:szCs w:val="24"/>
        </w:rPr>
      </w:pPr>
    </w:p>
    <w:p w14:paraId="5A1105B5" w14:textId="5A14E0EC" w:rsidR="00636058" w:rsidRPr="002A7A3C" w:rsidRDefault="00636058" w:rsidP="009D52D0">
      <w:pPr>
        <w:spacing w:after="120" w:line="240" w:lineRule="auto"/>
        <w:ind w:left="426" w:right="543"/>
        <w:rPr>
          <w:rFonts w:ascii="Arial" w:hAnsi="Arial" w:cs="Arial"/>
          <w:b/>
          <w:iCs/>
          <w:sz w:val="24"/>
          <w:szCs w:val="24"/>
        </w:rPr>
      </w:pPr>
    </w:p>
    <w:p w14:paraId="6E059459" w14:textId="671919A2" w:rsidR="00636058" w:rsidRPr="002A7A3C" w:rsidRDefault="00636058" w:rsidP="009D52D0">
      <w:pPr>
        <w:spacing w:after="120" w:line="240" w:lineRule="auto"/>
        <w:ind w:left="426" w:right="543"/>
        <w:rPr>
          <w:rFonts w:ascii="Arial" w:hAnsi="Arial" w:cs="Arial"/>
          <w:b/>
          <w:iCs/>
          <w:sz w:val="24"/>
          <w:szCs w:val="24"/>
        </w:rPr>
      </w:pPr>
    </w:p>
    <w:p w14:paraId="03283DDF" w14:textId="77777777" w:rsidR="00883204" w:rsidRPr="002A7A3C" w:rsidRDefault="00883204" w:rsidP="008B6079">
      <w:pPr>
        <w:pStyle w:val="Heading2"/>
        <w:numPr>
          <w:ilvl w:val="0"/>
          <w:numId w:val="11"/>
        </w:numPr>
        <w:ind w:left="567" w:hanging="567"/>
        <w:rPr>
          <w:iCs/>
        </w:rPr>
      </w:pPr>
      <w:r w:rsidRPr="002A7A3C">
        <w:t xml:space="preserve">Inclusive module design </w:t>
      </w:r>
    </w:p>
    <w:p w14:paraId="1FE68657" w14:textId="23D49FD3" w:rsidR="00EF27B2" w:rsidRPr="002A7A3C" w:rsidRDefault="00EF27B2" w:rsidP="00EF27B2">
      <w:pPr>
        <w:pStyle w:val="header2"/>
        <w:numPr>
          <w:ilvl w:val="0"/>
          <w:numId w:val="0"/>
        </w:numPr>
        <w:ind w:left="567"/>
        <w:rPr>
          <w:b w:val="0"/>
        </w:rPr>
      </w:pPr>
      <w:r w:rsidRPr="002A7A3C">
        <w:rPr>
          <w:b w:val="0"/>
        </w:rPr>
        <w:t xml:space="preserve">The </w:t>
      </w:r>
      <w:r w:rsidR="00DE6569" w:rsidRPr="002A7A3C">
        <w:rPr>
          <w:b w:val="0"/>
        </w:rPr>
        <w:t>Division</w:t>
      </w:r>
      <w:r w:rsidRPr="002A7A3C">
        <w:rPr>
          <w:b w:val="0"/>
        </w:rPr>
        <w:t xml:space="preserve">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69BC7904" w14:textId="77777777" w:rsidR="00EF27B2" w:rsidRPr="002A7A3C" w:rsidRDefault="00EF27B2" w:rsidP="00EF27B2">
      <w:pPr>
        <w:pStyle w:val="header2"/>
        <w:numPr>
          <w:ilvl w:val="0"/>
          <w:numId w:val="0"/>
        </w:numPr>
        <w:ind w:left="567"/>
        <w:rPr>
          <w:b w:val="0"/>
        </w:rPr>
      </w:pPr>
      <w:r w:rsidRPr="002A7A3C">
        <w:rPr>
          <w:b w:val="0"/>
        </w:rPr>
        <w:t>The inclusive practices in the guidance (see Annex B Appendix A) have been considered in order to support all students in the following areas:</w:t>
      </w:r>
    </w:p>
    <w:p w14:paraId="7E7B7E3E" w14:textId="77777777" w:rsidR="00EF27B2" w:rsidRPr="002A7A3C" w:rsidRDefault="00EF27B2" w:rsidP="00DE6569">
      <w:pPr>
        <w:pStyle w:val="header2"/>
        <w:numPr>
          <w:ilvl w:val="0"/>
          <w:numId w:val="0"/>
        </w:numPr>
        <w:ind w:left="567"/>
        <w:rPr>
          <w:b w:val="0"/>
        </w:rPr>
      </w:pPr>
      <w:r w:rsidRPr="002A7A3C">
        <w:rPr>
          <w:b w:val="0"/>
        </w:rPr>
        <w:t>a) Accessible resources and curriculum</w:t>
      </w:r>
    </w:p>
    <w:p w14:paraId="62A71106" w14:textId="77777777" w:rsidR="00EF27B2" w:rsidRPr="002A7A3C" w:rsidRDefault="00EF27B2" w:rsidP="00EF27B2">
      <w:pPr>
        <w:pStyle w:val="header2"/>
        <w:numPr>
          <w:ilvl w:val="0"/>
          <w:numId w:val="0"/>
        </w:numPr>
        <w:ind w:left="567"/>
        <w:rPr>
          <w:b w:val="0"/>
          <w:color w:val="000000"/>
        </w:rPr>
      </w:pPr>
      <w:r w:rsidRPr="002A7A3C">
        <w:rPr>
          <w:b w:val="0"/>
        </w:rPr>
        <w:t>b) Learning, teaching and assessment methods</w:t>
      </w:r>
    </w:p>
    <w:p w14:paraId="39DA4ADC" w14:textId="3CB6CB88" w:rsidR="002A7A3C" w:rsidRPr="002A7A3C" w:rsidRDefault="002A7A3C">
      <w:pPr>
        <w:rPr>
          <w:rFonts w:ascii="Arial" w:hAnsi="Arial" w:cs="Arial"/>
          <w:sz w:val="24"/>
          <w:szCs w:val="24"/>
        </w:rPr>
      </w:pPr>
      <w:r w:rsidRPr="002A7A3C">
        <w:rPr>
          <w:rFonts w:ascii="Arial" w:hAnsi="Arial" w:cs="Arial"/>
          <w:sz w:val="24"/>
          <w:szCs w:val="24"/>
        </w:rPr>
        <w:br w:type="page"/>
      </w:r>
    </w:p>
    <w:p w14:paraId="0676B245" w14:textId="77777777" w:rsidR="00883204" w:rsidRPr="002A7A3C" w:rsidRDefault="00883204" w:rsidP="009D52D0">
      <w:pPr>
        <w:autoSpaceDE w:val="0"/>
        <w:autoSpaceDN w:val="0"/>
        <w:adjustRightInd w:val="0"/>
        <w:spacing w:after="120" w:line="240" w:lineRule="auto"/>
        <w:ind w:left="567" w:right="543"/>
        <w:jc w:val="both"/>
        <w:rPr>
          <w:rFonts w:ascii="Arial" w:hAnsi="Arial" w:cs="Arial"/>
          <w:sz w:val="24"/>
          <w:szCs w:val="24"/>
        </w:rPr>
      </w:pPr>
      <w:r w:rsidRPr="002A7A3C">
        <w:rPr>
          <w:rFonts w:ascii="Arial" w:hAnsi="Arial" w:cs="Arial"/>
          <w:sz w:val="24"/>
          <w:szCs w:val="24"/>
        </w:rPr>
        <w:lastRenderedPageBreak/>
        <w:t>The inclusive practices in the guidance (see Annex B Appendix A) have been considered in order to support all students in the following areas:</w:t>
      </w:r>
    </w:p>
    <w:p w14:paraId="12A1AB1B" w14:textId="77777777" w:rsidR="00883204" w:rsidRPr="002A7A3C"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2A7A3C">
        <w:rPr>
          <w:rFonts w:ascii="Arial" w:hAnsi="Arial" w:cs="Arial"/>
          <w:sz w:val="24"/>
          <w:szCs w:val="24"/>
        </w:rPr>
        <w:t xml:space="preserve">a) </w:t>
      </w:r>
      <w:r w:rsidRPr="002A7A3C">
        <w:rPr>
          <w:rFonts w:ascii="Arial" w:hAnsi="Arial" w:cs="Arial"/>
          <w:bCs/>
          <w:sz w:val="24"/>
          <w:szCs w:val="24"/>
        </w:rPr>
        <w:t>Accessible resources and curriculum</w:t>
      </w:r>
    </w:p>
    <w:p w14:paraId="5F2DDA76" w14:textId="77777777" w:rsidR="00883204" w:rsidRPr="002A7A3C"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2A7A3C">
        <w:rPr>
          <w:rFonts w:ascii="Arial" w:hAnsi="Arial" w:cs="Arial"/>
          <w:sz w:val="24"/>
          <w:szCs w:val="24"/>
        </w:rPr>
        <w:t xml:space="preserve">b) </w:t>
      </w:r>
      <w:r w:rsidRPr="002A7A3C">
        <w:rPr>
          <w:rFonts w:ascii="Arial" w:hAnsi="Arial" w:cs="Arial"/>
          <w:bCs/>
          <w:sz w:val="24"/>
          <w:szCs w:val="24"/>
        </w:rPr>
        <w:t>Learning</w:t>
      </w:r>
      <w:r w:rsidR="00BB2045" w:rsidRPr="002A7A3C">
        <w:rPr>
          <w:rFonts w:ascii="Arial" w:hAnsi="Arial" w:cs="Arial"/>
          <w:bCs/>
          <w:sz w:val="24"/>
          <w:szCs w:val="24"/>
        </w:rPr>
        <w:t>,</w:t>
      </w:r>
      <w:r w:rsidRPr="002A7A3C">
        <w:rPr>
          <w:rFonts w:ascii="Arial" w:hAnsi="Arial" w:cs="Arial"/>
          <w:bCs/>
          <w:sz w:val="24"/>
          <w:szCs w:val="24"/>
        </w:rPr>
        <w:t xml:space="preserve"> teaching and assessment methods</w:t>
      </w:r>
    </w:p>
    <w:p w14:paraId="3B63E0C4" w14:textId="77777777" w:rsidR="00096DA4" w:rsidRPr="002A7A3C" w:rsidRDefault="00096DA4" w:rsidP="009D52D0">
      <w:pPr>
        <w:spacing w:after="120" w:line="240" w:lineRule="auto"/>
        <w:ind w:left="426" w:right="543"/>
        <w:rPr>
          <w:rFonts w:ascii="Arial" w:hAnsi="Arial" w:cs="Arial"/>
          <w:i/>
          <w:iCs/>
          <w:sz w:val="24"/>
          <w:szCs w:val="24"/>
        </w:rPr>
      </w:pPr>
    </w:p>
    <w:p w14:paraId="01B2A0D7" w14:textId="77777777" w:rsidR="009A2D37" w:rsidRPr="002A7A3C" w:rsidRDefault="00883204" w:rsidP="008B6079">
      <w:pPr>
        <w:pStyle w:val="Heading2"/>
        <w:numPr>
          <w:ilvl w:val="0"/>
          <w:numId w:val="11"/>
        </w:numPr>
        <w:ind w:left="567" w:hanging="567"/>
      </w:pPr>
      <w:r w:rsidRPr="002A7A3C">
        <w:t>Campus(es) or c</w:t>
      </w:r>
      <w:r w:rsidR="009A2D37" w:rsidRPr="002A7A3C">
        <w:t>entre(s)</w:t>
      </w:r>
      <w:r w:rsidRPr="002A7A3C">
        <w:t xml:space="preserve"> where module will be delivered</w:t>
      </w:r>
    </w:p>
    <w:p w14:paraId="3CD0FF38" w14:textId="7BBEBC91" w:rsidR="009A2D37" w:rsidRPr="002A7A3C" w:rsidRDefault="00EF27B2" w:rsidP="00DE6569">
      <w:pPr>
        <w:spacing w:after="120" w:line="240" w:lineRule="auto"/>
        <w:ind w:left="426" w:right="543" w:firstLine="141"/>
        <w:rPr>
          <w:rFonts w:ascii="Arial" w:hAnsi="Arial" w:cs="Arial"/>
          <w:sz w:val="24"/>
          <w:szCs w:val="24"/>
        </w:rPr>
      </w:pPr>
      <w:r w:rsidRPr="002A7A3C">
        <w:rPr>
          <w:rFonts w:ascii="Arial" w:hAnsi="Arial" w:cs="Arial"/>
          <w:sz w:val="24"/>
          <w:szCs w:val="24"/>
        </w:rPr>
        <w:t>Canterbury</w:t>
      </w:r>
    </w:p>
    <w:p w14:paraId="38DBDA25" w14:textId="77777777" w:rsidR="008D4447" w:rsidRPr="002A7A3C" w:rsidRDefault="008D4447" w:rsidP="009D52D0">
      <w:pPr>
        <w:spacing w:after="120" w:line="240" w:lineRule="auto"/>
        <w:ind w:left="426" w:right="543"/>
        <w:rPr>
          <w:rFonts w:ascii="Arial" w:hAnsi="Arial" w:cs="Arial"/>
          <w:iCs/>
          <w:sz w:val="24"/>
          <w:szCs w:val="24"/>
        </w:rPr>
      </w:pPr>
    </w:p>
    <w:p w14:paraId="654C7CE7" w14:textId="77777777" w:rsidR="00883204" w:rsidRPr="002A7A3C" w:rsidRDefault="00883204" w:rsidP="008B6079">
      <w:pPr>
        <w:pStyle w:val="Heading2"/>
        <w:numPr>
          <w:ilvl w:val="0"/>
          <w:numId w:val="11"/>
        </w:numPr>
        <w:ind w:left="567" w:hanging="567"/>
      </w:pPr>
      <w:r w:rsidRPr="002A7A3C">
        <w:t xml:space="preserve">Internationalisation </w:t>
      </w:r>
    </w:p>
    <w:p w14:paraId="4260A45A" w14:textId="10F07082" w:rsidR="00922E9E" w:rsidRPr="002A7A3C" w:rsidRDefault="00EF27B2" w:rsidP="002A7A3C">
      <w:pPr>
        <w:spacing w:after="120" w:line="240" w:lineRule="auto"/>
        <w:ind w:left="567" w:right="543"/>
        <w:jc w:val="both"/>
        <w:rPr>
          <w:rFonts w:ascii="Arial" w:hAnsi="Arial" w:cs="Arial"/>
          <w:sz w:val="24"/>
          <w:szCs w:val="24"/>
        </w:rPr>
      </w:pPr>
      <w:r w:rsidRPr="002A7A3C">
        <w:rPr>
          <w:rFonts w:ascii="Arial" w:hAnsi="Arial" w:cs="Arial"/>
          <w:sz w:val="24"/>
          <w:szCs w:val="24"/>
        </w:rPr>
        <w:t>This module enables students to explore the impact of colonialism outside of the West and to learn about the trajectories of liberation struggles towards national self-determination. The module focuses on the writings of intellectuals from Africa, the Caribbean, India and Palestine, and as such disseminates and engages in transcultural dialogue</w:t>
      </w:r>
      <w:r w:rsidR="008B6079" w:rsidRPr="002A7A3C">
        <w:rPr>
          <w:rFonts w:ascii="Arial" w:hAnsi="Arial" w:cs="Arial"/>
          <w:sz w:val="24"/>
          <w:szCs w:val="24"/>
        </w:rPr>
        <w:t>.</w:t>
      </w:r>
    </w:p>
    <w:p w14:paraId="36C1544F" w14:textId="77777777" w:rsidR="00641D6D" w:rsidRPr="002A7A3C" w:rsidRDefault="00641D6D" w:rsidP="009D52D0">
      <w:pPr>
        <w:pBdr>
          <w:bottom w:val="single" w:sz="6" w:space="1" w:color="auto"/>
        </w:pBdr>
        <w:spacing w:after="120" w:line="240" w:lineRule="auto"/>
        <w:ind w:right="543"/>
        <w:rPr>
          <w:rFonts w:ascii="Arial" w:hAnsi="Arial" w:cs="Arial"/>
          <w:sz w:val="24"/>
          <w:szCs w:val="24"/>
        </w:rPr>
      </w:pPr>
    </w:p>
    <w:p w14:paraId="31CC2DF2" w14:textId="77777777" w:rsidR="00441E76" w:rsidRPr="002A7A3C" w:rsidRDefault="009F5EA4" w:rsidP="009D52D0">
      <w:pPr>
        <w:spacing w:after="120" w:line="240" w:lineRule="auto"/>
        <w:ind w:right="543"/>
        <w:rPr>
          <w:rFonts w:ascii="Arial" w:hAnsi="Arial" w:cs="Arial"/>
          <w:b/>
          <w:sz w:val="24"/>
          <w:szCs w:val="24"/>
        </w:rPr>
      </w:pPr>
      <w:r w:rsidRPr="002A7A3C">
        <w:rPr>
          <w:rFonts w:ascii="Arial" w:hAnsi="Arial" w:cs="Arial"/>
          <w:b/>
          <w:sz w:val="24"/>
          <w:szCs w:val="24"/>
        </w:rPr>
        <w:t xml:space="preserve">DIVISIONAL </w:t>
      </w:r>
      <w:r w:rsidR="00441E76" w:rsidRPr="002A7A3C">
        <w:rPr>
          <w:rFonts w:ascii="Arial" w:hAnsi="Arial" w:cs="Arial"/>
          <w:b/>
          <w:sz w:val="24"/>
          <w:szCs w:val="24"/>
        </w:rPr>
        <w:t>USE ONLY</w:t>
      </w:r>
      <w:r w:rsidR="00C612A8" w:rsidRPr="002A7A3C">
        <w:rPr>
          <w:rFonts w:ascii="Arial" w:hAnsi="Arial" w:cs="Arial"/>
          <w:b/>
          <w:sz w:val="24"/>
          <w:szCs w:val="24"/>
        </w:rPr>
        <w:t xml:space="preserve"> </w:t>
      </w:r>
    </w:p>
    <w:p w14:paraId="010B6F31" w14:textId="359B19D8" w:rsidR="00D83563" w:rsidRPr="002A7A3C" w:rsidRDefault="00E1736E" w:rsidP="009D52D0">
      <w:pPr>
        <w:spacing w:after="120" w:line="240" w:lineRule="auto"/>
        <w:ind w:right="543"/>
        <w:rPr>
          <w:rFonts w:ascii="Arial" w:hAnsi="Arial" w:cs="Arial"/>
          <w:b/>
          <w:sz w:val="24"/>
          <w:szCs w:val="24"/>
        </w:rPr>
      </w:pPr>
      <w:r w:rsidRPr="002A7A3C">
        <w:rPr>
          <w:rFonts w:ascii="Arial" w:hAnsi="Arial" w:cs="Arial"/>
          <w:b/>
          <w:sz w:val="24"/>
          <w:szCs w:val="24"/>
        </w:rPr>
        <w:t xml:space="preserve">Module </w:t>
      </w:r>
      <w:r w:rsidR="00D83563" w:rsidRPr="002A7A3C">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2A7A3C"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760"/>
        <w:gridCol w:w="1815"/>
        <w:gridCol w:w="1945"/>
        <w:gridCol w:w="2318"/>
        <w:gridCol w:w="2844"/>
      </w:tblGrid>
      <w:tr w:rsidR="00302082" w:rsidRPr="002A7A3C" w14:paraId="52814657" w14:textId="77777777" w:rsidTr="00011DDD">
        <w:trPr>
          <w:trHeight w:val="317"/>
          <w:tblHeader/>
        </w:trPr>
        <w:tc>
          <w:tcPr>
            <w:tcW w:w="1593" w:type="dxa"/>
          </w:tcPr>
          <w:p w14:paraId="7BB88073" w14:textId="77777777" w:rsidR="00422B69" w:rsidRPr="0024252C" w:rsidRDefault="00422B69" w:rsidP="009D52D0">
            <w:pPr>
              <w:spacing w:after="120"/>
              <w:ind w:right="543"/>
              <w:rPr>
                <w:rFonts w:ascii="Arial" w:hAnsi="Arial" w:cs="Arial"/>
                <w:sz w:val="20"/>
                <w:szCs w:val="20"/>
              </w:rPr>
            </w:pPr>
            <w:r w:rsidRPr="0024252C">
              <w:rPr>
                <w:rFonts w:ascii="Arial" w:hAnsi="Arial" w:cs="Arial"/>
                <w:sz w:val="20"/>
                <w:szCs w:val="20"/>
              </w:rPr>
              <w:t>Date approved</w:t>
            </w:r>
          </w:p>
        </w:tc>
        <w:tc>
          <w:tcPr>
            <w:tcW w:w="1815" w:type="dxa"/>
          </w:tcPr>
          <w:p w14:paraId="7024BC64" w14:textId="4C56E7C3" w:rsidR="00422B69" w:rsidRPr="0024252C" w:rsidRDefault="00E1736E" w:rsidP="009D52D0">
            <w:pPr>
              <w:spacing w:after="120"/>
              <w:ind w:right="543"/>
              <w:rPr>
                <w:rFonts w:ascii="Arial" w:hAnsi="Arial" w:cs="Arial"/>
                <w:sz w:val="20"/>
                <w:szCs w:val="20"/>
              </w:rPr>
            </w:pPr>
            <w:r w:rsidRPr="0024252C">
              <w:rPr>
                <w:rFonts w:ascii="Arial" w:hAnsi="Arial" w:cs="Arial"/>
                <w:sz w:val="20"/>
                <w:szCs w:val="20"/>
              </w:rPr>
              <w:t>New</w:t>
            </w:r>
            <w:r w:rsidR="00FE34CE" w:rsidRPr="0024252C">
              <w:rPr>
                <w:rFonts w:ascii="Arial" w:hAnsi="Arial" w:cs="Arial"/>
                <w:sz w:val="20"/>
                <w:szCs w:val="20"/>
              </w:rPr>
              <w:t xml:space="preserve"> or m</w:t>
            </w:r>
            <w:r w:rsidR="00422B69" w:rsidRPr="0024252C">
              <w:rPr>
                <w:rFonts w:ascii="Arial" w:hAnsi="Arial" w:cs="Arial"/>
                <w:sz w:val="20"/>
                <w:szCs w:val="20"/>
              </w:rPr>
              <w:t>ajor/minor revision</w:t>
            </w:r>
          </w:p>
        </w:tc>
        <w:tc>
          <w:tcPr>
            <w:tcW w:w="1974" w:type="dxa"/>
          </w:tcPr>
          <w:p w14:paraId="4C5C2D42" w14:textId="40DC1BDF" w:rsidR="00422B69" w:rsidRPr="0024252C" w:rsidRDefault="00422B69" w:rsidP="009D52D0">
            <w:pPr>
              <w:spacing w:after="120"/>
              <w:ind w:right="543"/>
              <w:rPr>
                <w:rFonts w:ascii="Arial" w:hAnsi="Arial" w:cs="Arial"/>
                <w:sz w:val="20"/>
                <w:szCs w:val="20"/>
              </w:rPr>
            </w:pPr>
            <w:r w:rsidRPr="0024252C">
              <w:rPr>
                <w:rFonts w:ascii="Arial" w:hAnsi="Arial" w:cs="Arial"/>
                <w:sz w:val="20"/>
                <w:szCs w:val="20"/>
              </w:rPr>
              <w:t>Start date of</w:t>
            </w:r>
            <w:r w:rsidR="00710647" w:rsidRPr="0024252C">
              <w:rPr>
                <w:rFonts w:ascii="Arial" w:hAnsi="Arial" w:cs="Arial"/>
                <w:sz w:val="20"/>
                <w:szCs w:val="20"/>
              </w:rPr>
              <w:t xml:space="preserve"> delivery of </w:t>
            </w:r>
            <w:r w:rsidR="00E1736E" w:rsidRPr="0024252C">
              <w:rPr>
                <w:rFonts w:ascii="Arial" w:hAnsi="Arial" w:cs="Arial"/>
                <w:sz w:val="20"/>
                <w:szCs w:val="20"/>
              </w:rPr>
              <w:t>(</w:t>
            </w:r>
            <w:r w:rsidRPr="0024252C">
              <w:rPr>
                <w:rFonts w:ascii="Arial" w:hAnsi="Arial" w:cs="Arial"/>
                <w:sz w:val="20"/>
                <w:szCs w:val="20"/>
              </w:rPr>
              <w:t>revised</w:t>
            </w:r>
            <w:r w:rsidR="00E1736E" w:rsidRPr="0024252C">
              <w:rPr>
                <w:rFonts w:ascii="Arial" w:hAnsi="Arial" w:cs="Arial"/>
                <w:sz w:val="20"/>
                <w:szCs w:val="20"/>
              </w:rPr>
              <w:t>)</w:t>
            </w:r>
            <w:r w:rsidRPr="0024252C">
              <w:rPr>
                <w:rFonts w:ascii="Arial" w:hAnsi="Arial" w:cs="Arial"/>
                <w:sz w:val="20"/>
                <w:szCs w:val="20"/>
              </w:rPr>
              <w:t xml:space="preserve"> version</w:t>
            </w:r>
          </w:p>
        </w:tc>
        <w:tc>
          <w:tcPr>
            <w:tcW w:w="2359" w:type="dxa"/>
          </w:tcPr>
          <w:p w14:paraId="6BA91A4B" w14:textId="77777777" w:rsidR="00422B69" w:rsidRPr="0024252C" w:rsidRDefault="00422B69" w:rsidP="009D52D0">
            <w:pPr>
              <w:spacing w:after="120"/>
              <w:ind w:right="543"/>
              <w:rPr>
                <w:rFonts w:ascii="Arial" w:hAnsi="Arial" w:cs="Arial"/>
                <w:sz w:val="20"/>
                <w:szCs w:val="20"/>
              </w:rPr>
            </w:pPr>
            <w:r w:rsidRPr="0024252C">
              <w:rPr>
                <w:rFonts w:ascii="Arial" w:hAnsi="Arial" w:cs="Arial"/>
                <w:sz w:val="20"/>
                <w:szCs w:val="20"/>
              </w:rPr>
              <w:t>Section revised</w:t>
            </w:r>
          </w:p>
          <w:p w14:paraId="07410A3B" w14:textId="288B4C2F" w:rsidR="00E1736E" w:rsidRPr="0024252C" w:rsidRDefault="00E1736E" w:rsidP="009D52D0">
            <w:pPr>
              <w:spacing w:after="120"/>
              <w:ind w:right="543"/>
              <w:rPr>
                <w:rFonts w:ascii="Arial" w:hAnsi="Arial" w:cs="Arial"/>
                <w:sz w:val="20"/>
                <w:szCs w:val="20"/>
              </w:rPr>
            </w:pPr>
            <w:r w:rsidRPr="0024252C">
              <w:rPr>
                <w:rFonts w:ascii="Arial" w:hAnsi="Arial" w:cs="Arial"/>
                <w:sz w:val="20"/>
                <w:szCs w:val="20"/>
              </w:rPr>
              <w:t>(if applicable)</w:t>
            </w:r>
          </w:p>
        </w:tc>
        <w:tc>
          <w:tcPr>
            <w:tcW w:w="2941" w:type="dxa"/>
          </w:tcPr>
          <w:p w14:paraId="65323753" w14:textId="561AB366" w:rsidR="00422B69" w:rsidRPr="0024252C" w:rsidRDefault="00422B69" w:rsidP="009D52D0">
            <w:pPr>
              <w:spacing w:after="120"/>
              <w:ind w:right="543"/>
              <w:rPr>
                <w:rFonts w:ascii="Arial" w:hAnsi="Arial" w:cs="Arial"/>
                <w:sz w:val="20"/>
                <w:szCs w:val="20"/>
              </w:rPr>
            </w:pPr>
            <w:r w:rsidRPr="0024252C">
              <w:rPr>
                <w:rFonts w:ascii="Arial" w:hAnsi="Arial" w:cs="Arial"/>
                <w:sz w:val="20"/>
                <w:szCs w:val="20"/>
              </w:rPr>
              <w:t xml:space="preserve">Impacts </w:t>
            </w:r>
            <w:r w:rsidR="00FE34CE" w:rsidRPr="0024252C">
              <w:rPr>
                <w:rFonts w:ascii="Arial" w:hAnsi="Arial" w:cs="Arial"/>
                <w:sz w:val="20"/>
                <w:szCs w:val="20"/>
              </w:rPr>
              <w:t>C</w:t>
            </w:r>
            <w:r w:rsidRPr="0024252C">
              <w:rPr>
                <w:rFonts w:ascii="Arial" w:hAnsi="Arial" w:cs="Arial"/>
                <w:sz w:val="20"/>
                <w:szCs w:val="20"/>
              </w:rPr>
              <w:t>LOs</w:t>
            </w:r>
          </w:p>
        </w:tc>
      </w:tr>
      <w:tr w:rsidR="00302082" w:rsidRPr="002A7A3C" w14:paraId="29EF87B4" w14:textId="77777777" w:rsidTr="00A13526">
        <w:trPr>
          <w:trHeight w:val="305"/>
        </w:trPr>
        <w:tc>
          <w:tcPr>
            <w:tcW w:w="1593" w:type="dxa"/>
          </w:tcPr>
          <w:p w14:paraId="4474539E" w14:textId="2230F93E" w:rsidR="00422B69" w:rsidRPr="0024252C" w:rsidRDefault="0044173F" w:rsidP="0044173F">
            <w:pPr>
              <w:spacing w:after="120"/>
              <w:ind w:right="543"/>
              <w:rPr>
                <w:rFonts w:ascii="Arial" w:hAnsi="Arial" w:cs="Arial"/>
                <w:sz w:val="20"/>
                <w:szCs w:val="20"/>
              </w:rPr>
            </w:pPr>
            <w:r w:rsidRPr="0024252C">
              <w:rPr>
                <w:rFonts w:ascii="Arial" w:hAnsi="Arial" w:cs="Arial"/>
                <w:sz w:val="20"/>
                <w:szCs w:val="20"/>
              </w:rPr>
              <w:t>12/12/2022</w:t>
            </w:r>
          </w:p>
        </w:tc>
        <w:tc>
          <w:tcPr>
            <w:tcW w:w="1815" w:type="dxa"/>
          </w:tcPr>
          <w:p w14:paraId="3DB8B056" w14:textId="0B5CA4BD" w:rsidR="00422B69" w:rsidRPr="0024252C" w:rsidRDefault="00B505FD" w:rsidP="009D52D0">
            <w:pPr>
              <w:spacing w:after="120"/>
              <w:ind w:right="543"/>
              <w:rPr>
                <w:rFonts w:ascii="Arial" w:hAnsi="Arial" w:cs="Arial"/>
                <w:sz w:val="20"/>
                <w:szCs w:val="20"/>
              </w:rPr>
            </w:pPr>
            <w:r w:rsidRPr="0024252C">
              <w:rPr>
                <w:rFonts w:ascii="Arial" w:hAnsi="Arial" w:cs="Arial"/>
                <w:sz w:val="20"/>
                <w:szCs w:val="20"/>
              </w:rPr>
              <w:t>Minor</w:t>
            </w:r>
          </w:p>
        </w:tc>
        <w:tc>
          <w:tcPr>
            <w:tcW w:w="1974" w:type="dxa"/>
          </w:tcPr>
          <w:p w14:paraId="7151A835" w14:textId="255B853B" w:rsidR="00422B69" w:rsidRPr="0024252C" w:rsidRDefault="00DE6569" w:rsidP="009D52D0">
            <w:pPr>
              <w:spacing w:after="120"/>
              <w:ind w:right="543"/>
              <w:rPr>
                <w:rFonts w:ascii="Arial" w:hAnsi="Arial" w:cs="Arial"/>
                <w:sz w:val="20"/>
                <w:szCs w:val="20"/>
              </w:rPr>
            </w:pPr>
            <w:r w:rsidRPr="0024252C">
              <w:rPr>
                <w:rFonts w:ascii="Arial" w:hAnsi="Arial" w:cs="Arial"/>
                <w:sz w:val="20"/>
                <w:szCs w:val="20"/>
              </w:rPr>
              <w:t>2023/24</w:t>
            </w:r>
          </w:p>
        </w:tc>
        <w:tc>
          <w:tcPr>
            <w:tcW w:w="2359" w:type="dxa"/>
          </w:tcPr>
          <w:p w14:paraId="64AEF8B4" w14:textId="78CD4969" w:rsidR="00422B69" w:rsidRPr="0024252C" w:rsidRDefault="00DE6569" w:rsidP="009D52D0">
            <w:pPr>
              <w:spacing w:after="120"/>
              <w:ind w:right="543"/>
              <w:rPr>
                <w:rFonts w:ascii="Arial" w:hAnsi="Arial" w:cs="Arial"/>
                <w:sz w:val="20"/>
                <w:szCs w:val="20"/>
              </w:rPr>
            </w:pPr>
            <w:r w:rsidRPr="0024252C">
              <w:rPr>
                <w:rFonts w:ascii="Arial" w:hAnsi="Arial" w:cs="Arial"/>
                <w:sz w:val="20"/>
                <w:szCs w:val="20"/>
              </w:rPr>
              <w:t>1,7,8-9</w:t>
            </w:r>
          </w:p>
        </w:tc>
        <w:tc>
          <w:tcPr>
            <w:tcW w:w="2941" w:type="dxa"/>
          </w:tcPr>
          <w:p w14:paraId="2788108C" w14:textId="7B75CC41" w:rsidR="00422B69" w:rsidRPr="0024252C" w:rsidRDefault="00DE6569" w:rsidP="009D52D0">
            <w:pPr>
              <w:spacing w:after="120"/>
              <w:ind w:right="543"/>
              <w:rPr>
                <w:rFonts w:ascii="Arial" w:hAnsi="Arial" w:cs="Arial"/>
                <w:sz w:val="20"/>
                <w:szCs w:val="20"/>
              </w:rPr>
            </w:pPr>
            <w:r w:rsidRPr="0024252C">
              <w:rPr>
                <w:rFonts w:ascii="Arial" w:hAnsi="Arial" w:cs="Arial"/>
                <w:sz w:val="20"/>
                <w:szCs w:val="20"/>
              </w:rPr>
              <w:t>No</w:t>
            </w:r>
          </w:p>
        </w:tc>
      </w:tr>
      <w:tr w:rsidR="00302082" w:rsidRPr="002A7A3C" w14:paraId="1EAC1207" w14:textId="77777777" w:rsidTr="00A13526">
        <w:trPr>
          <w:trHeight w:val="305"/>
        </w:trPr>
        <w:tc>
          <w:tcPr>
            <w:tcW w:w="1593" w:type="dxa"/>
          </w:tcPr>
          <w:p w14:paraId="6535CABF" w14:textId="77777777" w:rsidR="00422B69" w:rsidRPr="0024252C" w:rsidRDefault="00422B69" w:rsidP="009D52D0">
            <w:pPr>
              <w:spacing w:after="120"/>
              <w:ind w:right="543"/>
              <w:rPr>
                <w:rFonts w:ascii="Arial" w:hAnsi="Arial" w:cs="Arial"/>
                <w:sz w:val="20"/>
                <w:szCs w:val="20"/>
              </w:rPr>
            </w:pPr>
          </w:p>
        </w:tc>
        <w:tc>
          <w:tcPr>
            <w:tcW w:w="1815" w:type="dxa"/>
          </w:tcPr>
          <w:p w14:paraId="5BAFF0BB" w14:textId="77777777" w:rsidR="00422B69" w:rsidRPr="0024252C" w:rsidRDefault="00422B69" w:rsidP="009D52D0">
            <w:pPr>
              <w:spacing w:after="120"/>
              <w:ind w:right="543"/>
              <w:rPr>
                <w:rFonts w:ascii="Arial" w:hAnsi="Arial" w:cs="Arial"/>
                <w:sz w:val="20"/>
                <w:szCs w:val="20"/>
              </w:rPr>
            </w:pPr>
          </w:p>
        </w:tc>
        <w:tc>
          <w:tcPr>
            <w:tcW w:w="1974" w:type="dxa"/>
          </w:tcPr>
          <w:p w14:paraId="07B30CA1" w14:textId="77777777" w:rsidR="00422B69" w:rsidRPr="0024252C" w:rsidRDefault="00422B69" w:rsidP="009D52D0">
            <w:pPr>
              <w:spacing w:after="120"/>
              <w:ind w:right="543"/>
              <w:rPr>
                <w:rFonts w:ascii="Arial" w:hAnsi="Arial" w:cs="Arial"/>
                <w:sz w:val="20"/>
                <w:szCs w:val="20"/>
              </w:rPr>
            </w:pPr>
          </w:p>
        </w:tc>
        <w:tc>
          <w:tcPr>
            <w:tcW w:w="2359" w:type="dxa"/>
          </w:tcPr>
          <w:p w14:paraId="7AF83608" w14:textId="77777777" w:rsidR="00422B69" w:rsidRPr="0024252C" w:rsidRDefault="00422B69" w:rsidP="009D52D0">
            <w:pPr>
              <w:spacing w:after="120"/>
              <w:ind w:right="543"/>
              <w:rPr>
                <w:rFonts w:ascii="Arial" w:hAnsi="Arial" w:cs="Arial"/>
                <w:sz w:val="20"/>
                <w:szCs w:val="20"/>
              </w:rPr>
            </w:pPr>
          </w:p>
        </w:tc>
        <w:tc>
          <w:tcPr>
            <w:tcW w:w="2941" w:type="dxa"/>
          </w:tcPr>
          <w:p w14:paraId="1F3DBDEE" w14:textId="77777777" w:rsidR="00422B69" w:rsidRPr="0024252C" w:rsidRDefault="00422B69" w:rsidP="009D52D0">
            <w:pPr>
              <w:spacing w:after="120"/>
              <w:ind w:right="543"/>
              <w:rPr>
                <w:rFonts w:ascii="Arial" w:hAnsi="Arial" w:cs="Arial"/>
                <w:sz w:val="20"/>
                <w:szCs w:val="20"/>
              </w:rPr>
            </w:pPr>
          </w:p>
        </w:tc>
      </w:tr>
    </w:tbl>
    <w:p w14:paraId="4A3C63B8" w14:textId="77777777" w:rsidR="00D83563" w:rsidRPr="002A7A3C" w:rsidRDefault="00D83563" w:rsidP="009D52D0">
      <w:pPr>
        <w:spacing w:after="120" w:line="240" w:lineRule="auto"/>
        <w:ind w:right="543"/>
        <w:rPr>
          <w:rFonts w:ascii="Arial" w:hAnsi="Arial" w:cs="Arial"/>
          <w:sz w:val="24"/>
          <w:szCs w:val="24"/>
        </w:rPr>
      </w:pPr>
    </w:p>
    <w:sectPr w:rsidR="00D83563" w:rsidRPr="002A7A3C"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809ED" w14:textId="77777777" w:rsidR="00677972" w:rsidRDefault="00677972" w:rsidP="009A2D37">
      <w:pPr>
        <w:spacing w:after="0" w:line="240" w:lineRule="auto"/>
      </w:pPr>
      <w:r>
        <w:separator/>
      </w:r>
    </w:p>
  </w:endnote>
  <w:endnote w:type="continuationSeparator" w:id="0">
    <w:p w14:paraId="7B49B4A2" w14:textId="77777777" w:rsidR="00677972" w:rsidRDefault="00677972" w:rsidP="009A2D37">
      <w:pPr>
        <w:spacing w:after="0" w:line="240" w:lineRule="auto"/>
      </w:pPr>
      <w:r>
        <w:continuationSeparator/>
      </w:r>
    </w:p>
  </w:endnote>
  <w:endnote w:type="continuationNotice" w:id="1">
    <w:p w14:paraId="013F7CC6" w14:textId="77777777" w:rsidR="00677972" w:rsidRDefault="006779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2439E7E" w:rsidR="008B2543" w:rsidRDefault="0019787E" w:rsidP="009A2D37">
        <w:pPr>
          <w:pStyle w:val="Footer"/>
          <w:jc w:val="center"/>
        </w:pPr>
        <w:r>
          <w:fldChar w:fldCharType="begin"/>
        </w:r>
        <w:r>
          <w:instrText xml:space="preserve"> PAGE   \* MERGEFORMAT </w:instrText>
        </w:r>
        <w:r>
          <w:fldChar w:fldCharType="separate"/>
        </w:r>
        <w:r w:rsidR="0044173F">
          <w:rPr>
            <w:noProof/>
          </w:rPr>
          <w:t>2</w:t>
        </w:r>
        <w:r>
          <w:rPr>
            <w:noProof/>
          </w:rPr>
          <w:fldChar w:fldCharType="end"/>
        </w:r>
      </w:p>
    </w:sdtContent>
  </w:sdt>
  <w:p w14:paraId="0257EBA6" w14:textId="77777777" w:rsidR="00DE6569" w:rsidRPr="00DE6569" w:rsidRDefault="00DE6569" w:rsidP="00DE6569">
    <w:pPr>
      <w:pStyle w:val="Footer"/>
      <w:jc w:val="center"/>
      <w:rPr>
        <w:sz w:val="18"/>
        <w:szCs w:val="18"/>
      </w:rPr>
    </w:pPr>
    <w:r w:rsidRPr="00DE6569">
      <w:rPr>
        <w:rFonts w:ascii="Arial" w:eastAsiaTheme="minorHAnsi" w:hAnsi="Arial" w:cs="Arial"/>
        <w:bCs/>
        <w:sz w:val="18"/>
        <w:szCs w:val="18"/>
        <w:lang w:eastAsia="en-US"/>
      </w:rPr>
      <w:t>Discourses on Empire</w:t>
    </w:r>
  </w:p>
  <w:p w14:paraId="26569854" w14:textId="4D3EEEB1" w:rsidR="008B2543" w:rsidRPr="007B7724" w:rsidRDefault="008B2543" w:rsidP="00DE656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2197534" w:rsidR="00EB41D1" w:rsidRDefault="00EB41D1" w:rsidP="00EB41D1">
        <w:pPr>
          <w:pStyle w:val="Footer"/>
          <w:jc w:val="center"/>
        </w:pPr>
        <w:r>
          <w:fldChar w:fldCharType="begin"/>
        </w:r>
        <w:r>
          <w:instrText xml:space="preserve"> PAGE   \* MERGEFORMAT </w:instrText>
        </w:r>
        <w:r>
          <w:fldChar w:fldCharType="separate"/>
        </w:r>
        <w:r w:rsidR="0044173F">
          <w:rPr>
            <w:noProof/>
          </w:rPr>
          <w:t>1</w:t>
        </w:r>
        <w:r>
          <w:rPr>
            <w:noProof/>
          </w:rPr>
          <w:fldChar w:fldCharType="end"/>
        </w:r>
      </w:p>
    </w:sdtContent>
  </w:sdt>
  <w:p w14:paraId="24F79DDC" w14:textId="0136E37E" w:rsidR="00F17B94" w:rsidRPr="00DE6569" w:rsidRDefault="00DE6569" w:rsidP="00DE6569">
    <w:pPr>
      <w:pStyle w:val="Footer"/>
      <w:jc w:val="center"/>
      <w:rPr>
        <w:sz w:val="18"/>
        <w:szCs w:val="18"/>
      </w:rPr>
    </w:pPr>
    <w:r w:rsidRPr="00DE6569">
      <w:rPr>
        <w:rFonts w:ascii="Arial" w:eastAsiaTheme="minorHAnsi" w:hAnsi="Arial" w:cs="Arial"/>
        <w:bCs/>
        <w:sz w:val="18"/>
        <w:szCs w:val="18"/>
        <w:lang w:eastAsia="en-US"/>
      </w:rPr>
      <w:t>Discourses on Empire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CE2C4E" w14:textId="77777777" w:rsidR="00677972" w:rsidRDefault="00677972" w:rsidP="009A2D37">
      <w:pPr>
        <w:spacing w:after="0" w:line="240" w:lineRule="auto"/>
      </w:pPr>
      <w:r>
        <w:separator/>
      </w:r>
    </w:p>
  </w:footnote>
  <w:footnote w:type="continuationSeparator" w:id="0">
    <w:p w14:paraId="27A534B6" w14:textId="77777777" w:rsidR="00677972" w:rsidRDefault="00677972" w:rsidP="009A2D37">
      <w:pPr>
        <w:spacing w:after="0" w:line="240" w:lineRule="auto"/>
      </w:pPr>
      <w:r>
        <w:continuationSeparator/>
      </w:r>
    </w:p>
  </w:footnote>
  <w:footnote w:type="continuationNotice" w:id="1">
    <w:p w14:paraId="4D2E9114" w14:textId="77777777" w:rsidR="00677972" w:rsidRDefault="006779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96AEA63"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0F04137"/>
    <w:multiLevelType w:val="multilevel"/>
    <w:tmpl w:val="48822B3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4730FE8"/>
    <w:multiLevelType w:val="hybridMultilevel"/>
    <w:tmpl w:val="1206F7B4"/>
    <w:lvl w:ilvl="0" w:tplc="4552D3BC">
      <w:start w:val="1"/>
      <w:numFmt w:val="decimal"/>
      <w:pStyle w:val="header2"/>
      <w:lvlText w:val="%1."/>
      <w:lvlJc w:val="left"/>
      <w:pPr>
        <w:ind w:left="720" w:hanging="360"/>
      </w:pPr>
      <w:rPr>
        <w:b/>
        <w:bCs/>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749"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7" w15:restartNumberingAfterBreak="0">
    <w:nsid w:val="37A73498"/>
    <w:multiLevelType w:val="multilevel"/>
    <w:tmpl w:val="1C02C24E"/>
    <w:lvl w:ilvl="0">
      <w:start w:val="9"/>
      <w:numFmt w:val="decimal"/>
      <w:lvlText w:val="%1."/>
      <w:lvlJc w:val="left"/>
      <w:pPr>
        <w:ind w:left="360" w:hanging="360"/>
      </w:pPr>
      <w:rPr>
        <w:rFonts w:hint="default"/>
        <w:i w:val="0"/>
        <w:iCs/>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4B804AD"/>
    <w:multiLevelType w:val="hybridMultilevel"/>
    <w:tmpl w:val="24204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00107922">
    <w:abstractNumId w:val="3"/>
  </w:num>
  <w:num w:numId="2" w16cid:durableId="215044163">
    <w:abstractNumId w:val="0"/>
  </w:num>
  <w:num w:numId="3" w16cid:durableId="1816217062">
    <w:abstractNumId w:val="4"/>
  </w:num>
  <w:num w:numId="4" w16cid:durableId="1199926355">
    <w:abstractNumId w:val="1"/>
  </w:num>
  <w:num w:numId="5" w16cid:durableId="1409772074">
    <w:abstractNumId w:val="10"/>
  </w:num>
  <w:num w:numId="6" w16cid:durableId="465465654">
    <w:abstractNumId w:val="8"/>
  </w:num>
  <w:num w:numId="7" w16cid:durableId="890530650">
    <w:abstractNumId w:val="12"/>
  </w:num>
  <w:num w:numId="8" w16cid:durableId="290789463">
    <w:abstractNumId w:val="9"/>
  </w:num>
  <w:num w:numId="9" w16cid:durableId="2074618038">
    <w:abstractNumId w:val="5"/>
  </w:num>
  <w:num w:numId="10" w16cid:durableId="2032562422">
    <w:abstractNumId w:val="6"/>
  </w:num>
  <w:num w:numId="11" w16cid:durableId="1060057769">
    <w:abstractNumId w:val="7"/>
  </w:num>
  <w:num w:numId="12" w16cid:durableId="148207324">
    <w:abstractNumId w:val="11"/>
  </w:num>
  <w:num w:numId="13" w16cid:durableId="1896575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078C6"/>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C0294"/>
    <w:rsid w:val="000C3A7E"/>
    <w:rsid w:val="000C7A1C"/>
    <w:rsid w:val="000D2A8A"/>
    <w:rsid w:val="000D32AC"/>
    <w:rsid w:val="000E20C1"/>
    <w:rsid w:val="000E3B73"/>
    <w:rsid w:val="000F6C56"/>
    <w:rsid w:val="000F7FBF"/>
    <w:rsid w:val="00106BE5"/>
    <w:rsid w:val="001071A3"/>
    <w:rsid w:val="00110947"/>
    <w:rsid w:val="00111906"/>
    <w:rsid w:val="00111CB3"/>
    <w:rsid w:val="00117577"/>
    <w:rsid w:val="00117793"/>
    <w:rsid w:val="001206E4"/>
    <w:rsid w:val="001214D3"/>
    <w:rsid w:val="00121BFC"/>
    <w:rsid w:val="001402AD"/>
    <w:rsid w:val="001540CE"/>
    <w:rsid w:val="00156572"/>
    <w:rsid w:val="0015717B"/>
    <w:rsid w:val="00157ACA"/>
    <w:rsid w:val="00157E25"/>
    <w:rsid w:val="00160427"/>
    <w:rsid w:val="00162D46"/>
    <w:rsid w:val="00172793"/>
    <w:rsid w:val="00173716"/>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733E"/>
    <w:rsid w:val="002407C0"/>
    <w:rsid w:val="0024252C"/>
    <w:rsid w:val="002461AF"/>
    <w:rsid w:val="002465A1"/>
    <w:rsid w:val="00264576"/>
    <w:rsid w:val="0026585A"/>
    <w:rsid w:val="00266735"/>
    <w:rsid w:val="00267DCA"/>
    <w:rsid w:val="00273CF0"/>
    <w:rsid w:val="002748D4"/>
    <w:rsid w:val="00274ED7"/>
    <w:rsid w:val="0028461D"/>
    <w:rsid w:val="0028590C"/>
    <w:rsid w:val="00292C46"/>
    <w:rsid w:val="002938D6"/>
    <w:rsid w:val="00294B73"/>
    <w:rsid w:val="002A0C18"/>
    <w:rsid w:val="002A219B"/>
    <w:rsid w:val="002A22DB"/>
    <w:rsid w:val="002A7A3C"/>
    <w:rsid w:val="002B20F5"/>
    <w:rsid w:val="002B2A1A"/>
    <w:rsid w:val="002B71F2"/>
    <w:rsid w:val="002D1DDF"/>
    <w:rsid w:val="002E71C0"/>
    <w:rsid w:val="002F05F4"/>
    <w:rsid w:val="002F0CE4"/>
    <w:rsid w:val="002F23EF"/>
    <w:rsid w:val="002F2626"/>
    <w:rsid w:val="00302082"/>
    <w:rsid w:val="00306620"/>
    <w:rsid w:val="0031513D"/>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4254"/>
    <w:rsid w:val="003F3578"/>
    <w:rsid w:val="003F4470"/>
    <w:rsid w:val="003F5A04"/>
    <w:rsid w:val="003F67CD"/>
    <w:rsid w:val="003F6D26"/>
    <w:rsid w:val="00402ED7"/>
    <w:rsid w:val="004114F8"/>
    <w:rsid w:val="00422B69"/>
    <w:rsid w:val="00423D86"/>
    <w:rsid w:val="00424C90"/>
    <w:rsid w:val="00426833"/>
    <w:rsid w:val="004323FD"/>
    <w:rsid w:val="00436BE9"/>
    <w:rsid w:val="0044173F"/>
    <w:rsid w:val="00441E76"/>
    <w:rsid w:val="004443DA"/>
    <w:rsid w:val="00446A75"/>
    <w:rsid w:val="004474A2"/>
    <w:rsid w:val="00460925"/>
    <w:rsid w:val="00471C6C"/>
    <w:rsid w:val="00472023"/>
    <w:rsid w:val="00476167"/>
    <w:rsid w:val="004823C6"/>
    <w:rsid w:val="00486993"/>
    <w:rsid w:val="00492DA4"/>
    <w:rsid w:val="00496AA3"/>
    <w:rsid w:val="00497C98"/>
    <w:rsid w:val="004A39D7"/>
    <w:rsid w:val="004A3C23"/>
    <w:rsid w:val="004A55FA"/>
    <w:rsid w:val="004B2E6B"/>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77972"/>
    <w:rsid w:val="00682650"/>
    <w:rsid w:val="00683609"/>
    <w:rsid w:val="00684851"/>
    <w:rsid w:val="00685EDD"/>
    <w:rsid w:val="00687284"/>
    <w:rsid w:val="00692C1A"/>
    <w:rsid w:val="00694309"/>
    <w:rsid w:val="00694B52"/>
    <w:rsid w:val="00695285"/>
    <w:rsid w:val="00696C56"/>
    <w:rsid w:val="00696FF5"/>
    <w:rsid w:val="006A6BB4"/>
    <w:rsid w:val="006A6D16"/>
    <w:rsid w:val="006A7FB0"/>
    <w:rsid w:val="006B3457"/>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1369"/>
    <w:rsid w:val="00754069"/>
    <w:rsid w:val="00765ED0"/>
    <w:rsid w:val="007667DF"/>
    <w:rsid w:val="0077080B"/>
    <w:rsid w:val="0077115E"/>
    <w:rsid w:val="00776959"/>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45D1"/>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B6079"/>
    <w:rsid w:val="008C3559"/>
    <w:rsid w:val="008D4447"/>
    <w:rsid w:val="008D7401"/>
    <w:rsid w:val="00903DF6"/>
    <w:rsid w:val="00920E37"/>
    <w:rsid w:val="00921CF6"/>
    <w:rsid w:val="00922E9E"/>
    <w:rsid w:val="00924EF0"/>
    <w:rsid w:val="00934D7B"/>
    <w:rsid w:val="00947180"/>
    <w:rsid w:val="009567BE"/>
    <w:rsid w:val="0096225D"/>
    <w:rsid w:val="009676FA"/>
    <w:rsid w:val="009679E0"/>
    <w:rsid w:val="00977632"/>
    <w:rsid w:val="00982A8E"/>
    <w:rsid w:val="00987DB4"/>
    <w:rsid w:val="0099029D"/>
    <w:rsid w:val="00996204"/>
    <w:rsid w:val="009A0CCF"/>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1703"/>
    <w:rsid w:val="00A94628"/>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05FD"/>
    <w:rsid w:val="00B52FF5"/>
    <w:rsid w:val="00B5498B"/>
    <w:rsid w:val="00B57219"/>
    <w:rsid w:val="00B658A3"/>
    <w:rsid w:val="00B65AAD"/>
    <w:rsid w:val="00B72470"/>
    <w:rsid w:val="00B746A8"/>
    <w:rsid w:val="00B750F2"/>
    <w:rsid w:val="00B7664D"/>
    <w:rsid w:val="00B80989"/>
    <w:rsid w:val="00B835D0"/>
    <w:rsid w:val="00B84393"/>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180"/>
    <w:rsid w:val="00BF51AB"/>
    <w:rsid w:val="00BF716B"/>
    <w:rsid w:val="00BF7233"/>
    <w:rsid w:val="00C02AA2"/>
    <w:rsid w:val="00C04C95"/>
    <w:rsid w:val="00C12613"/>
    <w:rsid w:val="00C130D5"/>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97C58"/>
    <w:rsid w:val="00CA3254"/>
    <w:rsid w:val="00CB11CE"/>
    <w:rsid w:val="00CC25A2"/>
    <w:rsid w:val="00CD7F07"/>
    <w:rsid w:val="00CE04F3"/>
    <w:rsid w:val="00CE12D8"/>
    <w:rsid w:val="00CE4574"/>
    <w:rsid w:val="00CE70E6"/>
    <w:rsid w:val="00CF0BCA"/>
    <w:rsid w:val="00CF2E1E"/>
    <w:rsid w:val="00CF75EC"/>
    <w:rsid w:val="00D02E99"/>
    <w:rsid w:val="00D13357"/>
    <w:rsid w:val="00D13A13"/>
    <w:rsid w:val="00D2689A"/>
    <w:rsid w:val="00D65506"/>
    <w:rsid w:val="00D773CF"/>
    <w:rsid w:val="00D83563"/>
    <w:rsid w:val="00D8448F"/>
    <w:rsid w:val="00DA64B6"/>
    <w:rsid w:val="00DB2B91"/>
    <w:rsid w:val="00DB5C9D"/>
    <w:rsid w:val="00DD02E6"/>
    <w:rsid w:val="00DD2E74"/>
    <w:rsid w:val="00DE6569"/>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27B2"/>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34C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741369"/>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EAF29-18A9-4643-9882-B85CC498FB87}">
  <ds:schemaRefs>
    <ds:schemaRef ds:uri="http://schemas.openxmlformats.org/officeDocument/2006/bibliography"/>
  </ds:schemaRefs>
</ds:datastoreItem>
</file>

<file path=customXml/itemProps2.xml><?xml version="1.0" encoding="utf-8"?>
<ds:datastoreItem xmlns:ds="http://schemas.openxmlformats.org/officeDocument/2006/customXml" ds:itemID="{42A0AA30-1171-48CA-8502-1653D5AF7967}"/>
</file>

<file path=customXml/itemProps3.xml><?xml version="1.0" encoding="utf-8"?>
<ds:datastoreItem xmlns:ds="http://schemas.openxmlformats.org/officeDocument/2006/customXml" ds:itemID="{3038E175-08D8-43F9-9862-6D348FCCFB16}"/>
</file>

<file path=customXml/itemProps4.xml><?xml version="1.0" encoding="utf-8"?>
<ds:datastoreItem xmlns:ds="http://schemas.openxmlformats.org/officeDocument/2006/customXml" ds:itemID="{F7049E56-BD70-4972-8802-7668572AA5F7}"/>
</file>

<file path=docProps/app.xml><?xml version="1.0" encoding="utf-8"?>
<Properties xmlns="http://schemas.openxmlformats.org/officeDocument/2006/extended-properties" xmlns:vt="http://schemas.openxmlformats.org/officeDocument/2006/docPropsVTypes">
  <Template>Normal</Template>
  <TotalTime>6</TotalTime>
  <Pages>4</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5</cp:revision>
  <cp:lastPrinted>2019-02-26T09:40:00Z</cp:lastPrinted>
  <dcterms:created xsi:type="dcterms:W3CDTF">2023-02-17T15:01:00Z</dcterms:created>
  <dcterms:modified xsi:type="dcterms:W3CDTF">2023-02-21T17:13:00Z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