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rsidR="009A2D37" w:rsidRPr="008B7D28" w:rsidRDefault="00F21C08" w:rsidP="00696FF5">
      <w:pPr>
        <w:spacing w:after="120" w:line="240" w:lineRule="auto"/>
        <w:ind w:left="567" w:right="260"/>
        <w:jc w:val="both"/>
        <w:rPr>
          <w:rFonts w:cs="Arial"/>
          <w:iCs/>
        </w:rPr>
      </w:pPr>
      <w:r>
        <w:rPr>
          <w:rFonts w:cs="Arial"/>
        </w:rPr>
        <w:t xml:space="preserve">ENGL6610 (EN661): </w:t>
      </w:r>
      <w:r w:rsidRPr="000424A0">
        <w:rPr>
          <w:rFonts w:cs="Arial"/>
        </w:rPr>
        <w:t>The Stranger</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rsidR="009A2D37" w:rsidRPr="00BA42AF" w:rsidRDefault="00BA42AF" w:rsidP="00696FF5">
      <w:pPr>
        <w:spacing w:after="120" w:line="240" w:lineRule="auto"/>
        <w:ind w:left="567" w:right="260"/>
        <w:jc w:val="both"/>
        <w:rPr>
          <w:rFonts w:cs="Arial"/>
        </w:rPr>
      </w:pPr>
      <w:r w:rsidRPr="00BA42AF">
        <w:rPr>
          <w:rFonts w:cs="Arial"/>
        </w:rPr>
        <w:t>Level 6</w:t>
      </w:r>
      <w:r w:rsidR="009A2D37" w:rsidRPr="00BA42AF">
        <w:rPr>
          <w:rFonts w:cs="Arial"/>
        </w:rPr>
        <w:t xml:space="preserve"> </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rsidR="009A2D37" w:rsidRPr="008B7D28" w:rsidRDefault="009A2D37" w:rsidP="00696FF5">
      <w:pPr>
        <w:spacing w:after="120" w:line="240" w:lineRule="auto"/>
        <w:ind w:left="567" w:right="260"/>
        <w:jc w:val="both"/>
        <w:rPr>
          <w:rFonts w:cs="Arial"/>
          <w:iCs/>
        </w:rPr>
      </w:pPr>
      <w:r w:rsidRPr="00D13676">
        <w:rPr>
          <w:rFonts w:cs="Arial"/>
          <w:iCs/>
        </w:rPr>
        <w:t xml:space="preserve">Autumn or </w:t>
      </w:r>
      <w:proofErr w:type="gramStart"/>
      <w:r w:rsidRPr="00D13676">
        <w:rPr>
          <w:rFonts w:cs="Arial"/>
          <w:iCs/>
        </w:rPr>
        <w:t>Spring</w:t>
      </w:r>
      <w:proofErr w:type="gramEnd"/>
      <w:r w:rsidR="00D13676">
        <w:rPr>
          <w:rFonts w:cs="Arial"/>
          <w:iCs/>
        </w:rPr>
        <w:t xml:space="preserve">  </w:t>
      </w:r>
    </w:p>
    <w:p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rsidR="008B7D28" w:rsidRPr="008B7D28" w:rsidRDefault="008B7D28" w:rsidP="008B7D28">
      <w:pPr>
        <w:spacing w:after="120" w:line="240" w:lineRule="auto"/>
        <w:ind w:left="567" w:right="260"/>
        <w:jc w:val="both"/>
        <w:rPr>
          <w:rFonts w:cs="Arial"/>
        </w:rPr>
      </w:pPr>
      <w:r w:rsidRPr="008B7D28">
        <w:rPr>
          <w:rFonts w:cs="Arial"/>
        </w:rPr>
        <w:t>None</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rsidR="00B9109B" w:rsidRPr="008B7D28" w:rsidRDefault="00D13676" w:rsidP="00696FF5">
      <w:pPr>
        <w:spacing w:after="120" w:line="240" w:lineRule="auto"/>
        <w:ind w:left="567" w:right="260"/>
        <w:rPr>
          <w:rFonts w:cs="Arial"/>
          <w:iCs/>
        </w:rPr>
      </w:pPr>
      <w:r w:rsidRPr="00D13676">
        <w:rPr>
          <w:rFonts w:cs="Arial"/>
          <w:iCs/>
        </w:rPr>
        <w:t>BA in English and American Literature; English, American and Postcolonial Literatures; English and American Literature and Creative Writing, Contemporary Literature, American Studies</w:t>
      </w:r>
    </w:p>
    <w:p w:rsidR="009A2D37"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rsidR="00D13676" w:rsidRPr="00D13676" w:rsidRDefault="00D13676" w:rsidP="00D13676">
      <w:pPr>
        <w:spacing w:after="120" w:line="240" w:lineRule="auto"/>
        <w:ind w:left="540" w:right="260" w:hanging="540"/>
        <w:rPr>
          <w:rFonts w:cs="Arial"/>
        </w:rPr>
      </w:pPr>
      <w:r w:rsidRPr="00D13676">
        <w:rPr>
          <w:rFonts w:cs="Arial"/>
        </w:rPr>
        <w:t>8.1</w:t>
      </w:r>
      <w:r w:rsidRPr="00D13676">
        <w:rPr>
          <w:rFonts w:cs="Arial"/>
        </w:rPr>
        <w:tab/>
        <w:t>Gain an understanding of the changing relationship between nation, narration, and globalisation in the twentieth and twenty-first century novel.</w:t>
      </w:r>
    </w:p>
    <w:p w:rsidR="00D13676" w:rsidRPr="00D13676" w:rsidRDefault="00D13676" w:rsidP="00D13676">
      <w:pPr>
        <w:spacing w:after="120" w:line="240" w:lineRule="auto"/>
        <w:ind w:left="540" w:right="260" w:hanging="540"/>
        <w:rPr>
          <w:rFonts w:cs="Arial"/>
        </w:rPr>
      </w:pPr>
      <w:r w:rsidRPr="00D13676">
        <w:rPr>
          <w:rFonts w:cs="Arial"/>
        </w:rPr>
        <w:t>8.2</w:t>
      </w:r>
      <w:r w:rsidRPr="00D13676">
        <w:rPr>
          <w:rFonts w:cs="Arial"/>
        </w:rPr>
        <w:tab/>
        <w:t>Interpret and apply a range of theoretical concepts surrounding the ideas of ‘the stranger’ across a variety of regional and historical contexts, and make productive comparisons and distinctions between them.</w:t>
      </w:r>
    </w:p>
    <w:p w:rsidR="00D13676" w:rsidRPr="00D13676" w:rsidRDefault="00D13676" w:rsidP="00D13676">
      <w:pPr>
        <w:spacing w:after="120" w:line="240" w:lineRule="auto"/>
        <w:ind w:left="540" w:right="260" w:hanging="540"/>
        <w:rPr>
          <w:rFonts w:cs="Arial"/>
        </w:rPr>
      </w:pPr>
      <w:r w:rsidRPr="00D13676">
        <w:rPr>
          <w:rFonts w:cs="Arial"/>
        </w:rPr>
        <w:t>8.3</w:t>
      </w:r>
      <w:r w:rsidRPr="00D13676">
        <w:rPr>
          <w:rFonts w:cs="Arial"/>
        </w:rPr>
        <w:tab/>
        <w:t>Develop reasonably complex and historically situated approaches to concepts including nation, empire, the transnational, migration and diaspora, cosmopolitanism, and race over the last century.</w:t>
      </w:r>
    </w:p>
    <w:p w:rsidR="00D13676" w:rsidRPr="00D13676" w:rsidRDefault="00D13676" w:rsidP="00D13676">
      <w:pPr>
        <w:spacing w:after="120" w:line="240" w:lineRule="auto"/>
        <w:ind w:left="540" w:right="260" w:hanging="540"/>
        <w:rPr>
          <w:rFonts w:cs="Arial"/>
        </w:rPr>
      </w:pPr>
      <w:r w:rsidRPr="00D13676">
        <w:rPr>
          <w:rFonts w:cs="Arial"/>
        </w:rPr>
        <w:t>8.4</w:t>
      </w:r>
      <w:r w:rsidRPr="00D13676">
        <w:rPr>
          <w:rFonts w:cs="Arial"/>
        </w:rPr>
        <w:tab/>
        <w:t>Further develop the capacity to structure nuanced arguments centred on the close relationship between aesthetics and politics in modern narrative fiction.</w:t>
      </w:r>
    </w:p>
    <w:p w:rsidR="00D13676" w:rsidRPr="00D13676" w:rsidRDefault="00D13676" w:rsidP="00D13676">
      <w:pPr>
        <w:spacing w:after="120" w:line="240" w:lineRule="auto"/>
        <w:ind w:left="540" w:right="260" w:hanging="540"/>
        <w:rPr>
          <w:rFonts w:cs="Arial"/>
        </w:rPr>
      </w:pPr>
      <w:r w:rsidRPr="00D13676">
        <w:rPr>
          <w:rFonts w:cs="Arial"/>
        </w:rPr>
        <w:t>8.5</w:t>
      </w:r>
      <w:r w:rsidRPr="00D13676">
        <w:rPr>
          <w:rFonts w:cs="Arial"/>
        </w:rPr>
        <w:tab/>
        <w:t>Gain a sufficient understanding of the different literary traditions and movements out of which the novels arise, and how these in turn might be articulated within, and interrogative of, broader transnational and postcolonial frameworks.</w:t>
      </w:r>
    </w:p>
    <w:p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rsidR="00D13676" w:rsidRPr="00D13676" w:rsidRDefault="00D13676" w:rsidP="00D13676">
      <w:pPr>
        <w:spacing w:after="120" w:line="240" w:lineRule="auto"/>
        <w:ind w:left="540" w:right="260" w:hanging="540"/>
        <w:jc w:val="both"/>
        <w:rPr>
          <w:rFonts w:cs="Arial"/>
        </w:rPr>
      </w:pPr>
      <w:r w:rsidRPr="00D13676">
        <w:rPr>
          <w:rFonts w:cs="Arial"/>
        </w:rPr>
        <w:t>9.1</w:t>
      </w:r>
      <w:r w:rsidRPr="00D13676">
        <w:rPr>
          <w:rFonts w:cs="Arial"/>
        </w:rPr>
        <w:tab/>
        <w:t xml:space="preserve">Apply close reading techniques to a range of literary texts and to make complex comparisons </w:t>
      </w:r>
      <w:proofErr w:type="gramStart"/>
      <w:r w:rsidRPr="00D13676">
        <w:rPr>
          <w:rFonts w:cs="Arial"/>
        </w:rPr>
        <w:t>between</w:t>
      </w:r>
      <w:proofErr w:type="gramEnd"/>
      <w:r w:rsidRPr="00D13676">
        <w:rPr>
          <w:rFonts w:cs="Arial"/>
        </w:rPr>
        <w:t xml:space="preserve"> them.</w:t>
      </w:r>
    </w:p>
    <w:p w:rsidR="00D13676" w:rsidRPr="00D13676" w:rsidRDefault="00D13676" w:rsidP="00D13676">
      <w:pPr>
        <w:spacing w:after="120" w:line="240" w:lineRule="auto"/>
        <w:ind w:left="540" w:right="260" w:hanging="540"/>
        <w:jc w:val="both"/>
        <w:rPr>
          <w:rFonts w:cs="Arial"/>
        </w:rPr>
      </w:pPr>
      <w:r w:rsidRPr="00D13676">
        <w:rPr>
          <w:rFonts w:cs="Arial"/>
        </w:rPr>
        <w:t>9.2</w:t>
      </w:r>
      <w:r w:rsidRPr="00D13676">
        <w:rPr>
          <w:rFonts w:cs="Arial"/>
        </w:rPr>
        <w:tab/>
        <w:t>Demonstrate the skills necessary for participating in group discussions and giving oral presentations.</w:t>
      </w:r>
    </w:p>
    <w:p w:rsidR="00D13676" w:rsidRPr="00D13676" w:rsidRDefault="00D13676" w:rsidP="00D13676">
      <w:pPr>
        <w:spacing w:after="120" w:line="240" w:lineRule="auto"/>
        <w:ind w:left="540" w:right="260" w:hanging="540"/>
        <w:jc w:val="both"/>
        <w:rPr>
          <w:rFonts w:cs="Arial"/>
        </w:rPr>
      </w:pPr>
      <w:r w:rsidRPr="00D13676">
        <w:rPr>
          <w:rFonts w:cs="Arial"/>
        </w:rPr>
        <w:t>9.3</w:t>
      </w:r>
      <w:r w:rsidRPr="00D13676">
        <w:rPr>
          <w:rFonts w:cs="Arial"/>
        </w:rPr>
        <w:tab/>
        <w:t>Demonstrate an increased capacity for self-directed research and the ability to discuss, evaluate and creatively deploy secondary critical and theoretical perspectives.</w:t>
      </w:r>
    </w:p>
    <w:p w:rsidR="00D13676" w:rsidRPr="00D13676" w:rsidRDefault="00D13676" w:rsidP="00D13676">
      <w:pPr>
        <w:spacing w:after="120" w:line="240" w:lineRule="auto"/>
        <w:ind w:left="540" w:right="260" w:hanging="540"/>
        <w:jc w:val="both"/>
        <w:rPr>
          <w:rFonts w:cs="Arial"/>
        </w:rPr>
      </w:pPr>
      <w:r w:rsidRPr="00D13676">
        <w:rPr>
          <w:rFonts w:cs="Arial"/>
        </w:rPr>
        <w:t>9.4</w:t>
      </w:r>
      <w:r w:rsidRPr="00D13676">
        <w:rPr>
          <w:rFonts w:cs="Arial"/>
        </w:rPr>
        <w:tab/>
        <w:t>Construct original, articulate and well-substantiated arguments.</w:t>
      </w:r>
    </w:p>
    <w:p w:rsidR="00D13676" w:rsidRDefault="00D13676">
      <w:pPr>
        <w:rPr>
          <w:rFonts w:cs="Arial"/>
        </w:rPr>
      </w:pPr>
      <w:r>
        <w:rPr>
          <w:rFonts w:cs="Arial"/>
        </w:rPr>
        <w:br w:type="page"/>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lastRenderedPageBreak/>
        <w:t>A synopsis of the curriculum</w:t>
      </w:r>
    </w:p>
    <w:p w:rsidR="00C57028" w:rsidRPr="008B7D28" w:rsidRDefault="00D13676" w:rsidP="00696FF5">
      <w:pPr>
        <w:spacing w:after="120" w:line="240" w:lineRule="auto"/>
        <w:ind w:left="567" w:right="260"/>
        <w:jc w:val="both"/>
        <w:rPr>
          <w:rFonts w:cs="Arial"/>
          <w:iCs/>
        </w:rPr>
      </w:pPr>
      <w:r w:rsidRPr="000424A0">
        <w:rPr>
          <w:rFonts w:cs="Arial"/>
        </w:rPr>
        <w:t xml:space="preserve">This </w:t>
      </w:r>
      <w:r>
        <w:rPr>
          <w:rFonts w:cs="Arial"/>
        </w:rPr>
        <w:t>module</w:t>
      </w:r>
      <w:r w:rsidRPr="000424A0">
        <w:rPr>
          <w:rFonts w:cs="Arial"/>
        </w:rPr>
        <w:t xml:space="preserve"> explores the intersections between nation, narration and globalisation in the twentieth and twenty-first century novel.  It will focus this exploration through textual representations of ‘the stranger’, a figure theorised since the beginning of the twentieth century as symptomatic of modernity in European cultures, and more recently by postcolonial critics as the paradigm through which the effects of globalisation are ‘encountered’ in contemporary ‘multicultural’ national and transnational spaces.  Students will be encouraged to analyse the historical and conceptual relations between novel and nation and the particular ways in which the body of ‘the stranger’ has been reified through them.  At the same time, they will be invited to consider ‘the stranger’ as a disorientating embodiment of distance and proximity, and to evaluate how this dynamic constructs and deconstructs the form and boundaries of the novel as a genre, and the surrounding familial, national and racial paradigms of belonging.  Through discussions of the theoretical work of writers such as Georg Simmel, Freud, Fanon, Edward Said, Judith Butler, </w:t>
      </w:r>
      <w:proofErr w:type="spellStart"/>
      <w:r w:rsidRPr="000424A0">
        <w:rPr>
          <w:rFonts w:cs="Arial"/>
        </w:rPr>
        <w:t>Zygmunt</w:t>
      </w:r>
      <w:proofErr w:type="spellEnd"/>
      <w:r w:rsidRPr="000424A0">
        <w:rPr>
          <w:rFonts w:cs="Arial"/>
        </w:rPr>
        <w:t xml:space="preserve"> Bauman, and </w:t>
      </w:r>
      <w:proofErr w:type="spellStart"/>
      <w:r w:rsidRPr="000424A0">
        <w:rPr>
          <w:rFonts w:cs="Arial"/>
        </w:rPr>
        <w:t>Homi</w:t>
      </w:r>
      <w:proofErr w:type="spellEnd"/>
      <w:r w:rsidRPr="000424A0">
        <w:rPr>
          <w:rFonts w:cs="Arial"/>
        </w:rPr>
        <w:t xml:space="preserve"> </w:t>
      </w:r>
      <w:proofErr w:type="spellStart"/>
      <w:r w:rsidRPr="000424A0">
        <w:rPr>
          <w:rFonts w:cs="Arial"/>
        </w:rPr>
        <w:t>Bhabha</w:t>
      </w:r>
      <w:proofErr w:type="spellEnd"/>
      <w:r w:rsidRPr="000424A0">
        <w:rPr>
          <w:rFonts w:cs="Arial"/>
        </w:rPr>
        <w:t xml:space="preserve">, students will be asked especially to consider the mutual effects of estrangement across gendered, racial, and colonial divides.  The broad aims of the course are to </w:t>
      </w:r>
      <w:proofErr w:type="spellStart"/>
      <w:r w:rsidRPr="000424A0">
        <w:rPr>
          <w:rFonts w:cs="Arial"/>
        </w:rPr>
        <w:t>problematise</w:t>
      </w:r>
      <w:proofErr w:type="spellEnd"/>
      <w:r w:rsidRPr="000424A0">
        <w:rPr>
          <w:rFonts w:cs="Arial"/>
        </w:rPr>
        <w:t xml:space="preserve"> ‘the stranger’ as a literary means of orientating the individual and the nation; to situate the twentieth and twenty-first century novel as a symptomatic site for ‘strange encounters’; and to understand the extent to which it poses ‘strangeness’ and ‘homeliness’ as inseparable, necessary and possible acts of narration.</w:t>
      </w:r>
      <w:r w:rsidR="00C57028" w:rsidRPr="008B7D28">
        <w:rPr>
          <w:rFonts w:cs="Arial"/>
          <w:iCs/>
        </w:rPr>
        <w:t xml:space="preserve"> </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rsidR="00D13676" w:rsidRPr="00D13676" w:rsidRDefault="00D13676" w:rsidP="00D13676">
      <w:pPr>
        <w:spacing w:after="120" w:line="240" w:lineRule="auto"/>
        <w:ind w:left="567" w:right="260"/>
        <w:jc w:val="both"/>
        <w:rPr>
          <w:rFonts w:cs="Arial"/>
        </w:rPr>
      </w:pPr>
      <w:r w:rsidRPr="00D13676">
        <w:rPr>
          <w:rFonts w:cs="Arial"/>
        </w:rPr>
        <w:t xml:space="preserve">Conrad, Joseph, (1902). Heart of Darkness </w:t>
      </w:r>
    </w:p>
    <w:p w:rsidR="00D13676" w:rsidRPr="00D13676" w:rsidRDefault="00D13676" w:rsidP="00D13676">
      <w:pPr>
        <w:spacing w:after="120" w:line="240" w:lineRule="auto"/>
        <w:ind w:left="567" w:right="260"/>
        <w:jc w:val="both"/>
        <w:rPr>
          <w:rFonts w:cs="Arial"/>
        </w:rPr>
      </w:pPr>
      <w:r w:rsidRPr="00D13676">
        <w:rPr>
          <w:rFonts w:cs="Arial"/>
        </w:rPr>
        <w:t xml:space="preserve">Larsen, Nella, (1929). Passing </w:t>
      </w:r>
    </w:p>
    <w:p w:rsidR="00D13676" w:rsidRPr="00D13676" w:rsidRDefault="00D13676" w:rsidP="00D13676">
      <w:pPr>
        <w:spacing w:after="120" w:line="240" w:lineRule="auto"/>
        <w:ind w:left="567" w:right="260"/>
        <w:jc w:val="both"/>
        <w:rPr>
          <w:rFonts w:cs="Arial"/>
        </w:rPr>
      </w:pPr>
      <w:r w:rsidRPr="00D13676">
        <w:rPr>
          <w:rFonts w:cs="Arial"/>
        </w:rPr>
        <w:t xml:space="preserve">Camus, Albert, (1942). The Stranger  </w:t>
      </w:r>
    </w:p>
    <w:p w:rsidR="00D13676" w:rsidRPr="00D13676" w:rsidRDefault="00D13676" w:rsidP="00D13676">
      <w:pPr>
        <w:spacing w:after="120" w:line="240" w:lineRule="auto"/>
        <w:ind w:left="567" w:right="260"/>
        <w:jc w:val="both"/>
        <w:rPr>
          <w:rFonts w:cs="Arial"/>
        </w:rPr>
      </w:pPr>
      <w:r w:rsidRPr="00D13676">
        <w:rPr>
          <w:rFonts w:cs="Arial"/>
        </w:rPr>
        <w:t xml:space="preserve">Rhys, Jean, (1966). Wide Sargasso Sea </w:t>
      </w:r>
    </w:p>
    <w:p w:rsidR="00D13676" w:rsidRPr="00D13676" w:rsidRDefault="00D13676" w:rsidP="00D13676">
      <w:pPr>
        <w:spacing w:after="120" w:line="240" w:lineRule="auto"/>
        <w:ind w:left="567" w:right="260"/>
        <w:jc w:val="both"/>
        <w:rPr>
          <w:rFonts w:cs="Arial"/>
        </w:rPr>
      </w:pPr>
      <w:r w:rsidRPr="00D13676">
        <w:rPr>
          <w:rFonts w:cs="Arial"/>
        </w:rPr>
        <w:t xml:space="preserve">Morrison, (1987). Toni, Beloved </w:t>
      </w:r>
    </w:p>
    <w:p w:rsidR="00D13676" w:rsidRPr="00D13676" w:rsidRDefault="00D13676" w:rsidP="00D13676">
      <w:pPr>
        <w:spacing w:after="120" w:line="240" w:lineRule="auto"/>
        <w:ind w:left="567" w:right="260"/>
        <w:jc w:val="both"/>
        <w:rPr>
          <w:rFonts w:cs="Arial"/>
        </w:rPr>
      </w:pPr>
      <w:r w:rsidRPr="00D13676">
        <w:rPr>
          <w:rFonts w:cs="Arial"/>
        </w:rPr>
        <w:t xml:space="preserve">Coetzee, J M, (1999). Disgrace </w:t>
      </w:r>
    </w:p>
    <w:p w:rsidR="00D13676" w:rsidRPr="00D13676" w:rsidRDefault="00D13676" w:rsidP="00D13676">
      <w:pPr>
        <w:spacing w:after="120" w:line="240" w:lineRule="auto"/>
        <w:ind w:left="567" w:right="260"/>
        <w:jc w:val="both"/>
        <w:rPr>
          <w:rFonts w:cs="Arial"/>
        </w:rPr>
      </w:pPr>
      <w:proofErr w:type="spellStart"/>
      <w:r w:rsidRPr="00D13676">
        <w:rPr>
          <w:rFonts w:cs="Arial"/>
        </w:rPr>
        <w:t>Sebald</w:t>
      </w:r>
      <w:proofErr w:type="spellEnd"/>
      <w:r w:rsidRPr="00D13676">
        <w:rPr>
          <w:rFonts w:cs="Arial"/>
        </w:rPr>
        <w:t xml:space="preserve">, W G, (1996). The Emigrants </w:t>
      </w:r>
    </w:p>
    <w:p w:rsidR="00D13676" w:rsidRPr="00D13676" w:rsidRDefault="00D13676" w:rsidP="00D13676">
      <w:pPr>
        <w:spacing w:after="120" w:line="240" w:lineRule="auto"/>
        <w:ind w:left="567" w:right="260"/>
        <w:jc w:val="both"/>
        <w:rPr>
          <w:rFonts w:cs="Arial"/>
        </w:rPr>
      </w:pPr>
      <w:r w:rsidRPr="00D13676">
        <w:rPr>
          <w:rFonts w:cs="Arial"/>
        </w:rPr>
        <w:t xml:space="preserve">Ghosh, </w:t>
      </w:r>
      <w:proofErr w:type="spellStart"/>
      <w:r w:rsidRPr="00D13676">
        <w:rPr>
          <w:rFonts w:cs="Arial"/>
        </w:rPr>
        <w:t>Amitav</w:t>
      </w:r>
      <w:proofErr w:type="spellEnd"/>
      <w:r w:rsidRPr="00D13676">
        <w:rPr>
          <w:rFonts w:cs="Arial"/>
        </w:rPr>
        <w:t xml:space="preserve">, (1992). The Shadow Lines </w:t>
      </w:r>
    </w:p>
    <w:p w:rsidR="009A2D37" w:rsidRDefault="00D13676" w:rsidP="00D13676">
      <w:pPr>
        <w:spacing w:after="120" w:line="240" w:lineRule="auto"/>
        <w:ind w:left="567" w:right="260"/>
        <w:jc w:val="both"/>
        <w:rPr>
          <w:rFonts w:cs="Arial"/>
        </w:rPr>
      </w:pPr>
      <w:r w:rsidRPr="00D13676">
        <w:rPr>
          <w:rFonts w:cs="Arial"/>
        </w:rPr>
        <w:t>Ishiguro, Kazuo, (2005). Never Let Me Go</w:t>
      </w:r>
    </w:p>
    <w:p w:rsidR="00A8045F" w:rsidRPr="008B7D28" w:rsidRDefault="00A8045F" w:rsidP="00D13676">
      <w:pPr>
        <w:spacing w:after="120" w:line="240" w:lineRule="auto"/>
        <w:ind w:left="567" w:right="260"/>
        <w:jc w:val="both"/>
        <w:rPr>
          <w:rFonts w:cs="Arial"/>
        </w:rPr>
      </w:pPr>
    </w:p>
    <w:p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D13676">
        <w:rPr>
          <w:rFonts w:cs="Arial"/>
          <w:iCs/>
        </w:rPr>
        <w:t>30</w:t>
      </w:r>
    </w:p>
    <w:p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D13676">
        <w:rPr>
          <w:rFonts w:cs="Arial"/>
          <w:iCs/>
        </w:rPr>
        <w:t>270</w:t>
      </w:r>
    </w:p>
    <w:p w:rsidR="00C57028" w:rsidRPr="008B7D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D13676">
        <w:rPr>
          <w:rFonts w:cs="Arial"/>
          <w:iCs/>
        </w:rPr>
        <w:t>300</w:t>
      </w:r>
    </w:p>
    <w:p w:rsidR="00D13676" w:rsidRDefault="00D13676" w:rsidP="00D13676">
      <w:pPr>
        <w:spacing w:after="120" w:line="240" w:lineRule="auto"/>
        <w:ind w:left="567" w:right="260"/>
        <w:rPr>
          <w:rFonts w:cs="Arial"/>
          <w:iCs/>
        </w:rPr>
      </w:pPr>
    </w:p>
    <w:p w:rsidR="00D13676" w:rsidRDefault="00D13676" w:rsidP="00D13676">
      <w:pPr>
        <w:spacing w:after="120" w:line="240" w:lineRule="auto"/>
        <w:ind w:left="567" w:right="260"/>
        <w:rPr>
          <w:rFonts w:cs="Arial"/>
          <w:iCs/>
        </w:rPr>
      </w:pPr>
    </w:p>
    <w:p w:rsidR="00D13676" w:rsidRDefault="00D13676" w:rsidP="00D13676">
      <w:pPr>
        <w:spacing w:after="120" w:line="240" w:lineRule="auto"/>
        <w:ind w:left="567" w:right="260"/>
        <w:rPr>
          <w:rFonts w:cs="Arial"/>
          <w:iCs/>
        </w:rPr>
      </w:pPr>
    </w:p>
    <w:p w:rsidR="00D13676" w:rsidRDefault="00D13676" w:rsidP="00D13676">
      <w:pPr>
        <w:spacing w:after="120" w:line="240" w:lineRule="auto"/>
        <w:ind w:left="567" w:right="260"/>
        <w:rPr>
          <w:rFonts w:cs="Arial"/>
          <w:iCs/>
        </w:rPr>
      </w:pPr>
    </w:p>
    <w:p w:rsidR="00D13676" w:rsidRDefault="00D13676" w:rsidP="00D13676">
      <w:pPr>
        <w:spacing w:after="120" w:line="240" w:lineRule="auto"/>
        <w:ind w:left="567" w:right="260"/>
        <w:rPr>
          <w:rFonts w:cs="Arial"/>
          <w:iCs/>
        </w:rPr>
      </w:pPr>
    </w:p>
    <w:p w:rsidR="00D13676" w:rsidRDefault="00D13676" w:rsidP="00D13676">
      <w:pPr>
        <w:spacing w:after="120" w:line="240" w:lineRule="auto"/>
        <w:ind w:left="567" w:right="260"/>
        <w:rPr>
          <w:rFonts w:cs="Arial"/>
          <w:iCs/>
        </w:rPr>
      </w:pPr>
    </w:p>
    <w:p w:rsidR="00D13676" w:rsidRDefault="00D13676" w:rsidP="00D13676">
      <w:pPr>
        <w:spacing w:after="120" w:line="240" w:lineRule="auto"/>
        <w:ind w:left="567" w:right="260"/>
        <w:rPr>
          <w:rFonts w:cs="Arial"/>
          <w:iCs/>
        </w:rPr>
      </w:pPr>
    </w:p>
    <w:p w:rsidR="00D13676" w:rsidRDefault="00D13676" w:rsidP="00D13676">
      <w:pPr>
        <w:spacing w:after="120" w:line="240" w:lineRule="auto"/>
        <w:ind w:left="567" w:right="260"/>
        <w:rPr>
          <w:rFonts w:cs="Arial"/>
          <w:iCs/>
        </w:rPr>
      </w:pPr>
    </w:p>
    <w:p w:rsidR="00D13676" w:rsidRPr="00D13676" w:rsidRDefault="00D13676" w:rsidP="00D13676">
      <w:pPr>
        <w:spacing w:after="120" w:line="240" w:lineRule="auto"/>
        <w:ind w:left="567" w:right="260"/>
        <w:rPr>
          <w:rFonts w:cs="Arial"/>
          <w:iCs/>
        </w:rPr>
      </w:pPr>
    </w:p>
    <w:p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rsidR="00D13676" w:rsidRPr="002D7BEF" w:rsidRDefault="00D13676" w:rsidP="00D13676">
      <w:pPr>
        <w:spacing w:after="120" w:line="240" w:lineRule="auto"/>
        <w:ind w:left="567" w:right="260"/>
        <w:jc w:val="both"/>
        <w:rPr>
          <w:rFonts w:cs="Arial"/>
          <w:iCs/>
        </w:rPr>
      </w:pPr>
      <w:r w:rsidRPr="002D7BEF">
        <w:rPr>
          <w:rFonts w:cs="Arial"/>
          <w:iCs/>
        </w:rPr>
        <w:t xml:space="preserve">Two essays </w:t>
      </w:r>
      <w:r w:rsidRPr="002D7BEF">
        <w:rPr>
          <w:rFonts w:cs="Arial"/>
          <w:iCs/>
        </w:rPr>
        <w:tab/>
      </w:r>
      <w:r w:rsidRPr="002D7BEF">
        <w:rPr>
          <w:rFonts w:cs="Arial"/>
          <w:iCs/>
        </w:rPr>
        <w:tab/>
        <w:t>6,000 words</w:t>
      </w:r>
      <w:r w:rsidRPr="002D7BEF">
        <w:rPr>
          <w:rFonts w:cs="Arial"/>
          <w:iCs/>
        </w:rPr>
        <w:tab/>
      </w:r>
      <w:r w:rsidRPr="002D7BEF">
        <w:rPr>
          <w:rFonts w:cs="Arial"/>
          <w:iCs/>
        </w:rPr>
        <w:tab/>
      </w:r>
      <w:r>
        <w:rPr>
          <w:rFonts w:cs="Arial"/>
          <w:iCs/>
        </w:rPr>
        <w:tab/>
      </w:r>
      <w:r w:rsidRPr="002D7BEF">
        <w:rPr>
          <w:rFonts w:cs="Arial"/>
          <w:iCs/>
        </w:rPr>
        <w:tab/>
      </w:r>
      <w:r w:rsidRPr="002D7BEF">
        <w:rPr>
          <w:rFonts w:cs="Arial"/>
          <w:iCs/>
        </w:rPr>
        <w:tab/>
        <w:t xml:space="preserve">90% </w:t>
      </w:r>
    </w:p>
    <w:p w:rsidR="00D13676" w:rsidRPr="002D7BEF" w:rsidRDefault="00D13676" w:rsidP="00D13676">
      <w:pPr>
        <w:spacing w:after="120" w:line="240" w:lineRule="auto"/>
        <w:ind w:left="567" w:right="260"/>
        <w:jc w:val="both"/>
        <w:rPr>
          <w:rFonts w:cs="Arial"/>
          <w:iCs/>
        </w:rPr>
      </w:pPr>
      <w:r w:rsidRPr="002D7BEF">
        <w:rPr>
          <w:rFonts w:cs="Arial"/>
          <w:iCs/>
        </w:rPr>
        <w:t xml:space="preserve">Seminar performance </w:t>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t>10%</w:t>
      </w:r>
    </w:p>
    <w:p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rsidR="00C57028" w:rsidRDefault="00BC5144" w:rsidP="00C57028">
      <w:pPr>
        <w:spacing w:after="120" w:line="240" w:lineRule="auto"/>
        <w:ind w:left="567" w:right="260"/>
        <w:jc w:val="both"/>
        <w:rPr>
          <w:rFonts w:cs="Arial"/>
          <w:iCs/>
        </w:rPr>
      </w:pPr>
      <w:r w:rsidRPr="00D13676">
        <w:rPr>
          <w:rFonts w:cs="Arial"/>
          <w:iCs/>
        </w:rPr>
        <w:t>Like for Like.</w:t>
      </w:r>
      <w:r w:rsidR="00C57028" w:rsidRPr="008B7D28">
        <w:rPr>
          <w:rFonts w:cs="Arial"/>
          <w:iCs/>
        </w:rPr>
        <w:t xml:space="preserve"> </w:t>
      </w:r>
    </w:p>
    <w:p w:rsidR="00A8045F" w:rsidRPr="008B7D28" w:rsidRDefault="00A8045F" w:rsidP="00C57028">
      <w:pPr>
        <w:spacing w:after="120" w:line="240" w:lineRule="auto"/>
        <w:ind w:left="567" w:right="260"/>
        <w:jc w:val="both"/>
        <w:rPr>
          <w:rFonts w:cs="Arial"/>
          <w:b/>
          <w:iCs/>
        </w:rPr>
      </w:pPr>
    </w:p>
    <w:p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8552" w:type="dxa"/>
        <w:tblInd w:w="108" w:type="dxa"/>
        <w:tblLayout w:type="fixed"/>
        <w:tblLook w:val="04A0" w:firstRow="1" w:lastRow="0" w:firstColumn="1" w:lastColumn="0" w:noHBand="0" w:noVBand="1"/>
      </w:tblPr>
      <w:tblGrid>
        <w:gridCol w:w="3629"/>
        <w:gridCol w:w="547"/>
        <w:gridCol w:w="547"/>
        <w:gridCol w:w="547"/>
        <w:gridCol w:w="547"/>
        <w:gridCol w:w="547"/>
        <w:gridCol w:w="547"/>
        <w:gridCol w:w="547"/>
        <w:gridCol w:w="547"/>
        <w:gridCol w:w="547"/>
      </w:tblGrid>
      <w:tr w:rsidR="00AA2A61" w:rsidRPr="008B7D28" w:rsidTr="00A8045F">
        <w:trPr>
          <w:trHeight w:val="368"/>
        </w:trPr>
        <w:tc>
          <w:tcPr>
            <w:tcW w:w="3629" w:type="dxa"/>
            <w:shd w:val="clear" w:color="auto" w:fill="D9D9D9" w:themeFill="background1" w:themeFillShade="D9"/>
          </w:tcPr>
          <w:p w:rsidR="00AA2A61" w:rsidRPr="008B7D28" w:rsidRDefault="00AA2A61" w:rsidP="00D13676">
            <w:pPr>
              <w:spacing w:after="120"/>
              <w:ind w:left="33"/>
              <w:rPr>
                <w:rFonts w:cs="Arial"/>
                <w:b/>
              </w:rPr>
            </w:pPr>
            <w:r w:rsidRPr="008B7D28">
              <w:rPr>
                <w:rFonts w:cs="Arial"/>
                <w:b/>
              </w:rPr>
              <w:t>Module learning outcome</w:t>
            </w:r>
          </w:p>
        </w:tc>
        <w:tc>
          <w:tcPr>
            <w:tcW w:w="547" w:type="dxa"/>
          </w:tcPr>
          <w:p w:rsidR="00AA2A61" w:rsidRPr="008B7D28" w:rsidRDefault="00AA2A61" w:rsidP="00D13676">
            <w:pPr>
              <w:spacing w:after="120"/>
              <w:rPr>
                <w:rFonts w:cs="Arial"/>
              </w:rPr>
            </w:pPr>
            <w:r w:rsidRPr="008B7D28">
              <w:rPr>
                <w:rFonts w:cs="Arial"/>
              </w:rPr>
              <w:t>8.1</w:t>
            </w:r>
          </w:p>
        </w:tc>
        <w:tc>
          <w:tcPr>
            <w:tcW w:w="547" w:type="dxa"/>
          </w:tcPr>
          <w:p w:rsidR="00AA2A61" w:rsidRPr="008B7D28" w:rsidRDefault="00AA2A61" w:rsidP="00D13676">
            <w:pPr>
              <w:spacing w:after="120"/>
              <w:rPr>
                <w:rFonts w:cs="Arial"/>
              </w:rPr>
            </w:pPr>
            <w:r w:rsidRPr="008B7D28">
              <w:rPr>
                <w:rFonts w:cs="Arial"/>
              </w:rPr>
              <w:t>8.2</w:t>
            </w:r>
          </w:p>
        </w:tc>
        <w:tc>
          <w:tcPr>
            <w:tcW w:w="547" w:type="dxa"/>
          </w:tcPr>
          <w:p w:rsidR="00AA2A61" w:rsidRPr="008B7D28" w:rsidRDefault="00AA2A61" w:rsidP="00D13676">
            <w:pPr>
              <w:spacing w:after="120"/>
              <w:rPr>
                <w:rFonts w:cs="Arial"/>
              </w:rPr>
            </w:pPr>
            <w:r w:rsidRPr="008B7D28">
              <w:rPr>
                <w:rFonts w:cs="Arial"/>
              </w:rPr>
              <w:t>8.3</w:t>
            </w:r>
          </w:p>
        </w:tc>
        <w:tc>
          <w:tcPr>
            <w:tcW w:w="547" w:type="dxa"/>
          </w:tcPr>
          <w:p w:rsidR="00AA2A61" w:rsidRPr="008B7D28" w:rsidRDefault="00AA2A61" w:rsidP="00D13676">
            <w:pPr>
              <w:spacing w:after="120"/>
              <w:rPr>
                <w:rFonts w:cs="Arial"/>
              </w:rPr>
            </w:pPr>
            <w:r w:rsidRPr="008B7D28">
              <w:rPr>
                <w:rFonts w:cs="Arial"/>
              </w:rPr>
              <w:t>8.4</w:t>
            </w:r>
          </w:p>
        </w:tc>
        <w:tc>
          <w:tcPr>
            <w:tcW w:w="547" w:type="dxa"/>
          </w:tcPr>
          <w:p w:rsidR="00AA2A61" w:rsidRPr="008B7D28" w:rsidRDefault="00AA2A61" w:rsidP="00D13676">
            <w:pPr>
              <w:spacing w:after="120"/>
              <w:rPr>
                <w:rFonts w:cs="Arial"/>
              </w:rPr>
            </w:pPr>
            <w:r w:rsidRPr="008B7D28">
              <w:rPr>
                <w:rFonts w:cs="Arial"/>
              </w:rPr>
              <w:t>8.5</w:t>
            </w:r>
          </w:p>
        </w:tc>
        <w:tc>
          <w:tcPr>
            <w:tcW w:w="547" w:type="dxa"/>
          </w:tcPr>
          <w:p w:rsidR="00AA2A61" w:rsidRPr="008B7D28" w:rsidRDefault="00AA2A61" w:rsidP="00D13676">
            <w:pPr>
              <w:spacing w:after="120"/>
              <w:rPr>
                <w:rFonts w:cs="Arial"/>
              </w:rPr>
            </w:pPr>
            <w:r w:rsidRPr="008B7D28">
              <w:rPr>
                <w:rFonts w:cs="Arial"/>
              </w:rPr>
              <w:t>8.1</w:t>
            </w:r>
          </w:p>
        </w:tc>
        <w:tc>
          <w:tcPr>
            <w:tcW w:w="547" w:type="dxa"/>
          </w:tcPr>
          <w:p w:rsidR="00AA2A61" w:rsidRPr="008B7D28" w:rsidRDefault="00AA2A61" w:rsidP="00D13676">
            <w:pPr>
              <w:spacing w:after="120"/>
              <w:rPr>
                <w:rFonts w:cs="Arial"/>
              </w:rPr>
            </w:pPr>
            <w:r w:rsidRPr="008B7D28">
              <w:rPr>
                <w:rFonts w:cs="Arial"/>
              </w:rPr>
              <w:t>8.2</w:t>
            </w:r>
          </w:p>
        </w:tc>
        <w:tc>
          <w:tcPr>
            <w:tcW w:w="547" w:type="dxa"/>
          </w:tcPr>
          <w:p w:rsidR="00AA2A61" w:rsidRPr="008B7D28" w:rsidRDefault="00AA2A61" w:rsidP="00D13676">
            <w:pPr>
              <w:spacing w:after="120"/>
              <w:rPr>
                <w:rFonts w:cs="Arial"/>
              </w:rPr>
            </w:pPr>
            <w:r w:rsidRPr="008B7D28">
              <w:rPr>
                <w:rFonts w:cs="Arial"/>
              </w:rPr>
              <w:t>8.3</w:t>
            </w:r>
          </w:p>
        </w:tc>
        <w:tc>
          <w:tcPr>
            <w:tcW w:w="547" w:type="dxa"/>
          </w:tcPr>
          <w:p w:rsidR="00AA2A61" w:rsidRPr="008B7D28" w:rsidRDefault="00AA2A61" w:rsidP="00D13676">
            <w:pPr>
              <w:spacing w:after="120"/>
              <w:rPr>
                <w:rFonts w:cs="Arial"/>
              </w:rPr>
            </w:pPr>
            <w:r w:rsidRPr="008B7D28">
              <w:rPr>
                <w:rFonts w:cs="Arial"/>
              </w:rPr>
              <w:t>8.4</w:t>
            </w:r>
          </w:p>
        </w:tc>
      </w:tr>
      <w:tr w:rsidR="00AA2A61" w:rsidRPr="008B7D28" w:rsidTr="00A8045F">
        <w:trPr>
          <w:trHeight w:val="70"/>
        </w:trPr>
        <w:tc>
          <w:tcPr>
            <w:tcW w:w="3629" w:type="dxa"/>
            <w:shd w:val="clear" w:color="auto" w:fill="D9D9D9" w:themeFill="background1" w:themeFillShade="D9"/>
          </w:tcPr>
          <w:p w:rsidR="00AA2A61" w:rsidRPr="008B7D28" w:rsidRDefault="00AA2A61" w:rsidP="00D13676">
            <w:pPr>
              <w:spacing w:after="120"/>
              <w:rPr>
                <w:rFonts w:cs="Arial"/>
                <w:b/>
              </w:rPr>
            </w:pPr>
            <w:r w:rsidRPr="008B7D28">
              <w:rPr>
                <w:rFonts w:cs="Arial"/>
                <w:b/>
              </w:rPr>
              <w:t>Learning/ teaching method</w:t>
            </w:r>
          </w:p>
        </w:tc>
        <w:tc>
          <w:tcPr>
            <w:tcW w:w="547" w:type="dxa"/>
          </w:tcPr>
          <w:p w:rsidR="00AA2A61" w:rsidRPr="008B7D28" w:rsidRDefault="00AA2A61" w:rsidP="00D13676">
            <w:pPr>
              <w:spacing w:after="120"/>
              <w:rPr>
                <w:rFonts w:cs="Arial"/>
                <w:b/>
              </w:rPr>
            </w:pPr>
          </w:p>
        </w:tc>
        <w:tc>
          <w:tcPr>
            <w:tcW w:w="547" w:type="dxa"/>
          </w:tcPr>
          <w:p w:rsidR="00AA2A61" w:rsidRPr="008B7D28" w:rsidRDefault="00AA2A61" w:rsidP="00D13676">
            <w:pPr>
              <w:spacing w:after="120"/>
              <w:rPr>
                <w:rFonts w:cs="Arial"/>
                <w:b/>
              </w:rPr>
            </w:pPr>
          </w:p>
        </w:tc>
        <w:tc>
          <w:tcPr>
            <w:tcW w:w="547" w:type="dxa"/>
          </w:tcPr>
          <w:p w:rsidR="00AA2A61" w:rsidRPr="008B7D28" w:rsidRDefault="00AA2A61" w:rsidP="00D13676">
            <w:pPr>
              <w:spacing w:after="120"/>
              <w:rPr>
                <w:rFonts w:cs="Arial"/>
                <w:b/>
              </w:rPr>
            </w:pPr>
          </w:p>
        </w:tc>
        <w:tc>
          <w:tcPr>
            <w:tcW w:w="547" w:type="dxa"/>
          </w:tcPr>
          <w:p w:rsidR="00AA2A61" w:rsidRPr="008B7D28" w:rsidRDefault="00AA2A61" w:rsidP="00D13676">
            <w:pPr>
              <w:spacing w:after="120"/>
              <w:rPr>
                <w:rFonts w:cs="Arial"/>
                <w:b/>
              </w:rPr>
            </w:pPr>
          </w:p>
        </w:tc>
        <w:tc>
          <w:tcPr>
            <w:tcW w:w="547" w:type="dxa"/>
          </w:tcPr>
          <w:p w:rsidR="00AA2A61" w:rsidRPr="008B7D28" w:rsidRDefault="00AA2A61" w:rsidP="00D13676">
            <w:pPr>
              <w:spacing w:after="120"/>
              <w:rPr>
                <w:rFonts w:cs="Arial"/>
                <w:b/>
              </w:rPr>
            </w:pPr>
          </w:p>
        </w:tc>
        <w:tc>
          <w:tcPr>
            <w:tcW w:w="547" w:type="dxa"/>
          </w:tcPr>
          <w:p w:rsidR="00AA2A61" w:rsidRPr="008B7D28" w:rsidRDefault="00AA2A61" w:rsidP="00D13676">
            <w:pPr>
              <w:spacing w:after="120"/>
              <w:rPr>
                <w:rFonts w:cs="Arial"/>
                <w:b/>
              </w:rPr>
            </w:pPr>
          </w:p>
        </w:tc>
        <w:tc>
          <w:tcPr>
            <w:tcW w:w="547" w:type="dxa"/>
          </w:tcPr>
          <w:p w:rsidR="00AA2A61" w:rsidRPr="008B7D28" w:rsidRDefault="00AA2A61" w:rsidP="00D13676">
            <w:pPr>
              <w:spacing w:after="120"/>
              <w:rPr>
                <w:rFonts w:cs="Arial"/>
                <w:b/>
              </w:rPr>
            </w:pPr>
          </w:p>
        </w:tc>
        <w:tc>
          <w:tcPr>
            <w:tcW w:w="547" w:type="dxa"/>
          </w:tcPr>
          <w:p w:rsidR="00AA2A61" w:rsidRPr="008B7D28" w:rsidRDefault="00AA2A61" w:rsidP="00D13676">
            <w:pPr>
              <w:spacing w:after="120"/>
              <w:rPr>
                <w:rFonts w:cs="Arial"/>
                <w:b/>
              </w:rPr>
            </w:pPr>
          </w:p>
        </w:tc>
        <w:tc>
          <w:tcPr>
            <w:tcW w:w="547" w:type="dxa"/>
          </w:tcPr>
          <w:p w:rsidR="00AA2A61" w:rsidRPr="008B7D28" w:rsidRDefault="00AA2A61" w:rsidP="00D13676">
            <w:pPr>
              <w:spacing w:after="120"/>
              <w:rPr>
                <w:rFonts w:cs="Arial"/>
                <w:b/>
              </w:rPr>
            </w:pPr>
          </w:p>
        </w:tc>
      </w:tr>
      <w:tr w:rsidR="00AA2A61" w:rsidRPr="008B7D28" w:rsidTr="00A8045F">
        <w:trPr>
          <w:trHeight w:val="347"/>
        </w:trPr>
        <w:tc>
          <w:tcPr>
            <w:tcW w:w="3629" w:type="dxa"/>
          </w:tcPr>
          <w:p w:rsidR="00AA2A61" w:rsidRPr="008B7D28" w:rsidRDefault="00AA2A61" w:rsidP="00D13676">
            <w:pPr>
              <w:spacing w:after="120"/>
              <w:rPr>
                <w:rFonts w:cs="Arial"/>
              </w:rPr>
            </w:pPr>
            <w:r w:rsidRPr="008B7D28">
              <w:rPr>
                <w:rFonts w:cs="Arial"/>
              </w:rPr>
              <w:t>Private Study</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r>
      <w:tr w:rsidR="00AA2A61" w:rsidRPr="008B7D28" w:rsidTr="00A8045F">
        <w:trPr>
          <w:trHeight w:val="362"/>
        </w:trPr>
        <w:tc>
          <w:tcPr>
            <w:tcW w:w="3629" w:type="dxa"/>
          </w:tcPr>
          <w:p w:rsidR="00AA2A61" w:rsidRPr="008B7D28" w:rsidRDefault="00AA2A61" w:rsidP="00D13676">
            <w:pPr>
              <w:spacing w:after="120"/>
              <w:rPr>
                <w:rFonts w:cs="Arial"/>
              </w:rPr>
            </w:pPr>
            <w:r>
              <w:rPr>
                <w:rFonts w:cs="Arial"/>
              </w:rPr>
              <w:t xml:space="preserve">Seminars </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r>
      <w:tr w:rsidR="00AA2A61" w:rsidRPr="008B7D28" w:rsidTr="00A8045F">
        <w:trPr>
          <w:trHeight w:val="362"/>
        </w:trPr>
        <w:tc>
          <w:tcPr>
            <w:tcW w:w="3629" w:type="dxa"/>
          </w:tcPr>
          <w:p w:rsidR="00AA2A61" w:rsidRPr="008B7D28" w:rsidRDefault="00AA2A61" w:rsidP="00D13676">
            <w:pPr>
              <w:spacing w:after="120"/>
              <w:rPr>
                <w:rFonts w:cs="Arial"/>
              </w:rPr>
            </w:pPr>
            <w:r>
              <w:rPr>
                <w:rFonts w:cs="Arial"/>
              </w:rPr>
              <w:t>Lectures</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r>
      <w:tr w:rsidR="00AA2A61" w:rsidRPr="008B7D28" w:rsidTr="00A8045F">
        <w:trPr>
          <w:trHeight w:val="233"/>
        </w:trPr>
        <w:tc>
          <w:tcPr>
            <w:tcW w:w="3629" w:type="dxa"/>
            <w:shd w:val="clear" w:color="auto" w:fill="D9D9D9" w:themeFill="background1" w:themeFillShade="D9"/>
          </w:tcPr>
          <w:p w:rsidR="00AA2A61" w:rsidRPr="008B7D28" w:rsidRDefault="00AA2A61" w:rsidP="00D13676">
            <w:pPr>
              <w:spacing w:after="120"/>
              <w:rPr>
                <w:rFonts w:cs="Arial"/>
                <w:b/>
              </w:rPr>
            </w:pPr>
            <w:r w:rsidRPr="008B7D28">
              <w:rPr>
                <w:rFonts w:cs="Arial"/>
                <w:b/>
              </w:rPr>
              <w:t>Assessment method</w:t>
            </w:r>
          </w:p>
        </w:tc>
        <w:tc>
          <w:tcPr>
            <w:tcW w:w="547" w:type="dxa"/>
          </w:tcPr>
          <w:p w:rsidR="00AA2A61" w:rsidRPr="00302082" w:rsidRDefault="00AA2A61" w:rsidP="00D13676">
            <w:pPr>
              <w:spacing w:after="120"/>
              <w:rPr>
                <w:rFonts w:cs="Arial"/>
                <w:b/>
              </w:rPr>
            </w:pPr>
          </w:p>
        </w:tc>
        <w:tc>
          <w:tcPr>
            <w:tcW w:w="547" w:type="dxa"/>
          </w:tcPr>
          <w:p w:rsidR="00AA2A61" w:rsidRPr="00302082" w:rsidRDefault="00AA2A61" w:rsidP="00D13676">
            <w:pPr>
              <w:spacing w:after="120"/>
              <w:rPr>
                <w:rFonts w:cs="Arial"/>
                <w:b/>
              </w:rPr>
            </w:pPr>
          </w:p>
        </w:tc>
        <w:tc>
          <w:tcPr>
            <w:tcW w:w="547" w:type="dxa"/>
          </w:tcPr>
          <w:p w:rsidR="00AA2A61" w:rsidRPr="00302082" w:rsidRDefault="00AA2A61" w:rsidP="00D13676">
            <w:pPr>
              <w:spacing w:after="120"/>
              <w:rPr>
                <w:rFonts w:cs="Arial"/>
                <w:b/>
              </w:rPr>
            </w:pPr>
          </w:p>
        </w:tc>
        <w:tc>
          <w:tcPr>
            <w:tcW w:w="547" w:type="dxa"/>
          </w:tcPr>
          <w:p w:rsidR="00AA2A61" w:rsidRPr="00302082" w:rsidRDefault="00AA2A61" w:rsidP="00D13676">
            <w:pPr>
              <w:spacing w:after="120"/>
              <w:rPr>
                <w:rFonts w:cs="Arial"/>
                <w:b/>
              </w:rPr>
            </w:pPr>
          </w:p>
        </w:tc>
        <w:tc>
          <w:tcPr>
            <w:tcW w:w="547" w:type="dxa"/>
          </w:tcPr>
          <w:p w:rsidR="00AA2A61" w:rsidRPr="00302082" w:rsidRDefault="00AA2A61" w:rsidP="00D13676">
            <w:pPr>
              <w:spacing w:after="120"/>
              <w:rPr>
                <w:rFonts w:cs="Arial"/>
                <w:b/>
              </w:rPr>
            </w:pPr>
          </w:p>
        </w:tc>
        <w:tc>
          <w:tcPr>
            <w:tcW w:w="547" w:type="dxa"/>
          </w:tcPr>
          <w:p w:rsidR="00AA2A61" w:rsidRPr="00302082" w:rsidRDefault="00AA2A61" w:rsidP="00D13676">
            <w:pPr>
              <w:spacing w:after="120"/>
              <w:rPr>
                <w:rFonts w:cs="Arial"/>
                <w:b/>
              </w:rPr>
            </w:pPr>
          </w:p>
        </w:tc>
        <w:tc>
          <w:tcPr>
            <w:tcW w:w="547" w:type="dxa"/>
          </w:tcPr>
          <w:p w:rsidR="00AA2A61" w:rsidRPr="00302082" w:rsidRDefault="00AA2A61" w:rsidP="00D13676">
            <w:pPr>
              <w:spacing w:after="120"/>
              <w:rPr>
                <w:rFonts w:cs="Arial"/>
                <w:b/>
              </w:rPr>
            </w:pPr>
          </w:p>
        </w:tc>
        <w:tc>
          <w:tcPr>
            <w:tcW w:w="547" w:type="dxa"/>
          </w:tcPr>
          <w:p w:rsidR="00AA2A61" w:rsidRPr="00302082" w:rsidRDefault="00AA2A61" w:rsidP="00D13676">
            <w:pPr>
              <w:spacing w:after="120"/>
              <w:rPr>
                <w:rFonts w:cs="Arial"/>
                <w:b/>
              </w:rPr>
            </w:pPr>
          </w:p>
        </w:tc>
        <w:tc>
          <w:tcPr>
            <w:tcW w:w="547" w:type="dxa"/>
          </w:tcPr>
          <w:p w:rsidR="00AA2A61" w:rsidRPr="00302082" w:rsidRDefault="00AA2A61" w:rsidP="00D13676">
            <w:pPr>
              <w:spacing w:after="120"/>
              <w:rPr>
                <w:rFonts w:cs="Arial"/>
                <w:b/>
              </w:rPr>
            </w:pPr>
          </w:p>
        </w:tc>
      </w:tr>
      <w:tr w:rsidR="00AA2A61" w:rsidRPr="008B7D28" w:rsidTr="00A8045F">
        <w:trPr>
          <w:trHeight w:val="347"/>
        </w:trPr>
        <w:tc>
          <w:tcPr>
            <w:tcW w:w="3629" w:type="dxa"/>
          </w:tcPr>
          <w:p w:rsidR="00AA2A61" w:rsidRPr="008B7D28" w:rsidRDefault="00AA2A61" w:rsidP="00D13676">
            <w:pPr>
              <w:spacing w:after="120"/>
              <w:rPr>
                <w:rFonts w:cs="Arial"/>
              </w:rPr>
            </w:pPr>
            <w:r>
              <w:rPr>
                <w:rFonts w:cs="Arial"/>
              </w:rPr>
              <w:t>Essays</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r>
      <w:tr w:rsidR="00AA2A61" w:rsidRPr="008B7D28" w:rsidTr="00A8045F">
        <w:trPr>
          <w:trHeight w:val="362"/>
        </w:trPr>
        <w:tc>
          <w:tcPr>
            <w:tcW w:w="3629" w:type="dxa"/>
          </w:tcPr>
          <w:p w:rsidR="00AA2A61" w:rsidRPr="008B7D28" w:rsidRDefault="00AA2A61" w:rsidP="00D13676">
            <w:pPr>
              <w:spacing w:after="120"/>
              <w:rPr>
                <w:rFonts w:cs="Arial"/>
              </w:rPr>
            </w:pPr>
            <w:r>
              <w:rPr>
                <w:rFonts w:cs="Arial"/>
              </w:rPr>
              <w:t>Seminar Performance</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c>
          <w:tcPr>
            <w:tcW w:w="547" w:type="dxa"/>
          </w:tcPr>
          <w:p w:rsidR="00AA2A61" w:rsidRPr="00302082" w:rsidRDefault="00AA2A61" w:rsidP="00D13676">
            <w:pPr>
              <w:spacing w:after="120"/>
              <w:rPr>
                <w:rFonts w:cs="Arial"/>
                <w:b/>
              </w:rPr>
            </w:pPr>
            <w:r>
              <w:rPr>
                <w:rFonts w:cs="Arial"/>
                <w:b/>
              </w:rPr>
              <w:t>x</w:t>
            </w:r>
          </w:p>
        </w:tc>
      </w:tr>
    </w:tbl>
    <w:p w:rsidR="007A6245" w:rsidRPr="008B7D28" w:rsidRDefault="007A6245" w:rsidP="00302082">
      <w:pPr>
        <w:spacing w:after="120" w:line="240" w:lineRule="auto"/>
        <w:ind w:left="426" w:right="260"/>
        <w:rPr>
          <w:rFonts w:cs="Arial"/>
          <w:b/>
          <w:iCs/>
        </w:rPr>
      </w:pPr>
    </w:p>
    <w:p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w:t>
      </w:r>
      <w:proofErr w:type="spellStart"/>
      <w:r w:rsidRPr="008B7D28">
        <w:rPr>
          <w:rFonts w:cs="Arial"/>
          <w:b/>
        </w:rPr>
        <w:t>es</w:t>
      </w:r>
      <w:proofErr w:type="spellEnd"/>
      <w:r w:rsidRPr="008B7D28">
        <w:rPr>
          <w:rFonts w:cs="Arial"/>
          <w:b/>
        </w:rPr>
        <w:t>) or c</w:t>
      </w:r>
      <w:r w:rsidR="009A2D37" w:rsidRPr="008B7D28">
        <w:rPr>
          <w:rFonts w:cs="Arial"/>
          <w:b/>
        </w:rPr>
        <w:t>entre(s)</w:t>
      </w:r>
      <w:r w:rsidRPr="008B7D28">
        <w:rPr>
          <w:rFonts w:cs="Arial"/>
          <w:b/>
        </w:rPr>
        <w:t xml:space="preserve"> where module will be delivered</w:t>
      </w:r>
    </w:p>
    <w:p w:rsidR="00D13676" w:rsidRDefault="008B7D28" w:rsidP="00A8045F">
      <w:pPr>
        <w:spacing w:after="120" w:line="240" w:lineRule="auto"/>
        <w:ind w:left="567" w:right="260"/>
        <w:jc w:val="both"/>
        <w:rPr>
          <w:rFonts w:cs="Arial"/>
        </w:rPr>
      </w:pPr>
      <w:r w:rsidRPr="008B7D28">
        <w:rPr>
          <w:rFonts w:cs="Arial"/>
        </w:rPr>
        <w:t>Canterbury</w:t>
      </w:r>
    </w:p>
    <w:p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rsidR="008B7D28" w:rsidRPr="008B7D28" w:rsidRDefault="00D13676" w:rsidP="008B7D28">
      <w:pPr>
        <w:spacing w:after="120" w:line="240" w:lineRule="auto"/>
        <w:ind w:left="567" w:right="261"/>
        <w:jc w:val="both"/>
        <w:rPr>
          <w:rFonts w:cs="Arial"/>
          <w:b/>
        </w:rPr>
      </w:pPr>
      <w:r w:rsidRPr="00932709">
        <w:rPr>
          <w:rFonts w:cs="Arial"/>
          <w:color w:val="212121"/>
        </w:rPr>
        <w:t xml:space="preserve">This module is focused on literary texts from around the world (either </w:t>
      </w:r>
      <w:proofErr w:type="spellStart"/>
      <w:r w:rsidRPr="00932709">
        <w:rPr>
          <w:rFonts w:cs="Arial"/>
          <w:color w:val="212121"/>
        </w:rPr>
        <w:t>anglophone</w:t>
      </w:r>
      <w:proofErr w:type="spellEnd"/>
      <w:r w:rsidRPr="00932709">
        <w:rPr>
          <w:rFonts w:cs="Arial"/>
          <w:color w:val="212121"/>
        </w:rPr>
        <w:t xml:space="preserve"> or in translation). The module discusses issues of identity and subjectivity as they are expressed in a variety of cultures, historical contexts and languages; these differences are featured in all the module assessments, which include the option, should the student wish, of constructing a topic on how specific differences are expressed in a language other than English</w:t>
      </w:r>
    </w:p>
    <w:p w:rsidR="00AA2A61" w:rsidRDefault="00AA2A61" w:rsidP="00A8045F">
      <w:pPr>
        <w:pBdr>
          <w:bottom w:val="single" w:sz="4" w:space="1" w:color="auto"/>
        </w:pBdr>
        <w:rPr>
          <w:rFonts w:cs="Arial"/>
        </w:rPr>
      </w:pPr>
      <w:bookmarkStart w:id="0" w:name="_GoBack"/>
      <w:bookmarkEnd w:id="0"/>
    </w:p>
    <w:p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rsidR="00D83563" w:rsidRPr="008B7D28" w:rsidRDefault="00D83563" w:rsidP="00302082">
      <w:pPr>
        <w:spacing w:after="120" w:line="240" w:lineRule="auto"/>
        <w:ind w:right="260"/>
        <w:rPr>
          <w:rFonts w:cs="Arial"/>
          <w:b/>
          <w:sz w:val="20"/>
        </w:rPr>
      </w:pPr>
      <w:r w:rsidRPr="008B7D28">
        <w:rPr>
          <w:rFonts w:cs="Arial"/>
          <w:b/>
          <w:sz w:val="20"/>
        </w:rPr>
        <w:lastRenderedPageBreak/>
        <w:t>Revision record – all revisions must be recorded in the grid and full details of the change retained in the appropriate committee records.</w:t>
      </w:r>
    </w:p>
    <w:p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rsidTr="00694309">
        <w:trPr>
          <w:trHeight w:val="317"/>
        </w:trPr>
        <w:tc>
          <w:tcPr>
            <w:tcW w:w="1526" w:type="dxa"/>
          </w:tcPr>
          <w:p w:rsidR="00422B69" w:rsidRPr="008B7D28" w:rsidRDefault="00422B69" w:rsidP="00302082">
            <w:pPr>
              <w:spacing w:after="120"/>
              <w:ind w:right="-330"/>
              <w:rPr>
                <w:rFonts w:cs="Arial"/>
                <w:sz w:val="18"/>
              </w:rPr>
            </w:pPr>
            <w:r w:rsidRPr="008B7D28">
              <w:rPr>
                <w:rFonts w:cs="Arial"/>
                <w:sz w:val="18"/>
              </w:rPr>
              <w:t>Date approved</w:t>
            </w:r>
          </w:p>
        </w:tc>
        <w:tc>
          <w:tcPr>
            <w:tcW w:w="1701" w:type="dxa"/>
          </w:tcPr>
          <w:p w:rsidR="00422B69" w:rsidRPr="008B7D28" w:rsidRDefault="00422B69" w:rsidP="00302082">
            <w:pPr>
              <w:spacing w:after="120"/>
              <w:rPr>
                <w:rFonts w:cs="Arial"/>
                <w:sz w:val="18"/>
              </w:rPr>
            </w:pPr>
            <w:r w:rsidRPr="008B7D28">
              <w:rPr>
                <w:rFonts w:cs="Arial"/>
                <w:sz w:val="18"/>
              </w:rPr>
              <w:t>Major/minor revision</w:t>
            </w:r>
          </w:p>
        </w:tc>
        <w:tc>
          <w:tcPr>
            <w:tcW w:w="2410" w:type="dxa"/>
          </w:tcPr>
          <w:p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448" w:type="dxa"/>
          </w:tcPr>
          <w:p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D13676" w:rsidRPr="008B7D28" w:rsidTr="00694309">
        <w:trPr>
          <w:trHeight w:val="305"/>
        </w:trPr>
        <w:tc>
          <w:tcPr>
            <w:tcW w:w="1526" w:type="dxa"/>
          </w:tcPr>
          <w:p w:rsidR="00D13676" w:rsidRPr="00932709" w:rsidRDefault="00D13676" w:rsidP="00D13676">
            <w:pPr>
              <w:spacing w:after="120"/>
              <w:ind w:right="-330"/>
              <w:rPr>
                <w:rFonts w:cs="Arial"/>
                <w:sz w:val="18"/>
              </w:rPr>
            </w:pPr>
            <w:r w:rsidRPr="00932709">
              <w:rPr>
                <w:rFonts w:cs="Arial"/>
                <w:sz w:val="18"/>
              </w:rPr>
              <w:t>10/02/17</w:t>
            </w:r>
          </w:p>
        </w:tc>
        <w:tc>
          <w:tcPr>
            <w:tcW w:w="1701" w:type="dxa"/>
          </w:tcPr>
          <w:p w:rsidR="00D13676" w:rsidRPr="00932709" w:rsidRDefault="00D13676" w:rsidP="00D13676">
            <w:pPr>
              <w:spacing w:after="120"/>
              <w:ind w:right="-330"/>
              <w:rPr>
                <w:rFonts w:cs="Arial"/>
                <w:sz w:val="18"/>
              </w:rPr>
            </w:pPr>
            <w:r w:rsidRPr="00932709">
              <w:rPr>
                <w:rFonts w:cs="Arial"/>
                <w:sz w:val="18"/>
              </w:rPr>
              <w:t>Minor</w:t>
            </w:r>
          </w:p>
        </w:tc>
        <w:tc>
          <w:tcPr>
            <w:tcW w:w="2410" w:type="dxa"/>
          </w:tcPr>
          <w:p w:rsidR="00D13676" w:rsidRPr="00932709" w:rsidRDefault="00D13676" w:rsidP="00D13676">
            <w:pPr>
              <w:spacing w:after="120"/>
              <w:ind w:right="-330"/>
              <w:rPr>
                <w:rFonts w:cs="Arial"/>
                <w:sz w:val="18"/>
              </w:rPr>
            </w:pPr>
            <w:r w:rsidRPr="00932709">
              <w:rPr>
                <w:rFonts w:cs="Arial"/>
                <w:sz w:val="18"/>
              </w:rPr>
              <w:t>September 2017</w:t>
            </w:r>
          </w:p>
        </w:tc>
        <w:tc>
          <w:tcPr>
            <w:tcW w:w="2448" w:type="dxa"/>
          </w:tcPr>
          <w:p w:rsidR="00D13676" w:rsidRPr="00932709" w:rsidRDefault="00D13676" w:rsidP="00D13676">
            <w:pPr>
              <w:spacing w:after="120"/>
              <w:ind w:right="-330"/>
              <w:rPr>
                <w:rFonts w:cs="Arial"/>
                <w:sz w:val="18"/>
              </w:rPr>
            </w:pPr>
            <w:r w:rsidRPr="00932709">
              <w:rPr>
                <w:rFonts w:cs="Arial"/>
                <w:sz w:val="18"/>
              </w:rPr>
              <w:t>6, 7, 11</w:t>
            </w:r>
          </w:p>
        </w:tc>
        <w:tc>
          <w:tcPr>
            <w:tcW w:w="2597" w:type="dxa"/>
          </w:tcPr>
          <w:p w:rsidR="00D13676" w:rsidRPr="00932709" w:rsidRDefault="00D13676" w:rsidP="00D13676">
            <w:pPr>
              <w:spacing w:after="120"/>
              <w:ind w:right="-330"/>
              <w:rPr>
                <w:rFonts w:cs="Arial"/>
                <w:sz w:val="18"/>
              </w:rPr>
            </w:pPr>
            <w:r w:rsidRPr="00932709">
              <w:rPr>
                <w:rFonts w:cs="Arial"/>
                <w:sz w:val="18"/>
              </w:rPr>
              <w:t>No</w:t>
            </w:r>
          </w:p>
        </w:tc>
      </w:tr>
      <w:tr w:rsidR="00D13676" w:rsidRPr="008B7D28" w:rsidTr="00694309">
        <w:trPr>
          <w:trHeight w:val="305"/>
        </w:trPr>
        <w:tc>
          <w:tcPr>
            <w:tcW w:w="1526" w:type="dxa"/>
          </w:tcPr>
          <w:p w:rsidR="00D13676" w:rsidRPr="008B7D28" w:rsidRDefault="00D13676" w:rsidP="00D13676">
            <w:pPr>
              <w:spacing w:after="120"/>
              <w:ind w:right="-330"/>
              <w:rPr>
                <w:rFonts w:cs="Arial"/>
              </w:rPr>
            </w:pPr>
          </w:p>
        </w:tc>
        <w:tc>
          <w:tcPr>
            <w:tcW w:w="1701" w:type="dxa"/>
          </w:tcPr>
          <w:p w:rsidR="00D13676" w:rsidRPr="008B7D28" w:rsidRDefault="00D13676" w:rsidP="00D13676">
            <w:pPr>
              <w:spacing w:after="120"/>
              <w:ind w:right="-330"/>
              <w:rPr>
                <w:rFonts w:cs="Arial"/>
              </w:rPr>
            </w:pPr>
          </w:p>
        </w:tc>
        <w:tc>
          <w:tcPr>
            <w:tcW w:w="2410" w:type="dxa"/>
          </w:tcPr>
          <w:p w:rsidR="00D13676" w:rsidRPr="008B7D28" w:rsidRDefault="00D13676" w:rsidP="00D13676">
            <w:pPr>
              <w:spacing w:after="120"/>
              <w:ind w:right="-330"/>
              <w:rPr>
                <w:rFonts w:cs="Arial"/>
              </w:rPr>
            </w:pPr>
          </w:p>
        </w:tc>
        <w:tc>
          <w:tcPr>
            <w:tcW w:w="2448" w:type="dxa"/>
          </w:tcPr>
          <w:p w:rsidR="00D13676" w:rsidRPr="008B7D28" w:rsidRDefault="00D13676" w:rsidP="00D13676">
            <w:pPr>
              <w:spacing w:after="120"/>
              <w:ind w:right="-330"/>
              <w:rPr>
                <w:rFonts w:cs="Arial"/>
              </w:rPr>
            </w:pPr>
          </w:p>
        </w:tc>
        <w:tc>
          <w:tcPr>
            <w:tcW w:w="2597" w:type="dxa"/>
          </w:tcPr>
          <w:p w:rsidR="00D13676" w:rsidRPr="008B7D28" w:rsidRDefault="00D13676" w:rsidP="00D13676">
            <w:pPr>
              <w:spacing w:after="120"/>
              <w:ind w:right="-330"/>
              <w:rPr>
                <w:rFonts w:cs="Arial"/>
              </w:rPr>
            </w:pPr>
          </w:p>
        </w:tc>
      </w:tr>
    </w:tbl>
    <w:p w:rsidR="00D83563" w:rsidRPr="008B7D28" w:rsidRDefault="00D83563" w:rsidP="00302082">
      <w:pPr>
        <w:spacing w:after="120" w:line="240" w:lineRule="auto"/>
        <w:ind w:right="-330"/>
        <w:rPr>
          <w:rFonts w:cs="Arial"/>
        </w:rPr>
      </w:pPr>
    </w:p>
    <w:p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80" w:rsidRDefault="00C36F80" w:rsidP="009A2D37">
      <w:pPr>
        <w:spacing w:after="0" w:line="240" w:lineRule="auto"/>
      </w:pPr>
      <w:r>
        <w:separator/>
      </w:r>
    </w:p>
  </w:endnote>
  <w:endnote w:type="continuationSeparator" w:id="0">
    <w:p w:rsidR="00C36F80" w:rsidRDefault="00C36F80" w:rsidP="009A2D37">
      <w:pPr>
        <w:spacing w:after="0" w:line="240" w:lineRule="auto"/>
      </w:pPr>
      <w:r>
        <w:continuationSeparator/>
      </w:r>
    </w:p>
  </w:endnote>
  <w:endnote w:type="continuationNotice" w:id="1">
    <w:p w:rsidR="00C36F80" w:rsidRDefault="00C36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8045F">
          <w:rPr>
            <w:noProof/>
          </w:rPr>
          <w:t>4</w:t>
        </w:r>
        <w:r>
          <w:rPr>
            <w:noProof/>
          </w:rPr>
          <w:fldChar w:fldCharType="end"/>
        </w:r>
      </w:p>
    </w:sdtContent>
  </w:sdt>
  <w:p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80" w:rsidRDefault="00C36F80" w:rsidP="009A2D37">
      <w:pPr>
        <w:spacing w:after="0" w:line="240" w:lineRule="auto"/>
      </w:pPr>
      <w:r>
        <w:separator/>
      </w:r>
    </w:p>
  </w:footnote>
  <w:footnote w:type="continuationSeparator" w:id="0">
    <w:p w:rsidR="00C36F80" w:rsidRDefault="00C36F80" w:rsidP="009A2D37">
      <w:pPr>
        <w:spacing w:after="0" w:line="240" w:lineRule="auto"/>
      </w:pPr>
      <w:r>
        <w:continuationSeparator/>
      </w:r>
    </w:p>
  </w:footnote>
  <w:footnote w:type="continuationNotice" w:id="1">
    <w:p w:rsidR="00C36F80" w:rsidRDefault="00C36F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8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C0294"/>
    <w:rsid w:val="000C7A1C"/>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1FF3"/>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45F"/>
    <w:rsid w:val="00A80640"/>
    <w:rsid w:val="00A87FFD"/>
    <w:rsid w:val="00A97038"/>
    <w:rsid w:val="00AA2A61"/>
    <w:rsid w:val="00AA3C15"/>
    <w:rsid w:val="00AA6330"/>
    <w:rsid w:val="00AC7501"/>
    <w:rsid w:val="00AD748B"/>
    <w:rsid w:val="00AE4865"/>
    <w:rsid w:val="00AF50EE"/>
    <w:rsid w:val="00B0591D"/>
    <w:rsid w:val="00B13402"/>
    <w:rsid w:val="00B14BC2"/>
    <w:rsid w:val="00B17024"/>
    <w:rsid w:val="00B17CD2"/>
    <w:rsid w:val="00B213D2"/>
    <w:rsid w:val="00B233C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716B"/>
    <w:rsid w:val="00BF7233"/>
    <w:rsid w:val="00C02AA2"/>
    <w:rsid w:val="00C04C95"/>
    <w:rsid w:val="00C12613"/>
    <w:rsid w:val="00C16DEF"/>
    <w:rsid w:val="00C2492F"/>
    <w:rsid w:val="00C36F80"/>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676"/>
    <w:rsid w:val="00D13A13"/>
    <w:rsid w:val="00D2689A"/>
    <w:rsid w:val="00D46199"/>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08"/>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6FE5"/>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F79B70-085F-471A-8330-7CB0B852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0E093-D498-4BCE-B4A6-2439412F40C4}">
  <ds:schemaRefs>
    <ds:schemaRef ds:uri="http://schemas.openxmlformats.org/officeDocument/2006/bibliography"/>
  </ds:schemaRefs>
</ds:datastoreItem>
</file>

<file path=customXml/itemProps2.xml><?xml version="1.0" encoding="utf-8"?>
<ds:datastoreItem xmlns:ds="http://schemas.openxmlformats.org/officeDocument/2006/customXml" ds:itemID="{4885887D-4753-4CEA-9F50-F93C83FC7D78}"/>
</file>

<file path=customXml/itemProps3.xml><?xml version="1.0" encoding="utf-8"?>
<ds:datastoreItem xmlns:ds="http://schemas.openxmlformats.org/officeDocument/2006/customXml" ds:itemID="{FEB25233-726E-4448-89A8-0B7AD299D5A6}"/>
</file>

<file path=customXml/itemProps4.xml><?xml version="1.0" encoding="utf-8"?>
<ds:datastoreItem xmlns:ds="http://schemas.openxmlformats.org/officeDocument/2006/customXml" ds:itemID="{5A2B4F85-D076-45A9-AB35-4165499BB5BC}"/>
</file>

<file path=docProps/app.xml><?xml version="1.0" encoding="utf-8"?>
<Properties xmlns="http://schemas.openxmlformats.org/officeDocument/2006/extended-properties" xmlns:vt="http://schemas.openxmlformats.org/officeDocument/2006/docPropsVTypes">
  <Template>Title of the module</Template>
  <TotalTime>9</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3</cp:revision>
  <cp:lastPrinted>2015-09-09T08:37:00Z</cp:lastPrinted>
  <dcterms:created xsi:type="dcterms:W3CDTF">2018-02-19T16:12:00Z</dcterms:created>
  <dcterms:modified xsi:type="dcterms:W3CDTF">2018-03-07T11:07:00Z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