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53DD716D" w14:textId="69F8003D" w:rsidR="00694B52" w:rsidRPr="00ED3BE4" w:rsidRDefault="00197050" w:rsidP="00A64D74">
      <w:pPr>
        <w:spacing w:after="120" w:line="240" w:lineRule="auto"/>
        <w:ind w:left="426" w:right="543" w:firstLine="141"/>
        <w:jc w:val="both"/>
        <w:rPr>
          <w:rFonts w:ascii="Arial" w:hAnsi="Arial" w:cs="Arial"/>
          <w:sz w:val="24"/>
          <w:szCs w:val="24"/>
        </w:rPr>
      </w:pPr>
      <w:r w:rsidRPr="00ED3BE4">
        <w:rPr>
          <w:rFonts w:ascii="Arial" w:hAnsi="Arial" w:cs="Arial"/>
          <w:sz w:val="24"/>
          <w:szCs w:val="24"/>
        </w:rPr>
        <w:t>ENGL</w:t>
      </w:r>
      <w:r w:rsidR="0071743F">
        <w:rPr>
          <w:rFonts w:ascii="Arial" w:hAnsi="Arial" w:cs="Arial"/>
          <w:sz w:val="24"/>
          <w:szCs w:val="24"/>
        </w:rPr>
        <w:t>6002</w:t>
      </w:r>
      <w:r w:rsidRPr="00ED3BE4">
        <w:rPr>
          <w:rFonts w:ascii="Arial" w:hAnsi="Arial" w:cs="Arial"/>
          <w:sz w:val="24"/>
          <w:szCs w:val="24"/>
        </w:rPr>
        <w:t xml:space="preserve"> LGBTQ Narratives: Queer Writing from Britain and Ireland </w:t>
      </w:r>
    </w:p>
    <w:p w14:paraId="1AEBCBAF" w14:textId="77777777" w:rsidR="00197050" w:rsidRPr="009D52D0" w:rsidRDefault="00197050" w:rsidP="009D52D0">
      <w:pPr>
        <w:spacing w:after="120" w:line="240" w:lineRule="auto"/>
        <w:ind w:left="426" w:right="543"/>
        <w:jc w:val="both"/>
        <w:rPr>
          <w:rFonts w:ascii="Arial" w:hAnsi="Arial" w:cs="Arial"/>
          <w:sz w:val="24"/>
          <w:szCs w:val="24"/>
        </w:rPr>
      </w:pPr>
    </w:p>
    <w:p w14:paraId="71554414" w14:textId="33E114BD"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3A2D455" w:rsidR="009A2D37" w:rsidRPr="00ED3BE4" w:rsidRDefault="00197050" w:rsidP="00BC6E9C">
      <w:pPr>
        <w:rPr>
          <w:rFonts w:ascii="Arial" w:hAnsi="Arial" w:cs="Arial"/>
          <w:sz w:val="24"/>
          <w:szCs w:val="24"/>
        </w:rPr>
      </w:pPr>
      <w:r>
        <w:t xml:space="preserve">            </w:t>
      </w:r>
      <w:r w:rsidRPr="00ED3BE4">
        <w:rPr>
          <w:rFonts w:ascii="Arial" w:hAnsi="Arial" w:cs="Arial"/>
          <w:sz w:val="24"/>
          <w:szCs w:val="24"/>
        </w:rPr>
        <w:t>Division of Arts and the Humanities</w:t>
      </w:r>
      <w:r w:rsidR="00BC6E9C">
        <w:rPr>
          <w:rFonts w:ascii="Arial" w:hAnsi="Arial" w:cs="Arial"/>
          <w:sz w:val="24"/>
          <w:szCs w:val="24"/>
        </w:rPr>
        <w:t xml:space="preserve">, </w:t>
      </w:r>
      <w:r w:rsidR="00BC6E9C" w:rsidRPr="00ED3BE4">
        <w:rPr>
          <w:rFonts w:ascii="Arial" w:hAnsi="Arial" w:cs="Arial"/>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9B9CD69" w14:textId="5E341682" w:rsidR="00197050" w:rsidRDefault="00EF0540" w:rsidP="00A64D74">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19E849D2" w14:textId="5BA18855" w:rsidR="00EF0540" w:rsidRDefault="00EF0540" w:rsidP="00A64D74">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33132E" w14:textId="5CDC24E5" w:rsidR="00EF0540" w:rsidRDefault="00EF0540" w:rsidP="00A64D74">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9591469" w:rsidR="009A2D37" w:rsidRDefault="00EF0540" w:rsidP="00A64D74">
      <w:pPr>
        <w:spacing w:after="120" w:line="240" w:lineRule="auto"/>
        <w:ind w:right="543" w:firstLine="567"/>
        <w:rPr>
          <w:rFonts w:ascii="Arial" w:hAnsi="Arial" w:cs="Arial"/>
          <w:iCs/>
          <w:sz w:val="24"/>
          <w:szCs w:val="24"/>
        </w:rPr>
      </w:pPr>
      <w:r>
        <w:rPr>
          <w:rFonts w:ascii="Arial" w:hAnsi="Arial" w:cs="Arial"/>
          <w:iCs/>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CA7255B" w14:textId="77777777" w:rsidR="00E251AB" w:rsidRDefault="009257F0" w:rsidP="009257F0">
      <w:pPr>
        <w:spacing w:after="120" w:line="240" w:lineRule="auto"/>
        <w:ind w:left="567" w:right="260"/>
        <w:rPr>
          <w:rFonts w:ascii="Arial" w:hAnsi="Arial" w:cs="Arial"/>
          <w:sz w:val="24"/>
          <w:szCs w:val="24"/>
        </w:rPr>
      </w:pPr>
      <w:r w:rsidRPr="00ED3BE4">
        <w:rPr>
          <w:rFonts w:ascii="Arial" w:hAnsi="Arial" w:cs="Arial"/>
          <w:sz w:val="24"/>
          <w:szCs w:val="24"/>
        </w:rPr>
        <w:t xml:space="preserve">Optional to the following courses: </w:t>
      </w:r>
    </w:p>
    <w:p w14:paraId="75A96A4E" w14:textId="77777777" w:rsidR="00E251AB" w:rsidRDefault="00E251AB" w:rsidP="009257F0">
      <w:pPr>
        <w:spacing w:after="120" w:line="240" w:lineRule="auto"/>
        <w:ind w:left="567" w:right="260"/>
        <w:rPr>
          <w:rFonts w:ascii="Arial" w:hAnsi="Arial" w:cs="Arial"/>
          <w:sz w:val="24"/>
          <w:szCs w:val="24"/>
        </w:rPr>
      </w:pPr>
      <w:r>
        <w:rPr>
          <w:rFonts w:ascii="Arial" w:hAnsi="Arial" w:cs="Arial"/>
          <w:sz w:val="24"/>
          <w:szCs w:val="24"/>
        </w:rPr>
        <w:t xml:space="preserve">BA </w:t>
      </w:r>
      <w:r w:rsidR="009257F0" w:rsidRPr="00ED3BE4">
        <w:rPr>
          <w:rFonts w:ascii="Arial" w:hAnsi="Arial" w:cs="Arial"/>
          <w:sz w:val="24"/>
          <w:szCs w:val="24"/>
        </w:rPr>
        <w:t xml:space="preserve">English Literature; </w:t>
      </w:r>
    </w:p>
    <w:p w14:paraId="015F83D0" w14:textId="77777777" w:rsidR="00E251AB" w:rsidRDefault="00E251AB" w:rsidP="009257F0">
      <w:pPr>
        <w:spacing w:after="120" w:line="240" w:lineRule="auto"/>
        <w:ind w:left="567" w:right="260"/>
        <w:rPr>
          <w:rFonts w:ascii="Arial" w:hAnsi="Arial" w:cs="Arial"/>
          <w:sz w:val="24"/>
          <w:szCs w:val="24"/>
        </w:rPr>
      </w:pPr>
      <w:r>
        <w:rPr>
          <w:rFonts w:ascii="Arial" w:hAnsi="Arial" w:cs="Arial"/>
          <w:sz w:val="24"/>
          <w:szCs w:val="24"/>
        </w:rPr>
        <w:t xml:space="preserve">BA </w:t>
      </w:r>
      <w:r w:rsidR="009257F0" w:rsidRPr="00ED3BE4">
        <w:rPr>
          <w:rFonts w:ascii="Arial" w:hAnsi="Arial" w:cs="Arial"/>
          <w:sz w:val="24"/>
          <w:szCs w:val="24"/>
        </w:rPr>
        <w:t xml:space="preserve">English and Creative Writing; </w:t>
      </w:r>
    </w:p>
    <w:p w14:paraId="70395654" w14:textId="70E8DE7B" w:rsidR="009257F0" w:rsidRDefault="00E251AB" w:rsidP="009257F0">
      <w:pPr>
        <w:spacing w:after="120" w:line="240" w:lineRule="auto"/>
        <w:ind w:left="567" w:right="260"/>
        <w:rPr>
          <w:rFonts w:ascii="Arial" w:hAnsi="Arial" w:cs="Arial"/>
          <w:sz w:val="24"/>
          <w:szCs w:val="24"/>
        </w:rPr>
      </w:pPr>
      <w:r>
        <w:rPr>
          <w:rFonts w:ascii="Arial" w:hAnsi="Arial" w:cs="Arial"/>
          <w:sz w:val="24"/>
          <w:szCs w:val="24"/>
        </w:rPr>
        <w:t xml:space="preserve">BA </w:t>
      </w:r>
      <w:r w:rsidR="009257F0" w:rsidRPr="00ED3BE4">
        <w:rPr>
          <w:rFonts w:ascii="Arial" w:hAnsi="Arial" w:cs="Arial"/>
          <w:sz w:val="24"/>
          <w:szCs w:val="24"/>
        </w:rPr>
        <w:t>English Literature (Joint Honours)</w:t>
      </w:r>
    </w:p>
    <w:p w14:paraId="30AC19C2" w14:textId="18FAB29A" w:rsidR="003C5BC7" w:rsidRDefault="003C5BC7" w:rsidP="009257F0">
      <w:pPr>
        <w:spacing w:after="120" w:line="240" w:lineRule="auto"/>
        <w:ind w:left="567" w:right="260"/>
        <w:rPr>
          <w:rFonts w:ascii="Arial" w:hAnsi="Arial" w:cs="Arial"/>
          <w:iCs/>
          <w:sz w:val="24"/>
          <w:szCs w:val="24"/>
        </w:rPr>
      </w:pPr>
      <w:r>
        <w:rPr>
          <w:rFonts w:ascii="Arial" w:hAnsi="Arial" w:cs="Arial"/>
          <w:iCs/>
          <w:sz w:val="24"/>
          <w:szCs w:val="24"/>
        </w:rPr>
        <w:t>This module is available as an Elective</w:t>
      </w:r>
    </w:p>
    <w:p w14:paraId="5C39882B" w14:textId="47B43A4B" w:rsidR="003C5BC7" w:rsidRDefault="003C5BC7" w:rsidP="003C5BC7">
      <w:pPr>
        <w:spacing w:after="120" w:line="240" w:lineRule="auto"/>
        <w:ind w:left="567" w:right="260"/>
        <w:rPr>
          <w:rFonts w:ascii="Arial" w:hAnsi="Arial" w:cs="Arial"/>
          <w:iCs/>
          <w:sz w:val="24"/>
          <w:szCs w:val="24"/>
        </w:rPr>
      </w:pPr>
      <w:r>
        <w:rPr>
          <w:rFonts w:ascii="Arial" w:hAnsi="Arial" w:cs="Arial"/>
          <w:iCs/>
          <w:sz w:val="24"/>
          <w:szCs w:val="24"/>
        </w:rPr>
        <w:t xml:space="preserve">Available on Joint Honours courses in the following Divisions: </w:t>
      </w:r>
      <w:r w:rsidRPr="003C5BC7">
        <w:rPr>
          <w:rFonts w:ascii="Arial" w:hAnsi="Arial" w:cs="Arial"/>
          <w:iCs/>
          <w:sz w:val="24"/>
          <w:szCs w:val="24"/>
        </w:rPr>
        <w:t>Division of Human and Social Sciences, Division for the Study of Law, Society and Social Justice</w:t>
      </w:r>
      <w:r>
        <w:rPr>
          <w:rFonts w:ascii="Arial" w:hAnsi="Arial" w:cs="Arial"/>
          <w:iCs/>
          <w:sz w:val="24"/>
          <w:szCs w:val="24"/>
        </w:rPr>
        <w:t>.</w:t>
      </w:r>
    </w:p>
    <w:p w14:paraId="5BC59AC1" w14:textId="77777777" w:rsidR="00054A78" w:rsidRPr="00694B52" w:rsidRDefault="00054A78"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4CDD27B" w14:textId="5D92F280"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t>8.1</w:t>
      </w:r>
      <w:r w:rsidRPr="00ED3BE4">
        <w:rPr>
          <w:rFonts w:ascii="Arial" w:hAnsi="Arial" w:cs="Arial"/>
          <w:iCs/>
          <w:sz w:val="24"/>
          <w:szCs w:val="24"/>
        </w:rPr>
        <w:tab/>
      </w:r>
      <w:r w:rsidR="001E2D4B">
        <w:rPr>
          <w:rFonts w:ascii="Arial" w:hAnsi="Arial" w:cs="Arial"/>
          <w:iCs/>
          <w:sz w:val="24"/>
          <w:szCs w:val="24"/>
        </w:rPr>
        <w:t>R</w:t>
      </w:r>
      <w:r w:rsidRPr="00ED3BE4">
        <w:rPr>
          <w:rFonts w:ascii="Arial" w:hAnsi="Arial" w:cs="Arial"/>
          <w:iCs/>
          <w:sz w:val="24"/>
          <w:szCs w:val="24"/>
        </w:rPr>
        <w:t>ead and respond critically to a range of queer poetry, drama and fiction</w:t>
      </w:r>
    </w:p>
    <w:p w14:paraId="27108C4E" w14:textId="3E7A514A"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t>8.2</w:t>
      </w:r>
      <w:r w:rsidRPr="00ED3BE4">
        <w:rPr>
          <w:rFonts w:ascii="Arial" w:hAnsi="Arial" w:cs="Arial"/>
          <w:iCs/>
          <w:sz w:val="24"/>
          <w:szCs w:val="24"/>
        </w:rPr>
        <w:tab/>
      </w:r>
      <w:r w:rsidR="001E2D4B">
        <w:rPr>
          <w:rFonts w:ascii="Arial" w:hAnsi="Arial" w:cs="Arial"/>
          <w:iCs/>
          <w:sz w:val="24"/>
          <w:szCs w:val="24"/>
        </w:rPr>
        <w:t>L</w:t>
      </w:r>
      <w:r w:rsidRPr="00ED3BE4">
        <w:rPr>
          <w:rFonts w:ascii="Arial" w:hAnsi="Arial" w:cs="Arial"/>
          <w:iCs/>
          <w:sz w:val="24"/>
          <w:szCs w:val="24"/>
        </w:rPr>
        <w:t>earn to situate and discuss queer literary texts in their historical, cultural, and theoretical contexts</w:t>
      </w:r>
    </w:p>
    <w:p w14:paraId="40E35B16" w14:textId="4A31E0D0"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t>8.3</w:t>
      </w:r>
      <w:r w:rsidRPr="00ED3BE4">
        <w:rPr>
          <w:rFonts w:ascii="Arial" w:hAnsi="Arial" w:cs="Arial"/>
          <w:iCs/>
          <w:sz w:val="24"/>
          <w:szCs w:val="24"/>
        </w:rPr>
        <w:tab/>
      </w:r>
      <w:r w:rsidR="001E2D4B">
        <w:rPr>
          <w:rFonts w:ascii="Arial" w:hAnsi="Arial" w:cs="Arial"/>
          <w:iCs/>
          <w:sz w:val="24"/>
          <w:szCs w:val="24"/>
        </w:rPr>
        <w:t>E</w:t>
      </w:r>
      <w:r w:rsidRPr="00ED3BE4">
        <w:rPr>
          <w:rFonts w:ascii="Arial" w:hAnsi="Arial" w:cs="Arial"/>
          <w:iCs/>
          <w:sz w:val="24"/>
          <w:szCs w:val="24"/>
        </w:rPr>
        <w:t>xplore the specific connection between literature and queer activism in British and Irish writing</w:t>
      </w:r>
    </w:p>
    <w:p w14:paraId="6D2A3128" w14:textId="34DA03AE" w:rsidR="00806FCC" w:rsidRPr="00ED3BE4" w:rsidRDefault="00806FCC" w:rsidP="00BC6E9C">
      <w:pPr>
        <w:spacing w:after="120" w:line="240" w:lineRule="auto"/>
        <w:ind w:left="1080" w:right="260" w:hanging="540"/>
        <w:rPr>
          <w:rFonts w:ascii="Arial" w:hAnsi="Arial" w:cs="Arial"/>
          <w:iCs/>
          <w:sz w:val="24"/>
          <w:szCs w:val="24"/>
        </w:rPr>
      </w:pPr>
      <w:r w:rsidRPr="00ED3BE4">
        <w:rPr>
          <w:rFonts w:ascii="Arial" w:hAnsi="Arial" w:cs="Arial"/>
          <w:iCs/>
          <w:sz w:val="24"/>
          <w:szCs w:val="24"/>
        </w:rPr>
        <w:lastRenderedPageBreak/>
        <w:t>8.4</w:t>
      </w:r>
      <w:r w:rsidRPr="00ED3BE4">
        <w:rPr>
          <w:rFonts w:ascii="Arial" w:hAnsi="Arial" w:cs="Arial"/>
          <w:iCs/>
          <w:sz w:val="24"/>
          <w:szCs w:val="24"/>
        </w:rPr>
        <w:tab/>
      </w:r>
      <w:r w:rsidR="001E2D4B">
        <w:rPr>
          <w:rFonts w:ascii="Arial" w:hAnsi="Arial" w:cs="Arial"/>
          <w:iCs/>
          <w:sz w:val="24"/>
          <w:szCs w:val="24"/>
        </w:rPr>
        <w:t>E</w:t>
      </w:r>
      <w:r w:rsidRPr="00ED3BE4">
        <w:rPr>
          <w:rFonts w:ascii="Arial" w:hAnsi="Arial" w:cs="Arial"/>
          <w:iCs/>
          <w:sz w:val="24"/>
          <w:szCs w:val="24"/>
        </w:rPr>
        <w:t>xplore a range of theoretical approaches to literary texts, including queer and trans perspectives</w:t>
      </w:r>
    </w:p>
    <w:p w14:paraId="06ACC764" w14:textId="6D79D2C6" w:rsidR="00806FCC" w:rsidRPr="00ED3BE4" w:rsidRDefault="00806FCC" w:rsidP="00BC6E9C">
      <w:pPr>
        <w:spacing w:after="120" w:line="240" w:lineRule="auto"/>
        <w:ind w:left="1080" w:right="260" w:hanging="540"/>
        <w:rPr>
          <w:rFonts w:ascii="Arial" w:hAnsi="Arial" w:cs="Arial"/>
          <w:sz w:val="24"/>
          <w:szCs w:val="24"/>
        </w:rPr>
      </w:pPr>
      <w:r w:rsidRPr="00ED3BE4">
        <w:rPr>
          <w:rFonts w:ascii="Arial" w:hAnsi="Arial" w:cs="Arial"/>
          <w:iCs/>
          <w:sz w:val="24"/>
          <w:szCs w:val="24"/>
        </w:rPr>
        <w:t>8.5</w:t>
      </w:r>
      <w:r w:rsidRPr="00ED3BE4">
        <w:rPr>
          <w:rFonts w:ascii="Arial" w:hAnsi="Arial" w:cs="Arial"/>
          <w:iCs/>
          <w:sz w:val="24"/>
          <w:szCs w:val="24"/>
        </w:rPr>
        <w:tab/>
      </w:r>
      <w:r w:rsidR="001E2D4B">
        <w:rPr>
          <w:rFonts w:ascii="Arial" w:hAnsi="Arial" w:cs="Arial"/>
          <w:iCs/>
          <w:sz w:val="24"/>
          <w:szCs w:val="24"/>
        </w:rPr>
        <w:t>D</w:t>
      </w:r>
      <w:r w:rsidRPr="00ED3BE4">
        <w:rPr>
          <w:rFonts w:ascii="Arial" w:hAnsi="Arial" w:cs="Arial"/>
          <w:iCs/>
          <w:sz w:val="24"/>
          <w:szCs w:val="24"/>
        </w:rPr>
        <w:t xml:space="preserve">evelop an ability to interrogate and understand contemporary </w:t>
      </w:r>
      <w:r w:rsidR="001B6450" w:rsidRPr="00ED3BE4">
        <w:rPr>
          <w:rFonts w:ascii="Arial" w:hAnsi="Arial" w:cs="Arial"/>
          <w:iCs/>
          <w:sz w:val="24"/>
          <w:szCs w:val="24"/>
        </w:rPr>
        <w:t>queer</w:t>
      </w:r>
      <w:r w:rsidRPr="00ED3BE4">
        <w:rPr>
          <w:rFonts w:ascii="Arial" w:hAnsi="Arial" w:cs="Arial"/>
          <w:iCs/>
          <w:sz w:val="24"/>
          <w:szCs w:val="24"/>
        </w:rPr>
        <w:t xml:space="preserve"> culture</w:t>
      </w:r>
      <w:r w:rsidR="001B6450" w:rsidRPr="00ED3BE4">
        <w:rPr>
          <w:rFonts w:ascii="Arial" w:hAnsi="Arial" w:cs="Arial"/>
          <w:iCs/>
          <w:sz w:val="24"/>
          <w:szCs w:val="24"/>
        </w:rPr>
        <w:t>s</w:t>
      </w:r>
      <w:r w:rsidRPr="00ED3BE4">
        <w:rPr>
          <w:rFonts w:ascii="Arial" w:hAnsi="Arial" w:cs="Arial"/>
          <w:iCs/>
          <w:sz w:val="24"/>
          <w:szCs w:val="24"/>
        </w:rPr>
        <w:t xml:space="preserve"> in the twentieth and twenty-first centuries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58879209"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B9E044D" w14:textId="368B68AB"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9.1</w:t>
      </w:r>
      <w:r w:rsidRPr="00BC6E9C">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BC6E9C">
        <w:rPr>
          <w:rFonts w:ascii="Arial" w:hAnsi="Arial" w:cs="Arial"/>
          <w:sz w:val="24"/>
          <w:szCs w:val="24"/>
        </w:rPr>
        <w:t xml:space="preserve"> their ability to analyse texts critically and make comparisons across a range of reading</w:t>
      </w:r>
    </w:p>
    <w:p w14:paraId="0817E993" w14:textId="4F07DB7B"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9.2</w:t>
      </w:r>
      <w:r w:rsidRPr="00BC6E9C">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BC6E9C">
        <w:rPr>
          <w:rFonts w:ascii="Arial" w:hAnsi="Arial" w:cs="Arial"/>
          <w:sz w:val="24"/>
          <w:szCs w:val="24"/>
        </w:rPr>
        <w:t xml:space="preserve"> their command of English and their abilities to articulate coherent critical arguments</w:t>
      </w:r>
    </w:p>
    <w:p w14:paraId="18685996" w14:textId="26DBE0BC"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9.3</w:t>
      </w:r>
      <w:r w:rsidRPr="00BC6E9C">
        <w:rPr>
          <w:rFonts w:ascii="Arial" w:hAnsi="Arial" w:cs="Arial"/>
          <w:sz w:val="24"/>
          <w:szCs w:val="24"/>
        </w:rPr>
        <w:tab/>
      </w:r>
      <w:r w:rsidR="001E2D4B">
        <w:rPr>
          <w:rFonts w:ascii="Arial" w:hAnsi="Arial" w:cs="Arial"/>
          <w:sz w:val="24"/>
          <w:szCs w:val="24"/>
        </w:rPr>
        <w:t>U</w:t>
      </w:r>
      <w:r w:rsidRPr="00BC6E9C">
        <w:rPr>
          <w:rFonts w:ascii="Arial" w:hAnsi="Arial" w:cs="Arial"/>
          <w:sz w:val="24"/>
          <w:szCs w:val="24"/>
        </w:rPr>
        <w:t>nderstand and interrogate various critical approaches and the theoretical assumptions that underpin these approaches</w:t>
      </w:r>
    </w:p>
    <w:p w14:paraId="76419745" w14:textId="7B7BE456" w:rsidR="00117097" w:rsidRPr="00BC6E9C"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9.4</w:t>
      </w:r>
      <w:r w:rsidRPr="00BC6E9C">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BC6E9C">
        <w:rPr>
          <w:rFonts w:ascii="Arial" w:hAnsi="Arial" w:cs="Arial"/>
          <w:sz w:val="24"/>
          <w:szCs w:val="24"/>
        </w:rPr>
        <w:t xml:space="preserve"> their abilities to carry out independent research </w:t>
      </w:r>
    </w:p>
    <w:p w14:paraId="4D5532B8" w14:textId="4FA3E6AF" w:rsidR="00117097" w:rsidRPr="00ED3BE4" w:rsidRDefault="00117097" w:rsidP="00BC6E9C">
      <w:pPr>
        <w:spacing w:after="120" w:line="240" w:lineRule="auto"/>
        <w:ind w:left="1080" w:right="260" w:hanging="540"/>
        <w:jc w:val="both"/>
        <w:rPr>
          <w:rFonts w:ascii="Arial" w:hAnsi="Arial" w:cs="Arial"/>
          <w:sz w:val="24"/>
          <w:szCs w:val="24"/>
        </w:rPr>
      </w:pPr>
      <w:r w:rsidRPr="00BC6E9C">
        <w:rPr>
          <w:rFonts w:ascii="Arial" w:hAnsi="Arial" w:cs="Arial"/>
          <w:sz w:val="24"/>
          <w:szCs w:val="24"/>
        </w:rPr>
        <w:t>9.5</w:t>
      </w:r>
      <w:r w:rsidRPr="00ED3BE4">
        <w:rPr>
          <w:rFonts w:ascii="Arial" w:hAnsi="Arial" w:cs="Arial"/>
          <w:sz w:val="24"/>
          <w:szCs w:val="24"/>
        </w:rPr>
        <w:tab/>
      </w:r>
      <w:r w:rsidR="001E2D4B">
        <w:rPr>
          <w:rFonts w:ascii="Arial" w:hAnsi="Arial" w:cs="Arial"/>
          <w:sz w:val="24"/>
          <w:szCs w:val="24"/>
        </w:rPr>
        <w:t>D</w:t>
      </w:r>
      <w:r w:rsidR="004E5ABD">
        <w:rPr>
          <w:rFonts w:ascii="Arial" w:hAnsi="Arial" w:cs="Arial"/>
          <w:sz w:val="24"/>
          <w:szCs w:val="24"/>
        </w:rPr>
        <w:t>emonstrate</w:t>
      </w:r>
      <w:r w:rsidRPr="00ED3BE4">
        <w:rPr>
          <w:rFonts w:ascii="Arial" w:hAnsi="Arial" w:cs="Arial"/>
          <w:sz w:val="24"/>
          <w:szCs w:val="24"/>
        </w:rPr>
        <w:t xml:space="preserve"> their presentational skills</w:t>
      </w:r>
    </w:p>
    <w:p w14:paraId="31D8601B" w14:textId="77935C8D" w:rsidR="00273CF0" w:rsidRDefault="00273CF0" w:rsidP="009D52D0">
      <w:pPr>
        <w:spacing w:after="120" w:line="240" w:lineRule="auto"/>
        <w:ind w:left="567" w:right="543"/>
        <w:rPr>
          <w:rFonts w:ascii="Arial" w:hAnsi="Arial" w:cs="Arial"/>
          <w:sz w:val="24"/>
          <w:szCs w:val="24"/>
        </w:rPr>
      </w:pPr>
    </w:p>
    <w:p w14:paraId="73386C6A" w14:textId="255326D9" w:rsidR="009A2D37" w:rsidRDefault="009A2D37" w:rsidP="00072357">
      <w:pPr>
        <w:pStyle w:val="Heading2"/>
      </w:pPr>
      <w:r w:rsidRPr="009D52D0">
        <w:t>A synopsis of the curriculum</w:t>
      </w:r>
    </w:p>
    <w:p w14:paraId="6BC3D888" w14:textId="5DD5B053" w:rsidR="00AE4887" w:rsidRPr="00ED3BE4" w:rsidRDefault="00B83657" w:rsidP="00BC6E9C">
      <w:pPr>
        <w:ind w:left="567"/>
        <w:rPr>
          <w:rFonts w:ascii="Arial" w:hAnsi="Arial" w:cs="Arial"/>
          <w:sz w:val="24"/>
          <w:szCs w:val="24"/>
        </w:rPr>
      </w:pPr>
      <w:r w:rsidRPr="00ED3BE4">
        <w:rPr>
          <w:rFonts w:ascii="Arial" w:hAnsi="Arial" w:cs="Arial"/>
          <w:sz w:val="24"/>
          <w:szCs w:val="24"/>
        </w:rPr>
        <w:t>Gay, lesbian, bisexual, transgender, and queer narratives</w:t>
      </w:r>
      <w:r w:rsidR="00742B7F" w:rsidRPr="00ED3BE4">
        <w:rPr>
          <w:rFonts w:ascii="Arial" w:hAnsi="Arial" w:cs="Arial"/>
          <w:sz w:val="24"/>
          <w:szCs w:val="24"/>
        </w:rPr>
        <w:t xml:space="preserve"> often</w:t>
      </w:r>
      <w:r w:rsidRPr="00ED3BE4">
        <w:rPr>
          <w:rFonts w:ascii="Arial" w:hAnsi="Arial" w:cs="Arial"/>
          <w:sz w:val="24"/>
          <w:szCs w:val="24"/>
        </w:rPr>
        <w:t xml:space="preserve"> hold a revelatory place in the</w:t>
      </w:r>
      <w:r w:rsidR="00742B7F" w:rsidRPr="00ED3BE4">
        <w:rPr>
          <w:rFonts w:ascii="Arial" w:hAnsi="Arial" w:cs="Arial"/>
          <w:sz w:val="24"/>
          <w:szCs w:val="24"/>
        </w:rPr>
        <w:t xml:space="preserve"> personal</w:t>
      </w:r>
      <w:r w:rsidRPr="00ED3BE4">
        <w:rPr>
          <w:rFonts w:ascii="Arial" w:hAnsi="Arial" w:cs="Arial"/>
          <w:sz w:val="24"/>
          <w:szCs w:val="24"/>
        </w:rPr>
        <w:t xml:space="preserve"> identity formation of many British and Irish people in the late twentieth and early twenty-first centuries.</w:t>
      </w:r>
      <w:r w:rsidR="00FD7CCF">
        <w:rPr>
          <w:rFonts w:ascii="Arial" w:hAnsi="Arial" w:cs="Arial"/>
          <w:sz w:val="24"/>
          <w:szCs w:val="24"/>
        </w:rPr>
        <w:t xml:space="preserve"> Indeed,</w:t>
      </w:r>
      <w:r w:rsidRPr="00ED3BE4">
        <w:rPr>
          <w:rFonts w:ascii="Arial" w:hAnsi="Arial" w:cs="Arial"/>
          <w:sz w:val="24"/>
          <w:szCs w:val="24"/>
        </w:rPr>
        <w:t xml:space="preserve"> </w:t>
      </w:r>
      <w:r w:rsidR="00FD7CCF">
        <w:rPr>
          <w:rFonts w:ascii="Arial" w:hAnsi="Arial" w:cs="Arial"/>
          <w:sz w:val="24"/>
          <w:szCs w:val="24"/>
        </w:rPr>
        <w:t>q</w:t>
      </w:r>
      <w:r w:rsidR="00363603" w:rsidRPr="00ED3BE4">
        <w:rPr>
          <w:rFonts w:ascii="Arial" w:hAnsi="Arial" w:cs="Arial"/>
          <w:sz w:val="24"/>
          <w:szCs w:val="24"/>
        </w:rPr>
        <w:t>ueer literature offers a powerful site for identity critique and formation. In t</w:t>
      </w:r>
      <w:r w:rsidRPr="00ED3BE4">
        <w:rPr>
          <w:rFonts w:ascii="Arial" w:hAnsi="Arial" w:cs="Arial"/>
          <w:sz w:val="24"/>
          <w:szCs w:val="24"/>
        </w:rPr>
        <w:t>he nascent genre of the ‘coming out’ story</w:t>
      </w:r>
      <w:r w:rsidR="00363603" w:rsidRPr="00ED3BE4">
        <w:rPr>
          <w:rFonts w:ascii="Arial" w:hAnsi="Arial" w:cs="Arial"/>
          <w:sz w:val="24"/>
          <w:szCs w:val="24"/>
        </w:rPr>
        <w:t>, in</w:t>
      </w:r>
      <w:r w:rsidRPr="00ED3BE4">
        <w:rPr>
          <w:rFonts w:ascii="Arial" w:hAnsi="Arial" w:cs="Arial"/>
          <w:sz w:val="24"/>
          <w:szCs w:val="24"/>
        </w:rPr>
        <w:t xml:space="preserve"> narratives of both personal and systemic oppressions</w:t>
      </w:r>
      <w:r w:rsidR="00363603" w:rsidRPr="00ED3BE4">
        <w:rPr>
          <w:rFonts w:ascii="Arial" w:hAnsi="Arial" w:cs="Arial"/>
          <w:sz w:val="24"/>
          <w:szCs w:val="24"/>
        </w:rPr>
        <w:t>,</w:t>
      </w:r>
      <w:r w:rsidRPr="00ED3BE4">
        <w:rPr>
          <w:rFonts w:ascii="Arial" w:hAnsi="Arial" w:cs="Arial"/>
          <w:sz w:val="24"/>
          <w:szCs w:val="24"/>
        </w:rPr>
        <w:t xml:space="preserve"> as</w:t>
      </w:r>
      <w:r w:rsidR="00363603" w:rsidRPr="00ED3BE4">
        <w:rPr>
          <w:rFonts w:ascii="Arial" w:hAnsi="Arial" w:cs="Arial"/>
          <w:sz w:val="24"/>
          <w:szCs w:val="24"/>
        </w:rPr>
        <w:t xml:space="preserve"> well as</w:t>
      </w:r>
      <w:r w:rsidRPr="00ED3BE4">
        <w:rPr>
          <w:rFonts w:ascii="Arial" w:hAnsi="Arial" w:cs="Arial"/>
          <w:sz w:val="24"/>
          <w:szCs w:val="24"/>
        </w:rPr>
        <w:t xml:space="preserve"> </w:t>
      </w:r>
      <w:r w:rsidR="00363603" w:rsidRPr="00ED3BE4">
        <w:rPr>
          <w:rFonts w:ascii="Arial" w:hAnsi="Arial" w:cs="Arial"/>
          <w:sz w:val="24"/>
          <w:szCs w:val="24"/>
        </w:rPr>
        <w:t>in tales of</w:t>
      </w:r>
      <w:r w:rsidRPr="00ED3BE4">
        <w:rPr>
          <w:rFonts w:ascii="Arial" w:hAnsi="Arial" w:cs="Arial"/>
          <w:sz w:val="24"/>
          <w:szCs w:val="24"/>
        </w:rPr>
        <w:t xml:space="preserve"> </w:t>
      </w:r>
      <w:r w:rsidR="00363603" w:rsidRPr="00ED3BE4">
        <w:rPr>
          <w:rFonts w:ascii="Arial" w:hAnsi="Arial" w:cs="Arial"/>
          <w:sz w:val="24"/>
          <w:szCs w:val="24"/>
        </w:rPr>
        <w:t xml:space="preserve">outward </w:t>
      </w:r>
      <w:r w:rsidRPr="00ED3BE4">
        <w:rPr>
          <w:rFonts w:ascii="Arial" w:hAnsi="Arial" w:cs="Arial"/>
          <w:sz w:val="24"/>
          <w:szCs w:val="24"/>
        </w:rPr>
        <w:t>resistance</w:t>
      </w:r>
      <w:r w:rsidR="00363603" w:rsidRPr="00ED3BE4">
        <w:rPr>
          <w:rFonts w:ascii="Arial" w:hAnsi="Arial" w:cs="Arial"/>
          <w:sz w:val="24"/>
          <w:szCs w:val="24"/>
        </w:rPr>
        <w:t>,</w:t>
      </w:r>
      <w:r w:rsidRPr="00ED3BE4">
        <w:rPr>
          <w:rFonts w:ascii="Arial" w:hAnsi="Arial" w:cs="Arial"/>
          <w:sz w:val="24"/>
          <w:szCs w:val="24"/>
        </w:rPr>
        <w:t xml:space="preserve"> queer </w:t>
      </w:r>
      <w:r w:rsidR="00363603" w:rsidRPr="00ED3BE4">
        <w:rPr>
          <w:rFonts w:ascii="Arial" w:hAnsi="Arial" w:cs="Arial"/>
          <w:sz w:val="24"/>
          <w:szCs w:val="24"/>
        </w:rPr>
        <w:t>writers in Britain and Ireland have</w:t>
      </w:r>
      <w:r w:rsidRPr="00ED3BE4">
        <w:rPr>
          <w:rFonts w:ascii="Arial" w:hAnsi="Arial" w:cs="Arial"/>
          <w:sz w:val="24"/>
          <w:szCs w:val="24"/>
        </w:rPr>
        <w:t xml:space="preserve"> </w:t>
      </w:r>
      <w:r w:rsidR="00363603" w:rsidRPr="00ED3BE4">
        <w:rPr>
          <w:rFonts w:ascii="Arial" w:hAnsi="Arial" w:cs="Arial"/>
          <w:sz w:val="24"/>
          <w:szCs w:val="24"/>
        </w:rPr>
        <w:t>used (and continue to use) literary modes to speak back to the very cultural homophobia and transphobia, which marginalises them and their communities</w:t>
      </w:r>
      <w:r w:rsidRPr="00ED3BE4">
        <w:rPr>
          <w:rFonts w:ascii="Arial" w:hAnsi="Arial" w:cs="Arial"/>
          <w:sz w:val="24"/>
          <w:szCs w:val="24"/>
        </w:rPr>
        <w:t>. This module invites students to explore the unique place that literature</w:t>
      </w:r>
      <w:r w:rsidR="00363603" w:rsidRPr="00ED3BE4">
        <w:rPr>
          <w:rFonts w:ascii="Arial" w:hAnsi="Arial" w:cs="Arial"/>
          <w:sz w:val="24"/>
          <w:szCs w:val="24"/>
        </w:rPr>
        <w:t xml:space="preserve"> and art</w:t>
      </w:r>
      <w:r w:rsidRPr="00ED3BE4">
        <w:rPr>
          <w:rFonts w:ascii="Arial" w:hAnsi="Arial" w:cs="Arial"/>
          <w:sz w:val="24"/>
          <w:szCs w:val="24"/>
        </w:rPr>
        <w:t xml:space="preserve"> maintains in the formation of LGBTQ</w:t>
      </w:r>
      <w:r w:rsidR="00521FF3" w:rsidRPr="00ED3BE4">
        <w:rPr>
          <w:rFonts w:ascii="Arial" w:hAnsi="Arial" w:cs="Arial"/>
          <w:sz w:val="24"/>
          <w:szCs w:val="24"/>
        </w:rPr>
        <w:t xml:space="preserve"> political </w:t>
      </w:r>
      <w:r w:rsidRPr="00ED3BE4">
        <w:rPr>
          <w:rFonts w:ascii="Arial" w:hAnsi="Arial" w:cs="Arial"/>
          <w:sz w:val="24"/>
          <w:szCs w:val="24"/>
        </w:rPr>
        <w:t xml:space="preserve">identities, cultures, </w:t>
      </w:r>
      <w:r w:rsidR="00D65A90" w:rsidRPr="00ED3BE4">
        <w:rPr>
          <w:rFonts w:ascii="Arial" w:hAnsi="Arial" w:cs="Arial"/>
          <w:sz w:val="24"/>
          <w:szCs w:val="24"/>
        </w:rPr>
        <w:t>pasts, and futures</w:t>
      </w:r>
      <w:r w:rsidR="00521FF3" w:rsidRPr="00ED3BE4">
        <w:rPr>
          <w:rFonts w:ascii="Arial" w:hAnsi="Arial" w:cs="Arial"/>
          <w:sz w:val="24"/>
          <w:szCs w:val="24"/>
        </w:rPr>
        <w:t>; students will also be prompted to consider how queerness</w:t>
      </w:r>
      <w:r w:rsidR="009D6862" w:rsidRPr="00ED3BE4">
        <w:rPr>
          <w:rFonts w:ascii="Arial" w:hAnsi="Arial" w:cs="Arial"/>
          <w:sz w:val="24"/>
          <w:szCs w:val="24"/>
        </w:rPr>
        <w:t>—</w:t>
      </w:r>
      <w:r w:rsidR="00E6250F" w:rsidRPr="00ED3BE4">
        <w:rPr>
          <w:rFonts w:ascii="Arial" w:hAnsi="Arial" w:cs="Arial"/>
          <w:sz w:val="24"/>
          <w:szCs w:val="24"/>
        </w:rPr>
        <w:t>specifically</w:t>
      </w:r>
      <w:r w:rsidR="00521FF3" w:rsidRPr="00ED3BE4">
        <w:rPr>
          <w:rFonts w:ascii="Arial" w:hAnsi="Arial" w:cs="Arial"/>
          <w:sz w:val="24"/>
          <w:szCs w:val="24"/>
        </w:rPr>
        <w:t xml:space="preserve"> in Britain and Ireland</w:t>
      </w:r>
      <w:r w:rsidR="009D6862" w:rsidRPr="00ED3BE4">
        <w:rPr>
          <w:rFonts w:ascii="Arial" w:hAnsi="Arial" w:cs="Arial"/>
          <w:sz w:val="24"/>
          <w:szCs w:val="24"/>
        </w:rPr>
        <w:t>—</w:t>
      </w:r>
      <w:r w:rsidR="00521FF3" w:rsidRPr="00ED3BE4">
        <w:rPr>
          <w:rFonts w:ascii="Arial" w:hAnsi="Arial" w:cs="Arial"/>
          <w:sz w:val="24"/>
          <w:szCs w:val="24"/>
        </w:rPr>
        <w:t>intersects with categories such as class, race, nationality and</w:t>
      </w:r>
      <w:r w:rsidR="00742B7F" w:rsidRPr="00ED3BE4">
        <w:rPr>
          <w:rFonts w:ascii="Arial" w:hAnsi="Arial" w:cs="Arial"/>
          <w:sz w:val="24"/>
          <w:szCs w:val="24"/>
        </w:rPr>
        <w:t xml:space="preserve"> others</w:t>
      </w:r>
      <w:r w:rsidR="00D65A90" w:rsidRPr="00ED3BE4">
        <w:rPr>
          <w:rFonts w:ascii="Arial" w:hAnsi="Arial" w:cs="Arial"/>
          <w:sz w:val="24"/>
          <w:szCs w:val="24"/>
        </w:rPr>
        <w:t>. The module will consider a broad range of</w:t>
      </w:r>
      <w:r w:rsidR="00FD7CCF">
        <w:rPr>
          <w:rFonts w:ascii="Arial" w:hAnsi="Arial" w:cs="Arial"/>
          <w:sz w:val="24"/>
          <w:szCs w:val="24"/>
        </w:rPr>
        <w:t xml:space="preserve"> British and Irish</w:t>
      </w:r>
      <w:r w:rsidR="00D65A90" w:rsidRPr="00ED3BE4">
        <w:rPr>
          <w:rFonts w:ascii="Arial" w:hAnsi="Arial" w:cs="Arial"/>
          <w:sz w:val="24"/>
          <w:szCs w:val="24"/>
        </w:rPr>
        <w:t xml:space="preserve"> LGBTQ writing from the late twentieth century to the present: sampling significant texts in poetry, drama, prose, and television</w:t>
      </w:r>
      <w:r w:rsidR="00E843B1" w:rsidRPr="00ED3BE4">
        <w:rPr>
          <w:rFonts w:ascii="Arial" w:hAnsi="Arial" w:cs="Arial"/>
          <w:sz w:val="24"/>
          <w:szCs w:val="24"/>
        </w:rPr>
        <w:t xml:space="preserve"> drama</w:t>
      </w:r>
      <w:r w:rsidR="00D65A90" w:rsidRPr="00ED3BE4">
        <w:rPr>
          <w:rFonts w:ascii="Arial" w:hAnsi="Arial" w:cs="Arial"/>
          <w:sz w:val="24"/>
          <w:szCs w:val="24"/>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16CB1493" w:rsidR="008D4447" w:rsidRDefault="00636058" w:rsidP="009257F0">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7E0FF2E" w14:textId="77777777" w:rsidR="0071743F" w:rsidRPr="0071743F" w:rsidRDefault="0071743F" w:rsidP="0071743F"/>
    <w:p w14:paraId="715A2291" w14:textId="15D7BD54" w:rsidR="00883204" w:rsidRDefault="00636058" w:rsidP="00072357">
      <w:pPr>
        <w:pStyle w:val="Heading2"/>
      </w:pPr>
      <w:r>
        <w:t>Contact Hours</w:t>
      </w:r>
    </w:p>
    <w:p w14:paraId="1086FCCF" w14:textId="569425E5" w:rsidR="00636058" w:rsidRPr="00636058" w:rsidRDefault="0080277F"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D3934">
        <w:rPr>
          <w:rFonts w:ascii="Arial" w:hAnsi="Arial" w:cs="Arial"/>
          <w:sz w:val="24"/>
          <w:szCs w:val="24"/>
        </w:rPr>
        <w:t xml:space="preserve"> 32</w:t>
      </w:r>
    </w:p>
    <w:p w14:paraId="3BE5E6D9" w14:textId="431827A1" w:rsidR="00636058" w:rsidRPr="00636058" w:rsidRDefault="0080277F" w:rsidP="00636058">
      <w:pPr>
        <w:ind w:left="567"/>
        <w:rPr>
          <w:rFonts w:ascii="Arial" w:hAnsi="Arial" w:cs="Arial"/>
          <w:sz w:val="24"/>
          <w:szCs w:val="24"/>
        </w:rPr>
      </w:pPr>
      <w:r w:rsidRPr="00636058">
        <w:rPr>
          <w:rFonts w:ascii="Arial" w:hAnsi="Arial" w:cs="Arial"/>
          <w:sz w:val="24"/>
          <w:szCs w:val="24"/>
        </w:rPr>
        <w:lastRenderedPageBreak/>
        <w:t>Private Study</w:t>
      </w:r>
      <w:r w:rsidR="007A3F31">
        <w:rPr>
          <w:rFonts w:ascii="Arial" w:hAnsi="Arial" w:cs="Arial"/>
          <w:sz w:val="24"/>
          <w:szCs w:val="24"/>
        </w:rPr>
        <w:t>:</w:t>
      </w:r>
      <w:r w:rsidR="00AD3934">
        <w:rPr>
          <w:rFonts w:ascii="Arial" w:hAnsi="Arial" w:cs="Arial"/>
          <w:sz w:val="24"/>
          <w:szCs w:val="24"/>
        </w:rPr>
        <w:t xml:space="preserve"> 268</w:t>
      </w:r>
    </w:p>
    <w:p w14:paraId="260000FF" w14:textId="7F53670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D3934">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B97CA73" w:rsidR="00696FF5" w:rsidRPr="00B2615D" w:rsidRDefault="00BC6E9C" w:rsidP="00BC6E9C">
      <w:pPr>
        <w:pStyle w:val="header2"/>
        <w:numPr>
          <w:ilvl w:val="1"/>
          <w:numId w:val="11"/>
        </w:numPr>
        <w:rPr>
          <w:b w:val="0"/>
          <w:bCs/>
          <w:i/>
          <w:iCs/>
        </w:rPr>
      </w:pPr>
      <w:r>
        <w:rPr>
          <w:b w:val="0"/>
          <w:bCs/>
          <w:iCs/>
        </w:rPr>
        <w:t xml:space="preserve"> </w:t>
      </w:r>
      <w:r w:rsidR="00696FF5" w:rsidRPr="00B2615D">
        <w:rPr>
          <w:b w:val="0"/>
          <w:bCs/>
          <w:iCs/>
        </w:rPr>
        <w:t>Main assessment methods</w:t>
      </w:r>
    </w:p>
    <w:p w14:paraId="603BE617" w14:textId="3DA58F87" w:rsidR="003F3578" w:rsidRDefault="003F3578" w:rsidP="009D52D0">
      <w:pPr>
        <w:spacing w:after="120" w:line="240" w:lineRule="auto"/>
        <w:ind w:left="426" w:right="543"/>
        <w:rPr>
          <w:rFonts w:ascii="Arial" w:hAnsi="Arial" w:cs="Arial"/>
          <w:iCs/>
          <w:sz w:val="24"/>
          <w:szCs w:val="24"/>
        </w:rPr>
      </w:pPr>
    </w:p>
    <w:p w14:paraId="4579ED8C" w14:textId="05938F12" w:rsidR="00AD3934" w:rsidRDefault="001E2D4B" w:rsidP="00E83922">
      <w:pPr>
        <w:spacing w:after="120" w:line="240" w:lineRule="auto"/>
        <w:ind w:left="510" w:right="543" w:firstLine="42"/>
        <w:rPr>
          <w:rFonts w:ascii="Arial" w:hAnsi="Arial" w:cs="Arial"/>
          <w:iCs/>
          <w:sz w:val="24"/>
          <w:szCs w:val="24"/>
        </w:rPr>
      </w:pPr>
      <w:r>
        <w:rPr>
          <w:rFonts w:ascii="Arial" w:hAnsi="Arial" w:cs="Arial"/>
          <w:iCs/>
          <w:sz w:val="24"/>
          <w:szCs w:val="24"/>
        </w:rPr>
        <w:t>Essay 1 (3,000 words):</w:t>
      </w:r>
      <w:r>
        <w:rPr>
          <w:rFonts w:ascii="Arial" w:hAnsi="Arial" w:cs="Arial"/>
          <w:iCs/>
          <w:sz w:val="24"/>
          <w:szCs w:val="24"/>
        </w:rPr>
        <w:tab/>
        <w:t>40%</w:t>
      </w:r>
    </w:p>
    <w:p w14:paraId="39DE7458" w14:textId="08E45ECA" w:rsidR="001E2D4B" w:rsidRPr="00AD3934" w:rsidRDefault="001E2D4B" w:rsidP="00E83922">
      <w:pPr>
        <w:spacing w:after="120" w:line="240" w:lineRule="auto"/>
        <w:ind w:left="510" w:right="543" w:firstLine="42"/>
        <w:rPr>
          <w:rFonts w:ascii="Arial" w:hAnsi="Arial" w:cs="Arial"/>
          <w:iCs/>
          <w:sz w:val="24"/>
          <w:szCs w:val="24"/>
        </w:rPr>
      </w:pPr>
      <w:r>
        <w:rPr>
          <w:rFonts w:ascii="Arial" w:hAnsi="Arial" w:cs="Arial"/>
          <w:iCs/>
          <w:sz w:val="24"/>
          <w:szCs w:val="24"/>
        </w:rPr>
        <w:t xml:space="preserve">Essay 2 (3,000 words): </w:t>
      </w:r>
      <w:r>
        <w:rPr>
          <w:rFonts w:ascii="Arial" w:hAnsi="Arial" w:cs="Arial"/>
          <w:iCs/>
          <w:sz w:val="24"/>
          <w:szCs w:val="24"/>
        </w:rPr>
        <w:tab/>
        <w:t>40%</w:t>
      </w:r>
    </w:p>
    <w:p w14:paraId="719AF018" w14:textId="10003E99" w:rsidR="00AD3934" w:rsidRPr="00AD3934" w:rsidRDefault="00AD3934" w:rsidP="00E83922">
      <w:pPr>
        <w:spacing w:after="120" w:line="240" w:lineRule="auto"/>
        <w:ind w:left="510" w:right="543" w:firstLine="42"/>
        <w:rPr>
          <w:rFonts w:ascii="Arial" w:hAnsi="Arial" w:cs="Arial"/>
          <w:iCs/>
          <w:sz w:val="24"/>
          <w:szCs w:val="24"/>
        </w:rPr>
      </w:pPr>
      <w:r w:rsidRPr="00AD3934">
        <w:rPr>
          <w:rFonts w:ascii="Arial" w:hAnsi="Arial" w:cs="Arial"/>
          <w:iCs/>
          <w:sz w:val="24"/>
          <w:szCs w:val="24"/>
        </w:rPr>
        <w:t xml:space="preserve">Seminar </w:t>
      </w:r>
      <w:r w:rsidR="00F93E99">
        <w:rPr>
          <w:rFonts w:ascii="Arial" w:hAnsi="Arial" w:cs="Arial"/>
          <w:iCs/>
          <w:sz w:val="24"/>
          <w:szCs w:val="24"/>
        </w:rPr>
        <w:t>Participation</w:t>
      </w:r>
      <w:r w:rsidR="001E2D4B">
        <w:rPr>
          <w:rFonts w:ascii="Arial" w:hAnsi="Arial" w:cs="Arial"/>
          <w:iCs/>
          <w:sz w:val="24"/>
          <w:szCs w:val="24"/>
        </w:rPr>
        <w:tab/>
      </w:r>
      <w:r w:rsidR="001E2D4B">
        <w:rPr>
          <w:rFonts w:ascii="Arial" w:hAnsi="Arial" w:cs="Arial"/>
          <w:iCs/>
          <w:sz w:val="24"/>
          <w:szCs w:val="24"/>
        </w:rPr>
        <w:tab/>
      </w:r>
      <w:r w:rsidRPr="00AD3934">
        <w:rPr>
          <w:rFonts w:ascii="Arial" w:hAnsi="Arial" w:cs="Arial"/>
          <w:iCs/>
          <w:sz w:val="24"/>
          <w:szCs w:val="24"/>
        </w:rPr>
        <w:t>20%  </w:t>
      </w:r>
    </w:p>
    <w:p w14:paraId="1380093C" w14:textId="77777777" w:rsidR="00AD3934" w:rsidRDefault="00AD3934" w:rsidP="009D52D0">
      <w:pPr>
        <w:spacing w:after="120" w:line="240" w:lineRule="auto"/>
        <w:ind w:left="426" w:right="543"/>
        <w:rPr>
          <w:rFonts w:ascii="Arial" w:hAnsi="Arial" w:cs="Arial"/>
          <w:iCs/>
          <w:sz w:val="24"/>
          <w:szCs w:val="24"/>
        </w:rPr>
      </w:pPr>
    </w:p>
    <w:p w14:paraId="3DA1BBE3" w14:textId="746E384A" w:rsidR="00696FF5" w:rsidRPr="009D52D0" w:rsidRDefault="00BC6E9C"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6647521" w14:textId="2283E834" w:rsidR="00AD3934" w:rsidRPr="00AD3934" w:rsidRDefault="00AD3934" w:rsidP="001E2D4B">
      <w:pPr>
        <w:spacing w:after="120" w:line="240" w:lineRule="auto"/>
        <w:ind w:left="426" w:right="543" w:firstLine="141"/>
        <w:rPr>
          <w:rFonts w:ascii="Arial" w:hAnsi="Arial" w:cs="Arial"/>
          <w:iCs/>
          <w:sz w:val="24"/>
          <w:szCs w:val="24"/>
        </w:rPr>
      </w:pPr>
      <w:r w:rsidRPr="00AD3934">
        <w:rPr>
          <w:rFonts w:ascii="Arial" w:hAnsi="Arial" w:cs="Arial"/>
          <w:iCs/>
          <w:sz w:val="24"/>
          <w:szCs w:val="24"/>
        </w:rPr>
        <w:t>100% coursework (4,500 words)</w:t>
      </w:r>
    </w:p>
    <w:p w14:paraId="00B1CF1B" w14:textId="77777777" w:rsidR="00B72470" w:rsidRDefault="00B72470" w:rsidP="009D52D0">
      <w:pPr>
        <w:spacing w:after="120" w:line="240" w:lineRule="auto"/>
        <w:ind w:left="426" w:right="543"/>
        <w:rPr>
          <w:rFonts w:ascii="Arial" w:hAnsi="Arial" w:cs="Arial"/>
          <w:iCs/>
          <w:sz w:val="24"/>
          <w:szCs w:val="24"/>
        </w:rPr>
      </w:pPr>
    </w:p>
    <w:p w14:paraId="6F5E84D9" w14:textId="76DE725A" w:rsidR="00636058" w:rsidRPr="004F7F10" w:rsidRDefault="006F3F8B" w:rsidP="004F7F10">
      <w:pPr>
        <w:pStyle w:val="Heading2"/>
        <w:rPr>
          <w:i/>
          <w:iCs/>
        </w:rPr>
      </w:pPr>
      <w:r w:rsidRPr="009D52D0">
        <w:t xml:space="preserve">Map of </w:t>
      </w:r>
      <w:r w:rsidR="00883204" w:rsidRPr="009D52D0">
        <w:t xml:space="preserve">module learning outcomes </w:t>
      </w:r>
      <w:r w:rsidR="00B30E07" w:rsidRPr="009D52D0">
        <w:t xml:space="preserve">(sections </w:t>
      </w:r>
      <w:r w:rsidR="001E2D4B">
        <w:t>8</w:t>
      </w:r>
      <w:r w:rsidR="00B30E07" w:rsidRPr="009D52D0">
        <w:t xml:space="preserve"> &amp; </w:t>
      </w:r>
      <w:r w:rsidR="001E2D4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4F7F10">
        <w:t>ssessment</w:t>
      </w:r>
      <w:bookmarkStart w:id="0" w:name="_GoBack"/>
      <w:bookmarkEnd w:id="0"/>
      <w:r w:rsidR="00636058" w:rsidRPr="004F7F10">
        <w:rPr>
          <w:bCs/>
        </w:rPr>
        <w:t>:</w:t>
      </w:r>
    </w:p>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tbl>
      <w:tblPr>
        <w:tblStyle w:val="TableGrid"/>
        <w:tblW w:w="8970" w:type="dxa"/>
        <w:tblInd w:w="607" w:type="dxa"/>
        <w:tblLayout w:type="fixed"/>
        <w:tblLook w:val="04A0" w:firstRow="1" w:lastRow="0" w:firstColumn="1" w:lastColumn="0" w:noHBand="0" w:noVBand="1"/>
      </w:tblPr>
      <w:tblGrid>
        <w:gridCol w:w="3244"/>
        <w:gridCol w:w="636"/>
        <w:gridCol w:w="636"/>
        <w:gridCol w:w="636"/>
        <w:gridCol w:w="637"/>
        <w:gridCol w:w="636"/>
        <w:gridCol w:w="636"/>
        <w:gridCol w:w="637"/>
        <w:gridCol w:w="636"/>
        <w:gridCol w:w="636"/>
      </w:tblGrid>
      <w:tr w:rsidR="00AD3934" w:rsidRPr="008B7D28" w14:paraId="016CED1A" w14:textId="77777777" w:rsidTr="00BC6E9C">
        <w:trPr>
          <w:trHeight w:val="360"/>
        </w:trPr>
        <w:tc>
          <w:tcPr>
            <w:tcW w:w="3244" w:type="dxa"/>
            <w:shd w:val="clear" w:color="auto" w:fill="D9D9D9" w:themeFill="background1" w:themeFillShade="D9"/>
          </w:tcPr>
          <w:p w14:paraId="1EC781A7" w14:textId="77777777" w:rsidR="00AD3934" w:rsidRPr="008B7D28" w:rsidRDefault="00AD3934" w:rsidP="00306F39">
            <w:pPr>
              <w:spacing w:after="120"/>
              <w:ind w:left="33"/>
              <w:rPr>
                <w:rFonts w:cs="Arial"/>
                <w:b/>
              </w:rPr>
            </w:pPr>
            <w:r w:rsidRPr="008B7D28">
              <w:rPr>
                <w:rFonts w:cs="Arial"/>
                <w:b/>
              </w:rPr>
              <w:t>Module learning outcome</w:t>
            </w:r>
          </w:p>
        </w:tc>
        <w:tc>
          <w:tcPr>
            <w:tcW w:w="636" w:type="dxa"/>
          </w:tcPr>
          <w:p w14:paraId="66C5A4A1" w14:textId="77777777" w:rsidR="00AD3934" w:rsidRPr="008B7D28" w:rsidRDefault="00AD3934" w:rsidP="00306F39">
            <w:pPr>
              <w:spacing w:after="120"/>
              <w:rPr>
                <w:rFonts w:cs="Arial"/>
              </w:rPr>
            </w:pPr>
            <w:r w:rsidRPr="008B7D28">
              <w:rPr>
                <w:rFonts w:cs="Arial"/>
              </w:rPr>
              <w:t>8.1</w:t>
            </w:r>
          </w:p>
        </w:tc>
        <w:tc>
          <w:tcPr>
            <w:tcW w:w="636" w:type="dxa"/>
          </w:tcPr>
          <w:p w14:paraId="4749AC56" w14:textId="77777777" w:rsidR="00AD3934" w:rsidRPr="008B7D28" w:rsidRDefault="00AD3934" w:rsidP="00306F39">
            <w:pPr>
              <w:spacing w:after="120"/>
              <w:rPr>
                <w:rFonts w:cs="Arial"/>
              </w:rPr>
            </w:pPr>
            <w:r w:rsidRPr="008B7D28">
              <w:rPr>
                <w:rFonts w:cs="Arial"/>
              </w:rPr>
              <w:t>8.2</w:t>
            </w:r>
          </w:p>
        </w:tc>
        <w:tc>
          <w:tcPr>
            <w:tcW w:w="636" w:type="dxa"/>
          </w:tcPr>
          <w:p w14:paraId="70653A5A" w14:textId="77777777" w:rsidR="00AD3934" w:rsidRPr="008B7D28" w:rsidRDefault="00AD3934" w:rsidP="00306F39">
            <w:pPr>
              <w:spacing w:after="120"/>
              <w:rPr>
                <w:rFonts w:cs="Arial"/>
              </w:rPr>
            </w:pPr>
            <w:r w:rsidRPr="008B7D28">
              <w:rPr>
                <w:rFonts w:cs="Arial"/>
              </w:rPr>
              <w:t>8.3</w:t>
            </w:r>
          </w:p>
        </w:tc>
        <w:tc>
          <w:tcPr>
            <w:tcW w:w="637" w:type="dxa"/>
          </w:tcPr>
          <w:p w14:paraId="767C8A19" w14:textId="77777777" w:rsidR="00AD3934" w:rsidRPr="008B7D28" w:rsidRDefault="00AD3934" w:rsidP="00306F39">
            <w:pPr>
              <w:spacing w:after="120"/>
              <w:rPr>
                <w:rFonts w:cs="Arial"/>
              </w:rPr>
            </w:pPr>
            <w:r w:rsidRPr="008B7D28">
              <w:rPr>
                <w:rFonts w:cs="Arial"/>
              </w:rPr>
              <w:t>8.4</w:t>
            </w:r>
          </w:p>
        </w:tc>
        <w:tc>
          <w:tcPr>
            <w:tcW w:w="636" w:type="dxa"/>
          </w:tcPr>
          <w:p w14:paraId="22CAE795" w14:textId="77777777" w:rsidR="00AD3934" w:rsidRPr="008B7D28" w:rsidRDefault="00AD3934" w:rsidP="00306F39">
            <w:pPr>
              <w:spacing w:after="120"/>
              <w:rPr>
                <w:rFonts w:cs="Arial"/>
              </w:rPr>
            </w:pPr>
            <w:r w:rsidRPr="008B7D28">
              <w:rPr>
                <w:rFonts w:cs="Arial"/>
              </w:rPr>
              <w:t>8.5</w:t>
            </w:r>
          </w:p>
        </w:tc>
        <w:tc>
          <w:tcPr>
            <w:tcW w:w="636" w:type="dxa"/>
          </w:tcPr>
          <w:p w14:paraId="5D22F467" w14:textId="77777777" w:rsidR="00AD3934" w:rsidRPr="008B7D28" w:rsidRDefault="00AD3934" w:rsidP="00306F39">
            <w:pPr>
              <w:spacing w:after="120"/>
              <w:rPr>
                <w:rFonts w:cs="Arial"/>
              </w:rPr>
            </w:pPr>
            <w:r>
              <w:rPr>
                <w:rFonts w:cs="Arial"/>
              </w:rPr>
              <w:t>9.1</w:t>
            </w:r>
          </w:p>
        </w:tc>
        <w:tc>
          <w:tcPr>
            <w:tcW w:w="637" w:type="dxa"/>
          </w:tcPr>
          <w:p w14:paraId="2106F2E1" w14:textId="77777777" w:rsidR="00AD3934" w:rsidRPr="008B7D28" w:rsidRDefault="00AD3934" w:rsidP="00306F39">
            <w:pPr>
              <w:spacing w:after="120"/>
              <w:rPr>
                <w:rFonts w:cs="Arial"/>
              </w:rPr>
            </w:pPr>
            <w:r>
              <w:rPr>
                <w:rFonts w:cs="Arial"/>
              </w:rPr>
              <w:t>9.2</w:t>
            </w:r>
          </w:p>
        </w:tc>
        <w:tc>
          <w:tcPr>
            <w:tcW w:w="636" w:type="dxa"/>
          </w:tcPr>
          <w:p w14:paraId="22A064F3" w14:textId="77777777" w:rsidR="00AD3934" w:rsidRDefault="00AD3934" w:rsidP="00306F39">
            <w:pPr>
              <w:spacing w:after="120"/>
              <w:rPr>
                <w:rFonts w:cs="Arial"/>
              </w:rPr>
            </w:pPr>
            <w:r>
              <w:rPr>
                <w:rFonts w:cs="Arial"/>
              </w:rPr>
              <w:t>9.3</w:t>
            </w:r>
          </w:p>
        </w:tc>
        <w:tc>
          <w:tcPr>
            <w:tcW w:w="636" w:type="dxa"/>
          </w:tcPr>
          <w:p w14:paraId="7E4D957E" w14:textId="77777777" w:rsidR="00AD3934" w:rsidRDefault="00AD3934" w:rsidP="00306F39">
            <w:pPr>
              <w:spacing w:after="120"/>
              <w:rPr>
                <w:rFonts w:cs="Arial"/>
              </w:rPr>
            </w:pPr>
            <w:r>
              <w:rPr>
                <w:rFonts w:cs="Arial"/>
              </w:rPr>
              <w:t>9.4</w:t>
            </w:r>
          </w:p>
        </w:tc>
      </w:tr>
      <w:tr w:rsidR="00AD3934" w:rsidRPr="008B7D28" w14:paraId="31891B5A" w14:textId="77777777" w:rsidTr="00BC6E9C">
        <w:trPr>
          <w:trHeight w:val="68"/>
        </w:trPr>
        <w:tc>
          <w:tcPr>
            <w:tcW w:w="3244" w:type="dxa"/>
            <w:shd w:val="clear" w:color="auto" w:fill="D9D9D9" w:themeFill="background1" w:themeFillShade="D9"/>
          </w:tcPr>
          <w:p w14:paraId="4AD0A854" w14:textId="77777777" w:rsidR="00AD3934" w:rsidRPr="008B7D28" w:rsidRDefault="00AD3934" w:rsidP="00306F39">
            <w:pPr>
              <w:spacing w:after="120"/>
              <w:rPr>
                <w:rFonts w:cs="Arial"/>
                <w:b/>
              </w:rPr>
            </w:pPr>
            <w:r w:rsidRPr="008B7D28">
              <w:rPr>
                <w:rFonts w:cs="Arial"/>
                <w:b/>
              </w:rPr>
              <w:t>Learning/ teaching method</w:t>
            </w:r>
          </w:p>
        </w:tc>
        <w:tc>
          <w:tcPr>
            <w:tcW w:w="636" w:type="dxa"/>
          </w:tcPr>
          <w:p w14:paraId="41D68CF6" w14:textId="77777777" w:rsidR="00AD3934" w:rsidRPr="008B7D28" w:rsidRDefault="00AD3934" w:rsidP="00306F39">
            <w:pPr>
              <w:spacing w:after="120"/>
              <w:rPr>
                <w:rFonts w:cs="Arial"/>
                <w:b/>
              </w:rPr>
            </w:pPr>
          </w:p>
        </w:tc>
        <w:tc>
          <w:tcPr>
            <w:tcW w:w="636" w:type="dxa"/>
          </w:tcPr>
          <w:p w14:paraId="5EEA94A1" w14:textId="77777777" w:rsidR="00AD3934" w:rsidRPr="008B7D28" w:rsidRDefault="00AD3934" w:rsidP="00306F39">
            <w:pPr>
              <w:spacing w:after="120"/>
              <w:rPr>
                <w:rFonts w:cs="Arial"/>
                <w:b/>
              </w:rPr>
            </w:pPr>
          </w:p>
        </w:tc>
        <w:tc>
          <w:tcPr>
            <w:tcW w:w="636" w:type="dxa"/>
          </w:tcPr>
          <w:p w14:paraId="6854C777" w14:textId="77777777" w:rsidR="00AD3934" w:rsidRPr="008B7D28" w:rsidRDefault="00AD3934" w:rsidP="00306F39">
            <w:pPr>
              <w:spacing w:after="120"/>
              <w:rPr>
                <w:rFonts w:cs="Arial"/>
                <w:b/>
              </w:rPr>
            </w:pPr>
          </w:p>
        </w:tc>
        <w:tc>
          <w:tcPr>
            <w:tcW w:w="637" w:type="dxa"/>
          </w:tcPr>
          <w:p w14:paraId="17751E6A" w14:textId="77777777" w:rsidR="00AD3934" w:rsidRPr="008B7D28" w:rsidRDefault="00AD3934" w:rsidP="00306F39">
            <w:pPr>
              <w:spacing w:after="120"/>
              <w:rPr>
                <w:rFonts w:cs="Arial"/>
                <w:b/>
              </w:rPr>
            </w:pPr>
          </w:p>
        </w:tc>
        <w:tc>
          <w:tcPr>
            <w:tcW w:w="636" w:type="dxa"/>
          </w:tcPr>
          <w:p w14:paraId="031C777E" w14:textId="77777777" w:rsidR="00AD3934" w:rsidRPr="008B7D28" w:rsidRDefault="00AD3934" w:rsidP="00306F39">
            <w:pPr>
              <w:spacing w:after="120"/>
              <w:rPr>
                <w:rFonts w:cs="Arial"/>
                <w:b/>
              </w:rPr>
            </w:pPr>
          </w:p>
        </w:tc>
        <w:tc>
          <w:tcPr>
            <w:tcW w:w="636" w:type="dxa"/>
          </w:tcPr>
          <w:p w14:paraId="7620CBFA" w14:textId="77777777" w:rsidR="00AD3934" w:rsidRPr="008B7D28" w:rsidRDefault="00AD3934" w:rsidP="00306F39">
            <w:pPr>
              <w:spacing w:after="120"/>
              <w:rPr>
                <w:rFonts w:cs="Arial"/>
                <w:b/>
              </w:rPr>
            </w:pPr>
          </w:p>
        </w:tc>
        <w:tc>
          <w:tcPr>
            <w:tcW w:w="637" w:type="dxa"/>
          </w:tcPr>
          <w:p w14:paraId="633E204B" w14:textId="77777777" w:rsidR="00AD3934" w:rsidRPr="008B7D28" w:rsidRDefault="00AD3934" w:rsidP="00306F39">
            <w:pPr>
              <w:spacing w:after="120"/>
              <w:rPr>
                <w:rFonts w:cs="Arial"/>
                <w:b/>
              </w:rPr>
            </w:pPr>
          </w:p>
        </w:tc>
        <w:tc>
          <w:tcPr>
            <w:tcW w:w="636" w:type="dxa"/>
          </w:tcPr>
          <w:p w14:paraId="6169D25B" w14:textId="77777777" w:rsidR="00AD3934" w:rsidRPr="008B7D28" w:rsidRDefault="00AD3934" w:rsidP="00306F39">
            <w:pPr>
              <w:spacing w:after="120"/>
              <w:rPr>
                <w:rFonts w:cs="Arial"/>
                <w:b/>
              </w:rPr>
            </w:pPr>
          </w:p>
        </w:tc>
        <w:tc>
          <w:tcPr>
            <w:tcW w:w="636" w:type="dxa"/>
          </w:tcPr>
          <w:p w14:paraId="33B7E997" w14:textId="77777777" w:rsidR="00AD3934" w:rsidRPr="008B7D28" w:rsidRDefault="00AD3934" w:rsidP="00306F39">
            <w:pPr>
              <w:spacing w:after="120"/>
              <w:rPr>
                <w:rFonts w:cs="Arial"/>
                <w:b/>
              </w:rPr>
            </w:pPr>
          </w:p>
        </w:tc>
      </w:tr>
      <w:tr w:rsidR="00AD3934" w:rsidRPr="008B7D28" w14:paraId="47997779" w14:textId="77777777" w:rsidTr="00BC6E9C">
        <w:trPr>
          <w:trHeight w:val="339"/>
        </w:trPr>
        <w:tc>
          <w:tcPr>
            <w:tcW w:w="3244" w:type="dxa"/>
          </w:tcPr>
          <w:p w14:paraId="73EB08D5" w14:textId="77777777" w:rsidR="00AD3934" w:rsidRPr="008B7D28" w:rsidRDefault="00AD3934" w:rsidP="00306F39">
            <w:pPr>
              <w:spacing w:after="120"/>
              <w:rPr>
                <w:rFonts w:cs="Arial"/>
              </w:rPr>
            </w:pPr>
            <w:r w:rsidRPr="008B7D28">
              <w:rPr>
                <w:rFonts w:cs="Arial"/>
              </w:rPr>
              <w:t>Private Study</w:t>
            </w:r>
          </w:p>
        </w:tc>
        <w:tc>
          <w:tcPr>
            <w:tcW w:w="636" w:type="dxa"/>
          </w:tcPr>
          <w:p w14:paraId="1ABEDBFA" w14:textId="77777777" w:rsidR="00AD3934" w:rsidRPr="00476D37" w:rsidRDefault="00AD3934" w:rsidP="00306F39">
            <w:pPr>
              <w:spacing w:after="120"/>
              <w:rPr>
                <w:rFonts w:cs="Arial"/>
                <w:b/>
              </w:rPr>
            </w:pPr>
            <w:r w:rsidRPr="00476D37">
              <w:rPr>
                <w:rFonts w:cs="Arial"/>
                <w:b/>
              </w:rPr>
              <w:t>x</w:t>
            </w:r>
          </w:p>
        </w:tc>
        <w:tc>
          <w:tcPr>
            <w:tcW w:w="636" w:type="dxa"/>
          </w:tcPr>
          <w:p w14:paraId="2709BE65" w14:textId="77777777" w:rsidR="00AD3934" w:rsidRPr="00476D37" w:rsidRDefault="00AD3934" w:rsidP="00306F39">
            <w:pPr>
              <w:spacing w:after="120"/>
              <w:rPr>
                <w:rFonts w:cs="Arial"/>
                <w:b/>
              </w:rPr>
            </w:pPr>
            <w:r w:rsidRPr="00476D37">
              <w:rPr>
                <w:rFonts w:cs="Arial"/>
                <w:b/>
              </w:rPr>
              <w:t>x</w:t>
            </w:r>
          </w:p>
        </w:tc>
        <w:tc>
          <w:tcPr>
            <w:tcW w:w="636" w:type="dxa"/>
          </w:tcPr>
          <w:p w14:paraId="3BD9E17D" w14:textId="77777777" w:rsidR="00AD3934" w:rsidRPr="00476D37" w:rsidRDefault="00AD3934" w:rsidP="00306F39">
            <w:pPr>
              <w:spacing w:after="120"/>
              <w:rPr>
                <w:rFonts w:cs="Arial"/>
                <w:b/>
              </w:rPr>
            </w:pPr>
            <w:r w:rsidRPr="00476D37">
              <w:rPr>
                <w:rFonts w:cs="Arial"/>
                <w:b/>
              </w:rPr>
              <w:t>x</w:t>
            </w:r>
          </w:p>
        </w:tc>
        <w:tc>
          <w:tcPr>
            <w:tcW w:w="637" w:type="dxa"/>
          </w:tcPr>
          <w:p w14:paraId="30AC461D" w14:textId="77777777" w:rsidR="00AD3934" w:rsidRPr="00476D37" w:rsidRDefault="00AD3934" w:rsidP="00306F39">
            <w:pPr>
              <w:spacing w:after="120"/>
              <w:rPr>
                <w:rFonts w:cs="Arial"/>
                <w:b/>
              </w:rPr>
            </w:pPr>
            <w:r w:rsidRPr="00476D37">
              <w:rPr>
                <w:rFonts w:cs="Arial"/>
                <w:b/>
              </w:rPr>
              <w:t>x</w:t>
            </w:r>
          </w:p>
        </w:tc>
        <w:tc>
          <w:tcPr>
            <w:tcW w:w="636" w:type="dxa"/>
          </w:tcPr>
          <w:p w14:paraId="5C0A87DF" w14:textId="77777777" w:rsidR="00AD3934" w:rsidRPr="00476D37" w:rsidRDefault="00AD3934" w:rsidP="00306F39">
            <w:pPr>
              <w:spacing w:after="120"/>
              <w:rPr>
                <w:rFonts w:cs="Arial"/>
                <w:b/>
              </w:rPr>
            </w:pPr>
            <w:r w:rsidRPr="00476D37">
              <w:rPr>
                <w:rFonts w:cs="Arial"/>
                <w:b/>
              </w:rPr>
              <w:t>x</w:t>
            </w:r>
          </w:p>
        </w:tc>
        <w:tc>
          <w:tcPr>
            <w:tcW w:w="636" w:type="dxa"/>
          </w:tcPr>
          <w:p w14:paraId="1B0B5ED7" w14:textId="77777777" w:rsidR="00AD3934" w:rsidRPr="00476D37" w:rsidRDefault="00AD3934" w:rsidP="00306F39">
            <w:pPr>
              <w:spacing w:after="120"/>
              <w:rPr>
                <w:rFonts w:cs="Arial"/>
                <w:b/>
              </w:rPr>
            </w:pPr>
            <w:r w:rsidRPr="00476D37">
              <w:rPr>
                <w:rFonts w:cs="Arial"/>
                <w:b/>
              </w:rPr>
              <w:t>x</w:t>
            </w:r>
          </w:p>
        </w:tc>
        <w:tc>
          <w:tcPr>
            <w:tcW w:w="637" w:type="dxa"/>
          </w:tcPr>
          <w:p w14:paraId="1E421601" w14:textId="77777777" w:rsidR="00AD3934" w:rsidRPr="00476D37" w:rsidRDefault="00AD3934" w:rsidP="00306F39">
            <w:pPr>
              <w:spacing w:after="120"/>
              <w:rPr>
                <w:rFonts w:cs="Arial"/>
                <w:b/>
              </w:rPr>
            </w:pPr>
            <w:r w:rsidRPr="00476D37">
              <w:rPr>
                <w:rFonts w:cs="Arial"/>
                <w:b/>
              </w:rPr>
              <w:t>x</w:t>
            </w:r>
          </w:p>
        </w:tc>
        <w:tc>
          <w:tcPr>
            <w:tcW w:w="636" w:type="dxa"/>
          </w:tcPr>
          <w:p w14:paraId="6852EB2B" w14:textId="77777777" w:rsidR="00AD3934" w:rsidRPr="00476D37" w:rsidRDefault="00AD3934" w:rsidP="00306F39">
            <w:pPr>
              <w:spacing w:after="120"/>
              <w:rPr>
                <w:rFonts w:cs="Arial"/>
                <w:b/>
              </w:rPr>
            </w:pPr>
            <w:r w:rsidRPr="00476D37">
              <w:rPr>
                <w:rFonts w:cs="Arial"/>
                <w:b/>
              </w:rPr>
              <w:t>x</w:t>
            </w:r>
          </w:p>
        </w:tc>
        <w:tc>
          <w:tcPr>
            <w:tcW w:w="636" w:type="dxa"/>
          </w:tcPr>
          <w:p w14:paraId="5014C369" w14:textId="77777777" w:rsidR="00AD3934" w:rsidRPr="00476D37" w:rsidRDefault="00AD3934" w:rsidP="00306F39">
            <w:pPr>
              <w:spacing w:after="120"/>
              <w:rPr>
                <w:rFonts w:cs="Arial"/>
                <w:b/>
              </w:rPr>
            </w:pPr>
            <w:r w:rsidRPr="00476D37">
              <w:rPr>
                <w:rFonts w:cs="Arial"/>
                <w:b/>
              </w:rPr>
              <w:t>x</w:t>
            </w:r>
          </w:p>
        </w:tc>
      </w:tr>
      <w:tr w:rsidR="00AD3934" w:rsidRPr="008B7D28" w14:paraId="23F2D790" w14:textId="77777777" w:rsidTr="00BC6E9C">
        <w:trPr>
          <w:trHeight w:val="354"/>
        </w:trPr>
        <w:tc>
          <w:tcPr>
            <w:tcW w:w="3244" w:type="dxa"/>
          </w:tcPr>
          <w:p w14:paraId="65893F1C" w14:textId="77777777" w:rsidR="00AD3934" w:rsidRPr="00D64113" w:rsidRDefault="00AD3934" w:rsidP="00306F39">
            <w:pPr>
              <w:spacing w:after="120"/>
              <w:rPr>
                <w:rFonts w:cs="Arial"/>
              </w:rPr>
            </w:pPr>
            <w:r w:rsidRPr="00D64113">
              <w:rPr>
                <w:rFonts w:cs="Arial"/>
              </w:rPr>
              <w:t>Seminars</w:t>
            </w:r>
          </w:p>
        </w:tc>
        <w:tc>
          <w:tcPr>
            <w:tcW w:w="636" w:type="dxa"/>
          </w:tcPr>
          <w:p w14:paraId="5D47136D" w14:textId="77777777" w:rsidR="00AD3934" w:rsidRPr="00476D37" w:rsidRDefault="00AD3934" w:rsidP="00306F39">
            <w:pPr>
              <w:spacing w:after="120"/>
              <w:rPr>
                <w:rFonts w:cs="Arial"/>
                <w:b/>
              </w:rPr>
            </w:pPr>
            <w:r w:rsidRPr="00476D37">
              <w:rPr>
                <w:rFonts w:cs="Arial"/>
                <w:b/>
              </w:rPr>
              <w:t>x</w:t>
            </w:r>
          </w:p>
        </w:tc>
        <w:tc>
          <w:tcPr>
            <w:tcW w:w="636" w:type="dxa"/>
          </w:tcPr>
          <w:p w14:paraId="0AC118EA" w14:textId="77777777" w:rsidR="00AD3934" w:rsidRPr="00476D37" w:rsidRDefault="00AD3934" w:rsidP="00306F39">
            <w:pPr>
              <w:spacing w:after="120"/>
              <w:rPr>
                <w:rFonts w:cs="Arial"/>
                <w:b/>
              </w:rPr>
            </w:pPr>
            <w:r w:rsidRPr="00476D37">
              <w:rPr>
                <w:rFonts w:cs="Arial"/>
                <w:b/>
              </w:rPr>
              <w:t>x</w:t>
            </w:r>
          </w:p>
        </w:tc>
        <w:tc>
          <w:tcPr>
            <w:tcW w:w="636" w:type="dxa"/>
          </w:tcPr>
          <w:p w14:paraId="2CE57418" w14:textId="77777777" w:rsidR="00AD3934" w:rsidRPr="00476D37" w:rsidRDefault="00AD3934" w:rsidP="00306F39">
            <w:pPr>
              <w:spacing w:after="120"/>
              <w:rPr>
                <w:rFonts w:cs="Arial"/>
                <w:b/>
              </w:rPr>
            </w:pPr>
            <w:r w:rsidRPr="00476D37">
              <w:rPr>
                <w:rFonts w:cs="Arial"/>
                <w:b/>
              </w:rPr>
              <w:t>x</w:t>
            </w:r>
          </w:p>
        </w:tc>
        <w:tc>
          <w:tcPr>
            <w:tcW w:w="637" w:type="dxa"/>
          </w:tcPr>
          <w:p w14:paraId="79A38133" w14:textId="77777777" w:rsidR="00AD3934" w:rsidRPr="00476D37" w:rsidRDefault="00AD3934" w:rsidP="00306F39">
            <w:pPr>
              <w:spacing w:after="120"/>
              <w:rPr>
                <w:rFonts w:cs="Arial"/>
                <w:b/>
              </w:rPr>
            </w:pPr>
            <w:r w:rsidRPr="00476D37">
              <w:rPr>
                <w:rFonts w:cs="Arial"/>
                <w:b/>
              </w:rPr>
              <w:t>x</w:t>
            </w:r>
          </w:p>
        </w:tc>
        <w:tc>
          <w:tcPr>
            <w:tcW w:w="636" w:type="dxa"/>
          </w:tcPr>
          <w:p w14:paraId="10A0827B" w14:textId="77777777" w:rsidR="00AD3934" w:rsidRPr="00476D37" w:rsidRDefault="00AD3934" w:rsidP="00306F39">
            <w:pPr>
              <w:spacing w:after="120"/>
              <w:rPr>
                <w:rFonts w:cs="Arial"/>
                <w:b/>
              </w:rPr>
            </w:pPr>
            <w:r w:rsidRPr="00476D37">
              <w:rPr>
                <w:rFonts w:cs="Arial"/>
                <w:b/>
              </w:rPr>
              <w:t>x</w:t>
            </w:r>
          </w:p>
        </w:tc>
        <w:tc>
          <w:tcPr>
            <w:tcW w:w="636" w:type="dxa"/>
          </w:tcPr>
          <w:p w14:paraId="78BA7362" w14:textId="77777777" w:rsidR="00AD3934" w:rsidRPr="00476D37" w:rsidRDefault="00AD3934" w:rsidP="00306F39">
            <w:pPr>
              <w:spacing w:after="120"/>
              <w:rPr>
                <w:rFonts w:cs="Arial"/>
                <w:b/>
              </w:rPr>
            </w:pPr>
            <w:r w:rsidRPr="00476D37">
              <w:rPr>
                <w:rFonts w:cs="Arial"/>
                <w:b/>
              </w:rPr>
              <w:t>x</w:t>
            </w:r>
          </w:p>
        </w:tc>
        <w:tc>
          <w:tcPr>
            <w:tcW w:w="637" w:type="dxa"/>
          </w:tcPr>
          <w:p w14:paraId="23E97A7A" w14:textId="77777777" w:rsidR="00AD3934" w:rsidRPr="00476D37" w:rsidRDefault="00AD3934" w:rsidP="00306F39">
            <w:pPr>
              <w:spacing w:after="120"/>
              <w:rPr>
                <w:rFonts w:cs="Arial"/>
                <w:b/>
              </w:rPr>
            </w:pPr>
            <w:r w:rsidRPr="00476D37">
              <w:rPr>
                <w:rFonts w:cs="Arial"/>
                <w:b/>
              </w:rPr>
              <w:t>x</w:t>
            </w:r>
          </w:p>
        </w:tc>
        <w:tc>
          <w:tcPr>
            <w:tcW w:w="636" w:type="dxa"/>
          </w:tcPr>
          <w:p w14:paraId="4F0C682C" w14:textId="77777777" w:rsidR="00AD3934" w:rsidRPr="00476D37" w:rsidRDefault="00AD3934" w:rsidP="00306F39">
            <w:pPr>
              <w:spacing w:after="120"/>
              <w:rPr>
                <w:rFonts w:cs="Arial"/>
                <w:b/>
              </w:rPr>
            </w:pPr>
            <w:r w:rsidRPr="00476D37">
              <w:rPr>
                <w:rFonts w:cs="Arial"/>
                <w:b/>
              </w:rPr>
              <w:t>x</w:t>
            </w:r>
          </w:p>
        </w:tc>
        <w:tc>
          <w:tcPr>
            <w:tcW w:w="636" w:type="dxa"/>
          </w:tcPr>
          <w:p w14:paraId="2A052F43" w14:textId="77777777" w:rsidR="00AD3934" w:rsidRPr="00476D37" w:rsidRDefault="00AD3934" w:rsidP="00306F39">
            <w:pPr>
              <w:spacing w:after="120"/>
              <w:rPr>
                <w:rFonts w:cs="Arial"/>
                <w:b/>
              </w:rPr>
            </w:pPr>
          </w:p>
        </w:tc>
      </w:tr>
      <w:tr w:rsidR="00AD3934" w:rsidRPr="008B7D28" w14:paraId="3D61A4B3" w14:textId="77777777" w:rsidTr="00BC6E9C">
        <w:trPr>
          <w:trHeight w:val="354"/>
        </w:trPr>
        <w:tc>
          <w:tcPr>
            <w:tcW w:w="3244" w:type="dxa"/>
          </w:tcPr>
          <w:p w14:paraId="364467F6" w14:textId="77777777" w:rsidR="00AD3934" w:rsidRPr="00D64113" w:rsidRDefault="00AD3934" w:rsidP="00306F39">
            <w:pPr>
              <w:spacing w:after="120"/>
              <w:rPr>
                <w:rFonts w:cs="Arial"/>
              </w:rPr>
            </w:pPr>
            <w:r w:rsidRPr="00D64113">
              <w:rPr>
                <w:rFonts w:cs="Arial"/>
              </w:rPr>
              <w:t>Workshops</w:t>
            </w:r>
          </w:p>
        </w:tc>
        <w:tc>
          <w:tcPr>
            <w:tcW w:w="636" w:type="dxa"/>
          </w:tcPr>
          <w:p w14:paraId="79550821" w14:textId="77777777" w:rsidR="00AD3934" w:rsidRPr="00476D37" w:rsidRDefault="00AD3934" w:rsidP="00306F39">
            <w:pPr>
              <w:spacing w:after="120"/>
              <w:rPr>
                <w:rFonts w:cs="Arial"/>
                <w:b/>
              </w:rPr>
            </w:pPr>
            <w:r w:rsidRPr="00476D37">
              <w:rPr>
                <w:rFonts w:cs="Arial"/>
                <w:b/>
              </w:rPr>
              <w:t>x</w:t>
            </w:r>
          </w:p>
        </w:tc>
        <w:tc>
          <w:tcPr>
            <w:tcW w:w="636" w:type="dxa"/>
          </w:tcPr>
          <w:p w14:paraId="4E25C9EE" w14:textId="77777777" w:rsidR="00AD3934" w:rsidRPr="00476D37" w:rsidRDefault="00AD3934" w:rsidP="00306F39">
            <w:pPr>
              <w:spacing w:after="120"/>
              <w:rPr>
                <w:rFonts w:cs="Arial"/>
                <w:b/>
              </w:rPr>
            </w:pPr>
          </w:p>
        </w:tc>
        <w:tc>
          <w:tcPr>
            <w:tcW w:w="636" w:type="dxa"/>
          </w:tcPr>
          <w:p w14:paraId="1AC097B0" w14:textId="77777777" w:rsidR="00AD3934" w:rsidRPr="00476D37" w:rsidRDefault="00AD3934" w:rsidP="00306F39">
            <w:pPr>
              <w:spacing w:after="120"/>
              <w:rPr>
                <w:rFonts w:cs="Arial"/>
                <w:b/>
              </w:rPr>
            </w:pPr>
            <w:r w:rsidRPr="00476D37">
              <w:rPr>
                <w:rFonts w:cs="Arial"/>
                <w:b/>
              </w:rPr>
              <w:t>x</w:t>
            </w:r>
          </w:p>
        </w:tc>
        <w:tc>
          <w:tcPr>
            <w:tcW w:w="637" w:type="dxa"/>
          </w:tcPr>
          <w:p w14:paraId="698807D0" w14:textId="77777777" w:rsidR="00AD3934" w:rsidRPr="00476D37" w:rsidRDefault="00AD3934" w:rsidP="00306F39">
            <w:pPr>
              <w:spacing w:after="120"/>
              <w:rPr>
                <w:rFonts w:cs="Arial"/>
                <w:b/>
              </w:rPr>
            </w:pPr>
            <w:r w:rsidRPr="00476D37">
              <w:rPr>
                <w:rFonts w:cs="Arial"/>
                <w:b/>
              </w:rPr>
              <w:t>x</w:t>
            </w:r>
          </w:p>
        </w:tc>
        <w:tc>
          <w:tcPr>
            <w:tcW w:w="636" w:type="dxa"/>
          </w:tcPr>
          <w:p w14:paraId="22A09E57" w14:textId="77777777" w:rsidR="00AD3934" w:rsidRPr="00476D37" w:rsidRDefault="00AD3934" w:rsidP="00306F39">
            <w:pPr>
              <w:spacing w:after="120"/>
              <w:rPr>
                <w:rFonts w:cs="Arial"/>
                <w:b/>
              </w:rPr>
            </w:pPr>
            <w:r w:rsidRPr="00476D37">
              <w:rPr>
                <w:rFonts w:cs="Arial"/>
                <w:b/>
              </w:rPr>
              <w:t>x</w:t>
            </w:r>
          </w:p>
        </w:tc>
        <w:tc>
          <w:tcPr>
            <w:tcW w:w="636" w:type="dxa"/>
          </w:tcPr>
          <w:p w14:paraId="06E7390A" w14:textId="77777777" w:rsidR="00AD3934" w:rsidRPr="00476D37" w:rsidRDefault="00AD3934" w:rsidP="00306F39">
            <w:pPr>
              <w:spacing w:after="120"/>
              <w:rPr>
                <w:rFonts w:cs="Arial"/>
                <w:b/>
              </w:rPr>
            </w:pPr>
            <w:r w:rsidRPr="00476D37">
              <w:rPr>
                <w:rFonts w:cs="Arial"/>
                <w:b/>
              </w:rPr>
              <w:t>x</w:t>
            </w:r>
          </w:p>
        </w:tc>
        <w:tc>
          <w:tcPr>
            <w:tcW w:w="637" w:type="dxa"/>
          </w:tcPr>
          <w:p w14:paraId="6F83E868" w14:textId="77777777" w:rsidR="00AD3934" w:rsidRPr="00476D37" w:rsidRDefault="00AD3934" w:rsidP="00306F39">
            <w:pPr>
              <w:spacing w:after="120"/>
              <w:rPr>
                <w:rFonts w:cs="Arial"/>
                <w:b/>
              </w:rPr>
            </w:pPr>
            <w:r w:rsidRPr="00476D37">
              <w:rPr>
                <w:rFonts w:cs="Arial"/>
                <w:b/>
              </w:rPr>
              <w:t>x</w:t>
            </w:r>
          </w:p>
        </w:tc>
        <w:tc>
          <w:tcPr>
            <w:tcW w:w="636" w:type="dxa"/>
          </w:tcPr>
          <w:p w14:paraId="3277CB54" w14:textId="77777777" w:rsidR="00AD3934" w:rsidRPr="00476D37" w:rsidRDefault="00AD3934" w:rsidP="00306F39">
            <w:pPr>
              <w:spacing w:after="120"/>
              <w:rPr>
                <w:rFonts w:cs="Arial"/>
                <w:b/>
              </w:rPr>
            </w:pPr>
            <w:r w:rsidRPr="00476D37">
              <w:rPr>
                <w:rFonts w:cs="Arial"/>
                <w:b/>
              </w:rPr>
              <w:t>x</w:t>
            </w:r>
          </w:p>
        </w:tc>
        <w:tc>
          <w:tcPr>
            <w:tcW w:w="636" w:type="dxa"/>
          </w:tcPr>
          <w:p w14:paraId="38C01E92" w14:textId="77777777" w:rsidR="00AD3934" w:rsidRPr="00476D37" w:rsidRDefault="00AD3934" w:rsidP="00306F39">
            <w:pPr>
              <w:spacing w:after="120"/>
              <w:rPr>
                <w:rFonts w:cs="Arial"/>
                <w:b/>
              </w:rPr>
            </w:pPr>
            <w:r w:rsidRPr="00476D37">
              <w:rPr>
                <w:rFonts w:cs="Arial"/>
                <w:b/>
              </w:rPr>
              <w:t>x</w:t>
            </w:r>
          </w:p>
        </w:tc>
      </w:tr>
      <w:tr w:rsidR="00AD3934" w:rsidRPr="008B7D28" w14:paraId="1E060A9E" w14:textId="77777777" w:rsidTr="00BC6E9C">
        <w:trPr>
          <w:trHeight w:val="227"/>
        </w:trPr>
        <w:tc>
          <w:tcPr>
            <w:tcW w:w="3244" w:type="dxa"/>
            <w:shd w:val="clear" w:color="auto" w:fill="D9D9D9" w:themeFill="background1" w:themeFillShade="D9"/>
          </w:tcPr>
          <w:p w14:paraId="65F842D0" w14:textId="77777777" w:rsidR="00AD3934" w:rsidRPr="008B7D28" w:rsidRDefault="00AD3934" w:rsidP="00306F39">
            <w:pPr>
              <w:spacing w:after="120"/>
              <w:rPr>
                <w:rFonts w:cs="Arial"/>
                <w:b/>
              </w:rPr>
            </w:pPr>
            <w:r w:rsidRPr="008B7D28">
              <w:rPr>
                <w:rFonts w:cs="Arial"/>
                <w:b/>
              </w:rPr>
              <w:t>Assessment method</w:t>
            </w:r>
          </w:p>
        </w:tc>
        <w:tc>
          <w:tcPr>
            <w:tcW w:w="636" w:type="dxa"/>
          </w:tcPr>
          <w:p w14:paraId="002812F6" w14:textId="77777777" w:rsidR="00AD3934" w:rsidRPr="00476D37" w:rsidRDefault="00AD3934" w:rsidP="00306F39">
            <w:pPr>
              <w:spacing w:after="120"/>
              <w:rPr>
                <w:rFonts w:cs="Arial"/>
                <w:b/>
              </w:rPr>
            </w:pPr>
          </w:p>
        </w:tc>
        <w:tc>
          <w:tcPr>
            <w:tcW w:w="636" w:type="dxa"/>
          </w:tcPr>
          <w:p w14:paraId="1C6C2257" w14:textId="77777777" w:rsidR="00AD3934" w:rsidRPr="00476D37" w:rsidRDefault="00AD3934" w:rsidP="00306F39">
            <w:pPr>
              <w:spacing w:after="120"/>
              <w:rPr>
                <w:rFonts w:cs="Arial"/>
                <w:b/>
              </w:rPr>
            </w:pPr>
          </w:p>
        </w:tc>
        <w:tc>
          <w:tcPr>
            <w:tcW w:w="636" w:type="dxa"/>
          </w:tcPr>
          <w:p w14:paraId="7B6E1535" w14:textId="77777777" w:rsidR="00AD3934" w:rsidRPr="00476D37" w:rsidRDefault="00AD3934" w:rsidP="00306F39">
            <w:pPr>
              <w:spacing w:after="120"/>
              <w:rPr>
                <w:rFonts w:cs="Arial"/>
                <w:b/>
              </w:rPr>
            </w:pPr>
          </w:p>
        </w:tc>
        <w:tc>
          <w:tcPr>
            <w:tcW w:w="637" w:type="dxa"/>
          </w:tcPr>
          <w:p w14:paraId="493083EB" w14:textId="77777777" w:rsidR="00AD3934" w:rsidRPr="00476D37" w:rsidRDefault="00AD3934" w:rsidP="00306F39">
            <w:pPr>
              <w:spacing w:after="120"/>
              <w:rPr>
                <w:rFonts w:cs="Arial"/>
                <w:b/>
              </w:rPr>
            </w:pPr>
          </w:p>
        </w:tc>
        <w:tc>
          <w:tcPr>
            <w:tcW w:w="636" w:type="dxa"/>
          </w:tcPr>
          <w:p w14:paraId="6541BD57" w14:textId="77777777" w:rsidR="00AD3934" w:rsidRPr="00476D37" w:rsidRDefault="00AD3934" w:rsidP="00306F39">
            <w:pPr>
              <w:spacing w:after="120"/>
              <w:rPr>
                <w:rFonts w:cs="Arial"/>
                <w:b/>
              </w:rPr>
            </w:pPr>
          </w:p>
        </w:tc>
        <w:tc>
          <w:tcPr>
            <w:tcW w:w="636" w:type="dxa"/>
          </w:tcPr>
          <w:p w14:paraId="26098CD2" w14:textId="77777777" w:rsidR="00AD3934" w:rsidRPr="00476D37" w:rsidRDefault="00AD3934" w:rsidP="00306F39">
            <w:pPr>
              <w:spacing w:after="120"/>
              <w:rPr>
                <w:rFonts w:cs="Arial"/>
                <w:b/>
              </w:rPr>
            </w:pPr>
          </w:p>
        </w:tc>
        <w:tc>
          <w:tcPr>
            <w:tcW w:w="637" w:type="dxa"/>
          </w:tcPr>
          <w:p w14:paraId="576C2270" w14:textId="77777777" w:rsidR="00AD3934" w:rsidRPr="00476D37" w:rsidRDefault="00AD3934" w:rsidP="00306F39">
            <w:pPr>
              <w:spacing w:after="120"/>
              <w:rPr>
                <w:rFonts w:cs="Arial"/>
                <w:b/>
              </w:rPr>
            </w:pPr>
          </w:p>
        </w:tc>
        <w:tc>
          <w:tcPr>
            <w:tcW w:w="636" w:type="dxa"/>
          </w:tcPr>
          <w:p w14:paraId="6A720DD5" w14:textId="77777777" w:rsidR="00AD3934" w:rsidRPr="00476D37" w:rsidRDefault="00AD3934" w:rsidP="00306F39">
            <w:pPr>
              <w:spacing w:after="120"/>
              <w:rPr>
                <w:rFonts w:cs="Arial"/>
                <w:b/>
              </w:rPr>
            </w:pPr>
          </w:p>
        </w:tc>
        <w:tc>
          <w:tcPr>
            <w:tcW w:w="636" w:type="dxa"/>
          </w:tcPr>
          <w:p w14:paraId="34899AD7" w14:textId="77777777" w:rsidR="00AD3934" w:rsidRPr="00476D37" w:rsidRDefault="00AD3934" w:rsidP="00306F39">
            <w:pPr>
              <w:spacing w:after="120"/>
              <w:rPr>
                <w:rFonts w:cs="Arial"/>
                <w:b/>
              </w:rPr>
            </w:pPr>
          </w:p>
        </w:tc>
      </w:tr>
      <w:tr w:rsidR="00AD3934" w:rsidRPr="008B7D28" w14:paraId="5BB0C090" w14:textId="77777777" w:rsidTr="00BC6E9C">
        <w:trPr>
          <w:trHeight w:val="339"/>
        </w:trPr>
        <w:tc>
          <w:tcPr>
            <w:tcW w:w="3244" w:type="dxa"/>
          </w:tcPr>
          <w:p w14:paraId="68D20113" w14:textId="5924C56B" w:rsidR="00AD3934" w:rsidRPr="00D64113" w:rsidRDefault="00AD3934" w:rsidP="00306F39">
            <w:pPr>
              <w:spacing w:after="120"/>
              <w:rPr>
                <w:rFonts w:cs="Arial"/>
              </w:rPr>
            </w:pPr>
            <w:r w:rsidRPr="00D64113">
              <w:rPr>
                <w:rFonts w:cs="Arial"/>
              </w:rPr>
              <w:t xml:space="preserve">Essays </w:t>
            </w:r>
          </w:p>
        </w:tc>
        <w:tc>
          <w:tcPr>
            <w:tcW w:w="636" w:type="dxa"/>
          </w:tcPr>
          <w:p w14:paraId="5B802026" w14:textId="77777777" w:rsidR="00AD3934" w:rsidRPr="00476D37" w:rsidRDefault="00AD3934" w:rsidP="00306F39">
            <w:pPr>
              <w:spacing w:after="120"/>
              <w:rPr>
                <w:rFonts w:cs="Arial"/>
                <w:b/>
              </w:rPr>
            </w:pPr>
            <w:r w:rsidRPr="00476D37">
              <w:rPr>
                <w:rFonts w:cs="Arial"/>
                <w:b/>
              </w:rPr>
              <w:t>x</w:t>
            </w:r>
          </w:p>
        </w:tc>
        <w:tc>
          <w:tcPr>
            <w:tcW w:w="636" w:type="dxa"/>
          </w:tcPr>
          <w:p w14:paraId="5D5E415F" w14:textId="77777777" w:rsidR="00AD3934" w:rsidRPr="00476D37" w:rsidRDefault="00AD3934" w:rsidP="00306F39">
            <w:pPr>
              <w:spacing w:after="120"/>
              <w:rPr>
                <w:rFonts w:cs="Arial"/>
                <w:b/>
              </w:rPr>
            </w:pPr>
            <w:r w:rsidRPr="00476D37">
              <w:rPr>
                <w:rFonts w:cs="Arial"/>
                <w:b/>
              </w:rPr>
              <w:t>x</w:t>
            </w:r>
          </w:p>
        </w:tc>
        <w:tc>
          <w:tcPr>
            <w:tcW w:w="636" w:type="dxa"/>
          </w:tcPr>
          <w:p w14:paraId="03FEC51D" w14:textId="77777777" w:rsidR="00AD3934" w:rsidRPr="00476D37" w:rsidRDefault="00AD3934" w:rsidP="00306F39">
            <w:pPr>
              <w:spacing w:after="120"/>
              <w:rPr>
                <w:rFonts w:cs="Arial"/>
                <w:b/>
              </w:rPr>
            </w:pPr>
            <w:r w:rsidRPr="00476D37">
              <w:rPr>
                <w:rFonts w:cs="Arial"/>
                <w:b/>
              </w:rPr>
              <w:t>x</w:t>
            </w:r>
          </w:p>
        </w:tc>
        <w:tc>
          <w:tcPr>
            <w:tcW w:w="637" w:type="dxa"/>
          </w:tcPr>
          <w:p w14:paraId="5FDC96B7" w14:textId="77777777" w:rsidR="00AD3934" w:rsidRPr="00476D37" w:rsidRDefault="00AD3934" w:rsidP="00306F39">
            <w:pPr>
              <w:spacing w:after="120"/>
              <w:rPr>
                <w:rFonts w:cs="Arial"/>
                <w:b/>
              </w:rPr>
            </w:pPr>
            <w:r w:rsidRPr="00476D37">
              <w:rPr>
                <w:rFonts w:cs="Arial"/>
                <w:b/>
              </w:rPr>
              <w:t>x</w:t>
            </w:r>
          </w:p>
        </w:tc>
        <w:tc>
          <w:tcPr>
            <w:tcW w:w="636" w:type="dxa"/>
          </w:tcPr>
          <w:p w14:paraId="2C8ED8A0" w14:textId="77777777" w:rsidR="00AD3934" w:rsidRPr="00476D37" w:rsidRDefault="00AD3934" w:rsidP="00306F39">
            <w:pPr>
              <w:spacing w:after="120"/>
              <w:rPr>
                <w:rFonts w:cs="Arial"/>
                <w:b/>
              </w:rPr>
            </w:pPr>
            <w:r w:rsidRPr="00476D37">
              <w:rPr>
                <w:rFonts w:cs="Arial"/>
                <w:b/>
              </w:rPr>
              <w:t>x</w:t>
            </w:r>
          </w:p>
        </w:tc>
        <w:tc>
          <w:tcPr>
            <w:tcW w:w="636" w:type="dxa"/>
          </w:tcPr>
          <w:p w14:paraId="7F194C69" w14:textId="77777777" w:rsidR="00AD3934" w:rsidRPr="00476D37" w:rsidRDefault="00AD3934" w:rsidP="00306F39">
            <w:pPr>
              <w:spacing w:after="120"/>
              <w:rPr>
                <w:rFonts w:cs="Arial"/>
                <w:b/>
              </w:rPr>
            </w:pPr>
            <w:r w:rsidRPr="00476D37">
              <w:rPr>
                <w:rFonts w:cs="Arial"/>
                <w:b/>
              </w:rPr>
              <w:t>x</w:t>
            </w:r>
          </w:p>
        </w:tc>
        <w:tc>
          <w:tcPr>
            <w:tcW w:w="637" w:type="dxa"/>
          </w:tcPr>
          <w:p w14:paraId="089553A1" w14:textId="77777777" w:rsidR="00AD3934" w:rsidRPr="00476D37" w:rsidRDefault="00AD3934" w:rsidP="00306F39">
            <w:pPr>
              <w:spacing w:after="120"/>
              <w:rPr>
                <w:rFonts w:cs="Arial"/>
                <w:b/>
              </w:rPr>
            </w:pPr>
            <w:r w:rsidRPr="00476D37">
              <w:rPr>
                <w:rFonts w:cs="Arial"/>
                <w:b/>
              </w:rPr>
              <w:t>x</w:t>
            </w:r>
          </w:p>
        </w:tc>
        <w:tc>
          <w:tcPr>
            <w:tcW w:w="636" w:type="dxa"/>
          </w:tcPr>
          <w:p w14:paraId="63B60826" w14:textId="77777777" w:rsidR="00AD3934" w:rsidRPr="00476D37" w:rsidRDefault="00AD3934" w:rsidP="00306F39">
            <w:pPr>
              <w:spacing w:after="120"/>
              <w:rPr>
                <w:rFonts w:cs="Arial"/>
                <w:b/>
              </w:rPr>
            </w:pPr>
            <w:r w:rsidRPr="00476D37">
              <w:rPr>
                <w:rFonts w:cs="Arial"/>
                <w:b/>
              </w:rPr>
              <w:t>x</w:t>
            </w:r>
          </w:p>
        </w:tc>
        <w:tc>
          <w:tcPr>
            <w:tcW w:w="636" w:type="dxa"/>
          </w:tcPr>
          <w:p w14:paraId="596390A4" w14:textId="77777777" w:rsidR="00AD3934" w:rsidRPr="00476D37" w:rsidRDefault="00AD3934" w:rsidP="00306F39">
            <w:pPr>
              <w:spacing w:after="120"/>
              <w:rPr>
                <w:rFonts w:cs="Arial"/>
                <w:b/>
              </w:rPr>
            </w:pPr>
            <w:r w:rsidRPr="00476D37">
              <w:rPr>
                <w:rFonts w:cs="Arial"/>
                <w:b/>
              </w:rPr>
              <w:t>x</w:t>
            </w:r>
          </w:p>
        </w:tc>
      </w:tr>
      <w:tr w:rsidR="00AD3934" w:rsidRPr="008B7D28" w14:paraId="64FE4C24" w14:textId="77777777" w:rsidTr="00BC6E9C">
        <w:trPr>
          <w:trHeight w:val="354"/>
        </w:trPr>
        <w:tc>
          <w:tcPr>
            <w:tcW w:w="3244" w:type="dxa"/>
          </w:tcPr>
          <w:p w14:paraId="26D83E1D" w14:textId="77777777" w:rsidR="00AD3934" w:rsidRPr="00D64113" w:rsidRDefault="00AD3934" w:rsidP="00306F39">
            <w:pPr>
              <w:spacing w:after="120"/>
              <w:rPr>
                <w:rFonts w:cs="Arial"/>
              </w:rPr>
            </w:pPr>
            <w:r w:rsidRPr="00D64113">
              <w:rPr>
                <w:rFonts w:cs="Arial"/>
              </w:rPr>
              <w:t>Seminar performance</w:t>
            </w:r>
          </w:p>
        </w:tc>
        <w:tc>
          <w:tcPr>
            <w:tcW w:w="636" w:type="dxa"/>
          </w:tcPr>
          <w:p w14:paraId="50D3A44B" w14:textId="77777777" w:rsidR="00AD3934" w:rsidRPr="00476D37" w:rsidRDefault="00AD3934" w:rsidP="00306F39">
            <w:pPr>
              <w:spacing w:after="120"/>
              <w:rPr>
                <w:rFonts w:cs="Arial"/>
                <w:b/>
              </w:rPr>
            </w:pPr>
            <w:r w:rsidRPr="00476D37">
              <w:rPr>
                <w:rFonts w:cs="Arial"/>
                <w:b/>
              </w:rPr>
              <w:t>x</w:t>
            </w:r>
          </w:p>
        </w:tc>
        <w:tc>
          <w:tcPr>
            <w:tcW w:w="636" w:type="dxa"/>
          </w:tcPr>
          <w:p w14:paraId="6252AF34" w14:textId="77777777" w:rsidR="00AD3934" w:rsidRPr="00476D37" w:rsidRDefault="00AD3934" w:rsidP="00306F39">
            <w:pPr>
              <w:spacing w:after="120"/>
              <w:rPr>
                <w:rFonts w:cs="Arial"/>
                <w:b/>
              </w:rPr>
            </w:pPr>
            <w:r w:rsidRPr="00476D37">
              <w:rPr>
                <w:rFonts w:cs="Arial"/>
                <w:b/>
              </w:rPr>
              <w:t>x</w:t>
            </w:r>
          </w:p>
        </w:tc>
        <w:tc>
          <w:tcPr>
            <w:tcW w:w="636" w:type="dxa"/>
          </w:tcPr>
          <w:p w14:paraId="1918558E" w14:textId="77777777" w:rsidR="00AD3934" w:rsidRPr="00476D37" w:rsidRDefault="00AD3934" w:rsidP="00306F39">
            <w:pPr>
              <w:spacing w:after="120"/>
              <w:rPr>
                <w:rFonts w:cs="Arial"/>
                <w:b/>
              </w:rPr>
            </w:pPr>
            <w:r w:rsidRPr="00476D37">
              <w:rPr>
                <w:rFonts w:cs="Arial"/>
                <w:b/>
              </w:rPr>
              <w:t>x</w:t>
            </w:r>
          </w:p>
        </w:tc>
        <w:tc>
          <w:tcPr>
            <w:tcW w:w="637" w:type="dxa"/>
          </w:tcPr>
          <w:p w14:paraId="5596DF22" w14:textId="77777777" w:rsidR="00AD3934" w:rsidRPr="00476D37" w:rsidRDefault="00AD3934" w:rsidP="00306F39">
            <w:pPr>
              <w:spacing w:after="120"/>
              <w:rPr>
                <w:rFonts w:cs="Arial"/>
                <w:b/>
              </w:rPr>
            </w:pPr>
            <w:r w:rsidRPr="00476D37">
              <w:rPr>
                <w:rFonts w:cs="Arial"/>
                <w:b/>
              </w:rPr>
              <w:t>x</w:t>
            </w:r>
          </w:p>
        </w:tc>
        <w:tc>
          <w:tcPr>
            <w:tcW w:w="636" w:type="dxa"/>
          </w:tcPr>
          <w:p w14:paraId="17FAFE2F" w14:textId="77777777" w:rsidR="00AD3934" w:rsidRPr="00476D37" w:rsidRDefault="00AD3934" w:rsidP="00306F39">
            <w:pPr>
              <w:spacing w:after="120"/>
              <w:rPr>
                <w:rFonts w:cs="Arial"/>
                <w:b/>
              </w:rPr>
            </w:pPr>
            <w:r w:rsidRPr="00476D37">
              <w:rPr>
                <w:rFonts w:cs="Arial"/>
                <w:b/>
              </w:rPr>
              <w:t>x</w:t>
            </w:r>
          </w:p>
        </w:tc>
        <w:tc>
          <w:tcPr>
            <w:tcW w:w="636" w:type="dxa"/>
          </w:tcPr>
          <w:p w14:paraId="12F61AF5" w14:textId="77777777" w:rsidR="00AD3934" w:rsidRPr="00476D37" w:rsidRDefault="00AD3934" w:rsidP="00306F39">
            <w:pPr>
              <w:spacing w:after="120"/>
              <w:rPr>
                <w:rFonts w:cs="Arial"/>
                <w:b/>
              </w:rPr>
            </w:pPr>
            <w:r w:rsidRPr="00476D37">
              <w:rPr>
                <w:rFonts w:cs="Arial"/>
                <w:b/>
              </w:rPr>
              <w:t>x</w:t>
            </w:r>
          </w:p>
        </w:tc>
        <w:tc>
          <w:tcPr>
            <w:tcW w:w="637" w:type="dxa"/>
          </w:tcPr>
          <w:p w14:paraId="0674E03B" w14:textId="77777777" w:rsidR="00AD3934" w:rsidRPr="00476D37" w:rsidRDefault="00AD3934" w:rsidP="00306F39">
            <w:pPr>
              <w:spacing w:after="120"/>
              <w:rPr>
                <w:rFonts w:cs="Arial"/>
                <w:b/>
              </w:rPr>
            </w:pPr>
            <w:r w:rsidRPr="00476D37">
              <w:rPr>
                <w:rFonts w:cs="Arial"/>
                <w:b/>
              </w:rPr>
              <w:t>x</w:t>
            </w:r>
          </w:p>
        </w:tc>
        <w:tc>
          <w:tcPr>
            <w:tcW w:w="636" w:type="dxa"/>
          </w:tcPr>
          <w:p w14:paraId="4CCAE5E4" w14:textId="77777777" w:rsidR="00AD3934" w:rsidRPr="00476D37" w:rsidRDefault="00AD3934" w:rsidP="00306F39">
            <w:pPr>
              <w:spacing w:after="120"/>
              <w:rPr>
                <w:rFonts w:cs="Arial"/>
                <w:b/>
              </w:rPr>
            </w:pPr>
            <w:r w:rsidRPr="00476D37">
              <w:rPr>
                <w:rFonts w:cs="Arial"/>
                <w:b/>
              </w:rPr>
              <w:t>x</w:t>
            </w:r>
          </w:p>
        </w:tc>
        <w:tc>
          <w:tcPr>
            <w:tcW w:w="636" w:type="dxa"/>
          </w:tcPr>
          <w:p w14:paraId="1EE226FC" w14:textId="77777777" w:rsidR="00AD3934" w:rsidRPr="00476D37" w:rsidRDefault="00AD3934" w:rsidP="00306F39">
            <w:pPr>
              <w:spacing w:after="120"/>
              <w:rPr>
                <w:rFonts w:cs="Arial"/>
                <w:b/>
              </w:rPr>
            </w:pPr>
            <w:r w:rsidRPr="00476D37">
              <w:rPr>
                <w:rFonts w:cs="Arial"/>
                <w:b/>
              </w:rPr>
              <w:t>x</w:t>
            </w:r>
          </w:p>
        </w:tc>
      </w:tr>
    </w:tbl>
    <w:p w14:paraId="40C4CAE6" w14:textId="58A8AD66" w:rsidR="00636058" w:rsidRDefault="00636058" w:rsidP="00AD3934">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1F4801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A64D7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lastRenderedPageBreak/>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64599DA4" w:rsidR="009A2D37" w:rsidRDefault="00AD3934" w:rsidP="003E4FD5">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D3057EE" w:rsidR="00922E9E" w:rsidRDefault="00FD7CCF" w:rsidP="00E83922">
      <w:pPr>
        <w:spacing w:after="120" w:line="240" w:lineRule="auto"/>
        <w:ind w:left="567" w:right="543"/>
        <w:rPr>
          <w:rFonts w:ascii="Arial" w:hAnsi="Arial" w:cs="Arial"/>
          <w:sz w:val="24"/>
          <w:szCs w:val="24"/>
        </w:rPr>
      </w:pPr>
      <w:r>
        <w:rPr>
          <w:rFonts w:ascii="Arial" w:hAnsi="Arial" w:cs="Arial"/>
          <w:sz w:val="24"/>
          <w:szCs w:val="24"/>
        </w:rPr>
        <w:t xml:space="preserve">LGBTQ writing has an international appeal and relevance. Globally, queer culture tends to </w:t>
      </w:r>
      <w:r w:rsidR="00E70118">
        <w:rPr>
          <w:rFonts w:ascii="Arial" w:hAnsi="Arial" w:cs="Arial"/>
          <w:sz w:val="24"/>
          <w:szCs w:val="24"/>
        </w:rPr>
        <w:t xml:space="preserve">locate itself within North America, and, more specifically, within and through the histories of resistance associated with major cities like New York City and San Francisco. On this module, students are encouraged to explore British and Irish queer writing in a way that opens up our particular LGBTQ experiences to a global relevance. Students will be asked to consider what is particular to the British and Irish LGBTQ experience as well as what is similar in terms of global queer modes of expression, resistance, and transformation. The module will draw up on queer writing in Britain and Ireland but often the authors of these works will be tracking global perspectives or challenging Eurocentric and American notions of queerness.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A730382" w:rsidR="00422B69" w:rsidRPr="009D52D0" w:rsidRDefault="00E83922"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40F3FF25" w:rsidR="00422B69" w:rsidRPr="009D52D0" w:rsidRDefault="00E83922"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D1346E4" w:rsidR="00422B69" w:rsidRPr="009D52D0" w:rsidRDefault="00E83922"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5D1BE3DA" w:rsidR="00422B69" w:rsidRPr="009D52D0" w:rsidRDefault="00E83922"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3B401B59" w:rsidR="00422B69" w:rsidRPr="009D52D0" w:rsidRDefault="00E8392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8392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D0F8" w14:textId="77777777" w:rsidR="00E16B9E" w:rsidRDefault="00E16B9E" w:rsidP="009A2D37">
      <w:pPr>
        <w:spacing w:after="0" w:line="240" w:lineRule="auto"/>
      </w:pPr>
      <w:r>
        <w:separator/>
      </w:r>
    </w:p>
  </w:endnote>
  <w:endnote w:type="continuationSeparator" w:id="0">
    <w:p w14:paraId="52CADCC8" w14:textId="77777777" w:rsidR="00E16B9E" w:rsidRDefault="00E16B9E" w:rsidP="009A2D37">
      <w:pPr>
        <w:spacing w:after="0" w:line="240" w:lineRule="auto"/>
      </w:pPr>
      <w:r>
        <w:continuationSeparator/>
      </w:r>
    </w:p>
  </w:endnote>
  <w:endnote w:type="continuationNotice" w:id="1">
    <w:p w14:paraId="3F8414B0" w14:textId="77777777" w:rsidR="00E16B9E" w:rsidRDefault="00E16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4E8963" w:rsidR="008B2543" w:rsidRDefault="0019787E" w:rsidP="009A2D37">
        <w:pPr>
          <w:pStyle w:val="Footer"/>
          <w:jc w:val="center"/>
        </w:pPr>
        <w:r>
          <w:fldChar w:fldCharType="begin"/>
        </w:r>
        <w:r>
          <w:instrText xml:space="preserve"> PAGE   \* MERGEFORMAT </w:instrText>
        </w:r>
        <w:r>
          <w:fldChar w:fldCharType="separate"/>
        </w:r>
        <w:r w:rsidR="004F7F10">
          <w:rPr>
            <w:noProof/>
          </w:rPr>
          <w:t>4</w:t>
        </w:r>
        <w:r>
          <w:rPr>
            <w:noProof/>
          </w:rPr>
          <w:fldChar w:fldCharType="end"/>
        </w:r>
      </w:p>
    </w:sdtContent>
  </w:sdt>
  <w:p w14:paraId="26569854" w14:textId="10072C67" w:rsidR="008B2543" w:rsidRPr="007B7724" w:rsidRDefault="00ED3BE4" w:rsidP="00E83922">
    <w:pPr>
      <w:pStyle w:val="Footer"/>
      <w:spacing w:after="120"/>
      <w:ind w:right="-330"/>
      <w:jc w:val="center"/>
      <w:rPr>
        <w:rFonts w:ascii="Arial" w:hAnsi="Arial"/>
        <w:sz w:val="18"/>
      </w:rPr>
    </w:pPr>
    <w:r>
      <w:rPr>
        <w:rFonts w:ascii="Arial" w:hAnsi="Arial"/>
        <w:sz w:val="18"/>
      </w:rPr>
      <w:t>ENGL</w:t>
    </w:r>
    <w:r w:rsidR="0071743F">
      <w:rPr>
        <w:rFonts w:ascii="Arial" w:hAnsi="Arial"/>
        <w:sz w:val="18"/>
      </w:rPr>
      <w:t>6002</w:t>
    </w:r>
    <w:r>
      <w:rPr>
        <w:rFonts w:ascii="Arial" w:hAnsi="Arial"/>
        <w:sz w:val="18"/>
      </w:rPr>
      <w:t xml:space="preserve"> </w:t>
    </w:r>
    <w:r w:rsidRPr="00ED3BE4">
      <w:rPr>
        <w:rFonts w:ascii="Arial" w:hAnsi="Arial"/>
        <w:sz w:val="18"/>
      </w:rPr>
      <w:t>LGBTQ Narratives: Queer Writing from Britain and Ireland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431D323" w:rsidR="00EB41D1" w:rsidRDefault="00EB41D1" w:rsidP="00EB41D1">
        <w:pPr>
          <w:pStyle w:val="Footer"/>
          <w:jc w:val="center"/>
        </w:pPr>
        <w:r>
          <w:fldChar w:fldCharType="begin"/>
        </w:r>
        <w:r>
          <w:instrText xml:space="preserve"> PAGE   \* MERGEFORMAT </w:instrText>
        </w:r>
        <w:r>
          <w:fldChar w:fldCharType="separate"/>
        </w:r>
        <w:r w:rsidR="00E83922">
          <w:rPr>
            <w:noProof/>
          </w:rPr>
          <w:t>1</w:t>
        </w:r>
        <w:r>
          <w:rPr>
            <w:noProof/>
          </w:rPr>
          <w:fldChar w:fldCharType="end"/>
        </w:r>
      </w:p>
    </w:sdtContent>
  </w:sdt>
  <w:p w14:paraId="130325A7" w14:textId="77777777" w:rsidR="0071743F" w:rsidRPr="007B7724" w:rsidRDefault="0071743F" w:rsidP="0071743F">
    <w:pPr>
      <w:pStyle w:val="Footer"/>
      <w:spacing w:after="120"/>
      <w:ind w:right="-330"/>
      <w:rPr>
        <w:rFonts w:ascii="Arial" w:hAnsi="Arial"/>
        <w:sz w:val="18"/>
      </w:rPr>
    </w:pPr>
    <w:r>
      <w:rPr>
        <w:rFonts w:ascii="Arial" w:hAnsi="Arial"/>
        <w:sz w:val="18"/>
      </w:rPr>
      <w:t xml:space="preserve">ENGL6002 </w:t>
    </w:r>
    <w:r w:rsidRPr="00ED3BE4">
      <w:rPr>
        <w:rFonts w:ascii="Arial" w:hAnsi="Arial"/>
        <w:sz w:val="18"/>
      </w:rPr>
      <w:t>LGBTQ Narratives: Queer Writing from Britain and Ireland</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E639" w14:textId="77777777" w:rsidR="00E16B9E" w:rsidRDefault="00E16B9E" w:rsidP="009A2D37">
      <w:pPr>
        <w:spacing w:after="0" w:line="240" w:lineRule="auto"/>
      </w:pPr>
      <w:r>
        <w:separator/>
      </w:r>
    </w:p>
  </w:footnote>
  <w:footnote w:type="continuationSeparator" w:id="0">
    <w:p w14:paraId="496F479A" w14:textId="77777777" w:rsidR="00E16B9E" w:rsidRDefault="00E16B9E" w:rsidP="009A2D37">
      <w:pPr>
        <w:spacing w:after="0" w:line="240" w:lineRule="auto"/>
      </w:pPr>
      <w:r>
        <w:continuationSeparator/>
      </w:r>
    </w:p>
  </w:footnote>
  <w:footnote w:type="continuationNotice" w:id="1">
    <w:p w14:paraId="1626FD92" w14:textId="77777777" w:rsidR="00E16B9E" w:rsidRDefault="00E16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F82D66"/>
    <w:multiLevelType w:val="multilevel"/>
    <w:tmpl w:val="DCE49C5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4A7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AFC"/>
    <w:rsid w:val="00106BE5"/>
    <w:rsid w:val="00110947"/>
    <w:rsid w:val="00111906"/>
    <w:rsid w:val="00111CB3"/>
    <w:rsid w:val="0011709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050"/>
    <w:rsid w:val="0019787E"/>
    <w:rsid w:val="001A425B"/>
    <w:rsid w:val="001A7762"/>
    <w:rsid w:val="001B1B28"/>
    <w:rsid w:val="001B27FB"/>
    <w:rsid w:val="001B6450"/>
    <w:rsid w:val="001C1787"/>
    <w:rsid w:val="001C4623"/>
    <w:rsid w:val="001C4A85"/>
    <w:rsid w:val="001C5443"/>
    <w:rsid w:val="001D0C7D"/>
    <w:rsid w:val="001D1F2D"/>
    <w:rsid w:val="001D2314"/>
    <w:rsid w:val="001D56FA"/>
    <w:rsid w:val="001D6398"/>
    <w:rsid w:val="001E1159"/>
    <w:rsid w:val="001E1F45"/>
    <w:rsid w:val="001E2D4B"/>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17B7"/>
    <w:rsid w:val="00273CF0"/>
    <w:rsid w:val="002748D4"/>
    <w:rsid w:val="00274ACB"/>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603"/>
    <w:rsid w:val="00374DF6"/>
    <w:rsid w:val="003759B0"/>
    <w:rsid w:val="00375F84"/>
    <w:rsid w:val="00376E34"/>
    <w:rsid w:val="003804E7"/>
    <w:rsid w:val="00391263"/>
    <w:rsid w:val="003934D2"/>
    <w:rsid w:val="003973A1"/>
    <w:rsid w:val="003A5DA0"/>
    <w:rsid w:val="003A5EEB"/>
    <w:rsid w:val="003A6143"/>
    <w:rsid w:val="003B1A82"/>
    <w:rsid w:val="003B35F4"/>
    <w:rsid w:val="003B7C76"/>
    <w:rsid w:val="003C26BA"/>
    <w:rsid w:val="003C3E0C"/>
    <w:rsid w:val="003C5BC7"/>
    <w:rsid w:val="003C776B"/>
    <w:rsid w:val="003D4A1C"/>
    <w:rsid w:val="003D7AA0"/>
    <w:rsid w:val="003E1FF7"/>
    <w:rsid w:val="003E311D"/>
    <w:rsid w:val="003E4FD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0514"/>
    <w:rsid w:val="00471C6C"/>
    <w:rsid w:val="00472023"/>
    <w:rsid w:val="00476167"/>
    <w:rsid w:val="00486993"/>
    <w:rsid w:val="00492DA4"/>
    <w:rsid w:val="00496AA3"/>
    <w:rsid w:val="00497C98"/>
    <w:rsid w:val="004A28F7"/>
    <w:rsid w:val="004A39D7"/>
    <w:rsid w:val="004A3C23"/>
    <w:rsid w:val="004A55FA"/>
    <w:rsid w:val="004B5D03"/>
    <w:rsid w:val="004C1EC4"/>
    <w:rsid w:val="004D035C"/>
    <w:rsid w:val="004E5ABD"/>
    <w:rsid w:val="004F3C18"/>
    <w:rsid w:val="004F4328"/>
    <w:rsid w:val="004F7F10"/>
    <w:rsid w:val="005005E4"/>
    <w:rsid w:val="00500B56"/>
    <w:rsid w:val="00513689"/>
    <w:rsid w:val="0051375A"/>
    <w:rsid w:val="00521097"/>
    <w:rsid w:val="00521FF3"/>
    <w:rsid w:val="0053059E"/>
    <w:rsid w:val="00532F6F"/>
    <w:rsid w:val="00533663"/>
    <w:rsid w:val="005460C2"/>
    <w:rsid w:val="005526FB"/>
    <w:rsid w:val="0055280A"/>
    <w:rsid w:val="00553D19"/>
    <w:rsid w:val="005548E1"/>
    <w:rsid w:val="0055585D"/>
    <w:rsid w:val="0056127B"/>
    <w:rsid w:val="00561D26"/>
    <w:rsid w:val="00564738"/>
    <w:rsid w:val="00565CBE"/>
    <w:rsid w:val="00567EC9"/>
    <w:rsid w:val="00571630"/>
    <w:rsid w:val="005718A2"/>
    <w:rsid w:val="005759F4"/>
    <w:rsid w:val="005779D1"/>
    <w:rsid w:val="0058041A"/>
    <w:rsid w:val="00586996"/>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A38"/>
    <w:rsid w:val="006A6BB4"/>
    <w:rsid w:val="006A6D16"/>
    <w:rsid w:val="006A7FB0"/>
    <w:rsid w:val="006C2A9A"/>
    <w:rsid w:val="006C423D"/>
    <w:rsid w:val="006C46EF"/>
    <w:rsid w:val="006C4C67"/>
    <w:rsid w:val="006D1223"/>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743F"/>
    <w:rsid w:val="00720270"/>
    <w:rsid w:val="00724362"/>
    <w:rsid w:val="00727780"/>
    <w:rsid w:val="0073792C"/>
    <w:rsid w:val="00742B7F"/>
    <w:rsid w:val="00754069"/>
    <w:rsid w:val="00765ED0"/>
    <w:rsid w:val="007667DF"/>
    <w:rsid w:val="0077080B"/>
    <w:rsid w:val="00771A04"/>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068"/>
    <w:rsid w:val="007C74B4"/>
    <w:rsid w:val="007E3412"/>
    <w:rsid w:val="007F393D"/>
    <w:rsid w:val="0080277F"/>
    <w:rsid w:val="008029AF"/>
    <w:rsid w:val="00802FFA"/>
    <w:rsid w:val="00806FCC"/>
    <w:rsid w:val="008102E5"/>
    <w:rsid w:val="008111B4"/>
    <w:rsid w:val="008133F0"/>
    <w:rsid w:val="00815880"/>
    <w:rsid w:val="0082322C"/>
    <w:rsid w:val="00823942"/>
    <w:rsid w:val="00827FFD"/>
    <w:rsid w:val="0083535F"/>
    <w:rsid w:val="00854535"/>
    <w:rsid w:val="00856EB3"/>
    <w:rsid w:val="008610BA"/>
    <w:rsid w:val="00863C96"/>
    <w:rsid w:val="00864A72"/>
    <w:rsid w:val="00870653"/>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257F0"/>
    <w:rsid w:val="0092688E"/>
    <w:rsid w:val="00934D7B"/>
    <w:rsid w:val="00947180"/>
    <w:rsid w:val="0094748F"/>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862"/>
    <w:rsid w:val="009F058B"/>
    <w:rsid w:val="009F3A2A"/>
    <w:rsid w:val="009F5EA4"/>
    <w:rsid w:val="009F731F"/>
    <w:rsid w:val="009F7D33"/>
    <w:rsid w:val="00A01E4D"/>
    <w:rsid w:val="00A021FE"/>
    <w:rsid w:val="00A1270E"/>
    <w:rsid w:val="00A13526"/>
    <w:rsid w:val="00A15342"/>
    <w:rsid w:val="00A15EC7"/>
    <w:rsid w:val="00A3007E"/>
    <w:rsid w:val="00A32048"/>
    <w:rsid w:val="00A41F06"/>
    <w:rsid w:val="00A50FD4"/>
    <w:rsid w:val="00A52DB4"/>
    <w:rsid w:val="00A618E1"/>
    <w:rsid w:val="00A629B9"/>
    <w:rsid w:val="00A64D74"/>
    <w:rsid w:val="00A70C20"/>
    <w:rsid w:val="00A74292"/>
    <w:rsid w:val="00A776DE"/>
    <w:rsid w:val="00A80640"/>
    <w:rsid w:val="00A87FFD"/>
    <w:rsid w:val="00A97038"/>
    <w:rsid w:val="00A97CB8"/>
    <w:rsid w:val="00AA3C15"/>
    <w:rsid w:val="00AA6330"/>
    <w:rsid w:val="00AC7501"/>
    <w:rsid w:val="00AD2456"/>
    <w:rsid w:val="00AD3934"/>
    <w:rsid w:val="00AD748B"/>
    <w:rsid w:val="00AE4865"/>
    <w:rsid w:val="00AE4887"/>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5FC1"/>
    <w:rsid w:val="00B7664D"/>
    <w:rsid w:val="00B80989"/>
    <w:rsid w:val="00B83657"/>
    <w:rsid w:val="00B90C66"/>
    <w:rsid w:val="00B9109B"/>
    <w:rsid w:val="00B927AE"/>
    <w:rsid w:val="00B93721"/>
    <w:rsid w:val="00B937B1"/>
    <w:rsid w:val="00BA453C"/>
    <w:rsid w:val="00BA4E02"/>
    <w:rsid w:val="00BB2045"/>
    <w:rsid w:val="00BB2A6D"/>
    <w:rsid w:val="00BB4189"/>
    <w:rsid w:val="00BC19F7"/>
    <w:rsid w:val="00BC41ED"/>
    <w:rsid w:val="00BC6E9C"/>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F0C"/>
    <w:rsid w:val="00CD7F07"/>
    <w:rsid w:val="00CE04F3"/>
    <w:rsid w:val="00CE12D8"/>
    <w:rsid w:val="00CE4574"/>
    <w:rsid w:val="00CE70E6"/>
    <w:rsid w:val="00CF0BCA"/>
    <w:rsid w:val="00CF2E1E"/>
    <w:rsid w:val="00D02E99"/>
    <w:rsid w:val="00D13357"/>
    <w:rsid w:val="00D13A13"/>
    <w:rsid w:val="00D2689A"/>
    <w:rsid w:val="00D65506"/>
    <w:rsid w:val="00D65A90"/>
    <w:rsid w:val="00D773CF"/>
    <w:rsid w:val="00D83563"/>
    <w:rsid w:val="00D8448F"/>
    <w:rsid w:val="00DA64B6"/>
    <w:rsid w:val="00DB2B91"/>
    <w:rsid w:val="00DB5C9D"/>
    <w:rsid w:val="00DD02E6"/>
    <w:rsid w:val="00DD2E74"/>
    <w:rsid w:val="00DE0384"/>
    <w:rsid w:val="00DE4181"/>
    <w:rsid w:val="00DE729E"/>
    <w:rsid w:val="00DF056F"/>
    <w:rsid w:val="00DF665B"/>
    <w:rsid w:val="00E0152A"/>
    <w:rsid w:val="00E03394"/>
    <w:rsid w:val="00E066E5"/>
    <w:rsid w:val="00E16B9E"/>
    <w:rsid w:val="00E1736E"/>
    <w:rsid w:val="00E21923"/>
    <w:rsid w:val="00E2241E"/>
    <w:rsid w:val="00E22F03"/>
    <w:rsid w:val="00E233C1"/>
    <w:rsid w:val="00E251AB"/>
    <w:rsid w:val="00E25CCA"/>
    <w:rsid w:val="00E51404"/>
    <w:rsid w:val="00E574C9"/>
    <w:rsid w:val="00E610DE"/>
    <w:rsid w:val="00E6250F"/>
    <w:rsid w:val="00E66167"/>
    <w:rsid w:val="00E70118"/>
    <w:rsid w:val="00E71F2F"/>
    <w:rsid w:val="00E77786"/>
    <w:rsid w:val="00E806FB"/>
    <w:rsid w:val="00E8186F"/>
    <w:rsid w:val="00E83922"/>
    <w:rsid w:val="00E843B1"/>
    <w:rsid w:val="00EA6F61"/>
    <w:rsid w:val="00EB0365"/>
    <w:rsid w:val="00EB1C2D"/>
    <w:rsid w:val="00EB41D1"/>
    <w:rsid w:val="00EC1810"/>
    <w:rsid w:val="00EC3FCC"/>
    <w:rsid w:val="00ED32FF"/>
    <w:rsid w:val="00ED3BE4"/>
    <w:rsid w:val="00EF039B"/>
    <w:rsid w:val="00EF0540"/>
    <w:rsid w:val="00EF4933"/>
    <w:rsid w:val="00EF5044"/>
    <w:rsid w:val="00EF5DCE"/>
    <w:rsid w:val="00F01956"/>
    <w:rsid w:val="00F04D2D"/>
    <w:rsid w:val="00F10BBA"/>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3E9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CC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9142717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8B0DB-0678-4E76-ACBF-12FD93C50EC9}">
  <ds:schemaRefs>
    <ds:schemaRef ds:uri="http://schemas.openxmlformats.org/officeDocument/2006/bibliography"/>
  </ds:schemaRefs>
</ds:datastoreItem>
</file>

<file path=customXml/itemProps2.xml><?xml version="1.0" encoding="utf-8"?>
<ds:datastoreItem xmlns:ds="http://schemas.openxmlformats.org/officeDocument/2006/customXml" ds:itemID="{EAE6870D-5D7F-4776-9C02-3945CAA04F7A}"/>
</file>

<file path=customXml/itemProps3.xml><?xml version="1.0" encoding="utf-8"?>
<ds:datastoreItem xmlns:ds="http://schemas.openxmlformats.org/officeDocument/2006/customXml" ds:itemID="{79AE62C3-B330-4CE9-993F-56CE78141D65}"/>
</file>

<file path=customXml/itemProps4.xml><?xml version="1.0" encoding="utf-8"?>
<ds:datastoreItem xmlns:ds="http://schemas.openxmlformats.org/officeDocument/2006/customXml" ds:itemID="{6798B471-3A70-45C2-A35C-ED28B7CED209}"/>
</file>

<file path=docProps/app.xml><?xml version="1.0" encoding="utf-8"?>
<Properties xmlns="http://schemas.openxmlformats.org/officeDocument/2006/extended-properties" xmlns:vt="http://schemas.openxmlformats.org/officeDocument/2006/docPropsVTypes">
  <Template>Normal.dotm</Template>
  <TotalTime>9</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2022-01-04T12:17:00Z</dcterms:created>
  <dcterms:modified xsi:type="dcterms:W3CDTF">2022-03-07T13:40:00Z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