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4414" w14:textId="72C3AFFF" w:rsidR="009A2D37" w:rsidRDefault="007A49C1" w:rsidP="00072357">
      <w:pPr>
        <w:pStyle w:val="Heading2"/>
      </w:pPr>
      <w:r w:rsidRPr="00B2615D">
        <w:t>Divi</w:t>
      </w:r>
      <w:r w:rsidR="001F420A">
        <w:t>s</w:t>
      </w:r>
      <w:r w:rsidRPr="00B2615D">
        <w:t>ion</w:t>
      </w:r>
      <w:r w:rsidR="009A2D37" w:rsidRPr="00B2615D">
        <w:t xml:space="preserve"> </w:t>
      </w:r>
      <w:bookmarkStart w:id="0" w:name="_Hlk110346276"/>
      <w:r w:rsidR="000674E0">
        <w:t xml:space="preserve">and School/Department </w:t>
      </w:r>
      <w:r w:rsidR="009A2D37" w:rsidRPr="00B2615D">
        <w:t xml:space="preserve">or </w:t>
      </w:r>
      <w:bookmarkEnd w:id="0"/>
      <w:r w:rsidR="009A2D37" w:rsidRPr="00B2615D">
        <w:t>partner institution which will be responsible for management of the module</w:t>
      </w:r>
    </w:p>
    <w:p w14:paraId="239C0187" w14:textId="39F8D56A" w:rsidR="000B128D" w:rsidRPr="000B128D" w:rsidRDefault="001F420A"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0E8B3C6" w:rsidR="000B128D" w:rsidRPr="000B128D" w:rsidRDefault="001F420A"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2783BD86" w:rsidR="000B128D" w:rsidRPr="000B128D" w:rsidRDefault="001F420A" w:rsidP="000B128D">
      <w:pPr>
        <w:pStyle w:val="BodyText"/>
      </w:pPr>
      <w:r>
        <w:t xml:space="preserve">3 credits (1.5 ECTS) Non-Contributory </w:t>
      </w:r>
    </w:p>
    <w:p w14:paraId="0A7DD2EB" w14:textId="614CFBF9" w:rsidR="009A2D37" w:rsidRDefault="009A2D37" w:rsidP="00072357">
      <w:pPr>
        <w:pStyle w:val="Heading2"/>
      </w:pPr>
      <w:r w:rsidRPr="009D52D0">
        <w:t>Which term(s) the module is to be taught in (or other teaching pattern)</w:t>
      </w:r>
    </w:p>
    <w:p w14:paraId="616B75EB" w14:textId="461A0F3A" w:rsidR="000B128D" w:rsidRPr="000B128D" w:rsidRDefault="001F420A" w:rsidP="000B128D">
      <w:pPr>
        <w:pStyle w:val="BodyText"/>
      </w:pPr>
      <w:r>
        <w:t xml:space="preserve">Autumn, Spring and Summer </w:t>
      </w:r>
    </w:p>
    <w:p w14:paraId="76529F9A" w14:textId="729798E0" w:rsidR="009A2D37" w:rsidRDefault="009A2D37" w:rsidP="00072357">
      <w:pPr>
        <w:pStyle w:val="Heading2"/>
      </w:pPr>
      <w:r w:rsidRPr="009D52D0">
        <w:t>Prerequisite and co-requisite modules</w:t>
      </w:r>
      <w:r w:rsidR="00E1736E">
        <w:t xml:space="preserve"> </w:t>
      </w:r>
      <w:bookmarkStart w:id="1" w:name="_Hlk110346367"/>
      <w:r w:rsidR="00E1736E">
        <w:t>and/or any module restrictions</w:t>
      </w:r>
      <w:bookmarkEnd w:id="1"/>
    </w:p>
    <w:p w14:paraId="3CD0C7C8" w14:textId="19B9CF4F" w:rsidR="000B128D" w:rsidRPr="000B128D" w:rsidRDefault="001F420A"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429C10A0" w:rsidR="000B128D" w:rsidRDefault="001F420A" w:rsidP="00726225">
      <w:pPr>
        <w:pStyle w:val="ListBullet"/>
      </w:pPr>
      <w:r>
        <w:t xml:space="preserve">All Economics MSc courses.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659E6A71" w:rsidR="008A1A4E" w:rsidRPr="008A1A4E" w:rsidRDefault="008A1A4E" w:rsidP="006E3AD1">
      <w:pPr>
        <w:pStyle w:val="ListNumber2"/>
      </w:pPr>
      <w:r>
        <w:t>8.1</w:t>
      </w:r>
      <w:r>
        <w:tab/>
      </w:r>
      <w:r w:rsidR="001F420A" w:rsidRPr="001F420A">
        <w:t>Demonstrate critical awareness and understanding of career and PhD study opportunities in Economics and related fields for Economics MSc graduates in the UK and overseas</w:t>
      </w:r>
    </w:p>
    <w:p w14:paraId="5C42983E" w14:textId="7639D6B7" w:rsidR="008A1A4E" w:rsidRDefault="008A1A4E" w:rsidP="008A1A4E">
      <w:pPr>
        <w:pStyle w:val="ListNumber2"/>
      </w:pPr>
      <w:r w:rsidRPr="008A1A4E">
        <w:t>8.2</w:t>
      </w:r>
      <w:r w:rsidRPr="008A1A4E">
        <w:tab/>
      </w:r>
      <w:r w:rsidR="001F420A" w:rsidRPr="001F420A">
        <w:t>Demonstrate independence in searching, preparing and applying for MSc graduate jobs and PhD study</w:t>
      </w:r>
    </w:p>
    <w:p w14:paraId="7764E5E2" w14:textId="5BAB937C" w:rsidR="003D2999" w:rsidRDefault="003D2999" w:rsidP="008A1A4E">
      <w:pPr>
        <w:pStyle w:val="ListNumber2"/>
      </w:pPr>
      <w:r>
        <w:t>8.3</w:t>
      </w:r>
      <w:r>
        <w:tab/>
      </w:r>
      <w:r w:rsidR="001F420A" w:rsidRPr="001F420A">
        <w:t>Understand the importance of obtaining and applying for work experience in the field in which they wish to pursue their career</w:t>
      </w:r>
    </w:p>
    <w:p w14:paraId="09DF9488" w14:textId="775DF5B1" w:rsidR="003D2999" w:rsidRDefault="003D2999" w:rsidP="008A1A4E">
      <w:pPr>
        <w:pStyle w:val="ListNumber2"/>
      </w:pPr>
      <w:r>
        <w:t>8.4</w:t>
      </w:r>
      <w:r>
        <w:tab/>
      </w:r>
      <w:r w:rsidR="001F420A" w:rsidRPr="001F420A">
        <w:t>Critically evaluate and demonstrate experience of different recruitment processes employed by business, finance and government</w:t>
      </w:r>
    </w:p>
    <w:p w14:paraId="6AA784E1" w14:textId="48229CF3" w:rsidR="001F420A" w:rsidRDefault="001F420A" w:rsidP="008A1A4E">
      <w:pPr>
        <w:pStyle w:val="ListNumber2"/>
      </w:pPr>
      <w:r>
        <w:lastRenderedPageBreak/>
        <w:t xml:space="preserve">8.5  </w:t>
      </w:r>
      <w:r w:rsidRPr="001F420A">
        <w:t>Demonstrate comprehensive understanding and practical experience of MSc graduate job and PhD application writing, CV and cover letter writing, and interview techniques of all types (face to face, telephone and video), competency tests and team based recruitment exercises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7D8586BB" w:rsidR="003D2999" w:rsidRDefault="003D2999" w:rsidP="003D2999">
      <w:pPr>
        <w:pStyle w:val="ListNumber2"/>
      </w:pPr>
      <w:r>
        <w:t>9.1</w:t>
      </w:r>
      <w:r>
        <w:tab/>
      </w:r>
      <w:r w:rsidR="001F420A" w:rsidRPr="001F420A">
        <w:t>Make informed judgements and demonstrate experience in researching business, finance and government agencies for the purposes of applications for MSc graduate jobs</w:t>
      </w:r>
    </w:p>
    <w:p w14:paraId="01BD65BC" w14:textId="4E2FB6CC" w:rsidR="003D2999" w:rsidRDefault="003D2999" w:rsidP="003D2999">
      <w:pPr>
        <w:pStyle w:val="ListNumber2"/>
      </w:pPr>
      <w:r>
        <w:t>9.2</w:t>
      </w:r>
      <w:r>
        <w:tab/>
      </w:r>
      <w:r w:rsidR="001F420A" w:rsidRPr="001F420A">
        <w:t>Articulate their individual and work-ready skills and attributes</w:t>
      </w:r>
    </w:p>
    <w:p w14:paraId="010CBB9A" w14:textId="25033FD7" w:rsidR="003D2999" w:rsidRDefault="003D2999" w:rsidP="003D2999">
      <w:pPr>
        <w:pStyle w:val="ListNumber2"/>
      </w:pPr>
      <w:r>
        <w:t>9.3</w:t>
      </w:r>
      <w:r>
        <w:tab/>
      </w:r>
      <w:r w:rsidR="001F420A" w:rsidRPr="001F420A">
        <w:t xml:space="preserve">Successfully complete online tasks and activities relevant to graduate job recruitment   </w:t>
      </w:r>
    </w:p>
    <w:p w14:paraId="16433B82" w14:textId="4BBD79D6" w:rsidR="003D2999" w:rsidRDefault="003D2999" w:rsidP="003D2999">
      <w:pPr>
        <w:pStyle w:val="ListNumber2"/>
      </w:pPr>
      <w:r>
        <w:t>9.4</w:t>
      </w:r>
      <w:r w:rsidR="001F420A" w:rsidRPr="001F420A">
        <w:tab/>
        <w:t>Initiate and manage their own performance</w:t>
      </w:r>
    </w:p>
    <w:p w14:paraId="31D8601B" w14:textId="27B72AC7" w:rsidR="00273CF0" w:rsidRPr="00DC490D" w:rsidRDefault="003D2999" w:rsidP="003D2999">
      <w:pPr>
        <w:pStyle w:val="ListNumber2"/>
        <w:rPr>
          <w:i/>
          <w:iCs/>
        </w:rPr>
      </w:pPr>
      <w:r>
        <w:t>9.5</w:t>
      </w:r>
      <w:r>
        <w:tab/>
      </w:r>
      <w:r w:rsidR="001F420A" w:rsidRPr="001F420A">
        <w:t>Recognise the importance of relevant work experience for MSc graduates wishing to work in competitive areas such as finance.</w:t>
      </w:r>
    </w:p>
    <w:p w14:paraId="73386C6A" w14:textId="56366AB2" w:rsidR="009A2D37" w:rsidRDefault="009A2D37" w:rsidP="00072357">
      <w:pPr>
        <w:pStyle w:val="Heading2"/>
      </w:pPr>
      <w:r w:rsidRPr="009D52D0">
        <w:t>A synopsis of the curriculum</w:t>
      </w:r>
    </w:p>
    <w:p w14:paraId="7CC22DDD" w14:textId="77777777" w:rsidR="001F420A" w:rsidRDefault="001F420A" w:rsidP="001F420A">
      <w:pPr>
        <w:pStyle w:val="BodyText"/>
      </w:pPr>
      <w:r>
        <w:t>This module helps prepare students to acquire and develop the employability and transferable skills necessary to search and successfully apply for work experience and graduate opportunities in the commercial and public sector and for PhD programmes.</w:t>
      </w:r>
    </w:p>
    <w:p w14:paraId="00A8018A" w14:textId="406679E3" w:rsidR="003D2999" w:rsidRPr="003D2999" w:rsidRDefault="001F420A" w:rsidP="001F420A">
      <w:pPr>
        <w:pStyle w:val="BodyText"/>
      </w:pPr>
      <w:r>
        <w:t>The curriculum will include guidance and practical exercises in application writing, CVs, careers advice, interview and assessment centre techniques, numeracy and competency tests, and psychometric evaluation.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2" w:name="_Hlk110346520"/>
      <w:bookmarkStart w:id="3"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4"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2"/>
      <w:bookmarkEnd w:id="4"/>
    </w:p>
    <w:p w14:paraId="715A2291" w14:textId="15D7BD54" w:rsidR="00883204" w:rsidRDefault="00636058" w:rsidP="00072357">
      <w:pPr>
        <w:pStyle w:val="Heading2"/>
      </w:pPr>
      <w:bookmarkStart w:id="5" w:name="_Hlk94692059"/>
      <w:bookmarkEnd w:id="3"/>
      <w:r>
        <w:t>Contact Hours</w:t>
      </w:r>
    </w:p>
    <w:p w14:paraId="1086FCCF" w14:textId="0B1EBEE8" w:rsidR="00636058" w:rsidRPr="00DC490D" w:rsidRDefault="00636058" w:rsidP="003D2999">
      <w:pPr>
        <w:pStyle w:val="BodyText"/>
      </w:pPr>
      <w:bookmarkStart w:id="6" w:name="_Hlk110346579"/>
      <w:bookmarkEnd w:id="5"/>
      <w:r w:rsidRPr="00636058">
        <w:t>Private Study</w:t>
      </w:r>
      <w:r w:rsidR="007A3F31">
        <w:t>:</w:t>
      </w:r>
      <w:r w:rsidR="003D2999">
        <w:tab/>
      </w:r>
      <w:r w:rsidR="003D2999">
        <w:tab/>
      </w:r>
      <w:r w:rsidR="003D2999">
        <w:tab/>
      </w:r>
      <w:r w:rsidR="00256400">
        <w:tab/>
      </w:r>
      <w:r w:rsidR="003D2999">
        <w:t>00.0</w:t>
      </w:r>
    </w:p>
    <w:p w14:paraId="3BE5E6D9" w14:textId="02BA357A" w:rsidR="00636058" w:rsidRPr="00636058" w:rsidRDefault="00636058" w:rsidP="003D2999">
      <w:pPr>
        <w:pStyle w:val="BodyText"/>
      </w:pPr>
      <w:r w:rsidRPr="00636058">
        <w:t>Contact Hours</w:t>
      </w:r>
      <w:r w:rsidR="003D2999">
        <w:t>:</w:t>
      </w:r>
      <w:r w:rsidR="003D2999">
        <w:tab/>
      </w:r>
      <w:r w:rsidR="003D2999">
        <w:tab/>
      </w:r>
      <w:r w:rsidR="003D2999">
        <w:tab/>
        <w:t>00.0</w:t>
      </w:r>
    </w:p>
    <w:p w14:paraId="260000FF" w14:textId="1371D387" w:rsidR="00636058"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3D2999">
        <w:t>00.0</w:t>
      </w:r>
      <w:r w:rsidR="003D2999">
        <w:tab/>
      </w:r>
      <w:bookmarkEnd w:id="6"/>
      <w:r w:rsidR="003D2999">
        <w:tab/>
      </w:r>
      <w:r w:rsidR="003D2999">
        <w:tab/>
      </w:r>
      <w:r w:rsidR="003D2999">
        <w:tab/>
      </w:r>
    </w:p>
    <w:p w14:paraId="10CC8F9A" w14:textId="77777777" w:rsidR="001F420A" w:rsidRPr="00DC490D" w:rsidRDefault="001F420A" w:rsidP="003D2999">
      <w:pPr>
        <w:pStyle w:val="BodyText"/>
      </w:pPr>
    </w:p>
    <w:p w14:paraId="1C49B47B" w14:textId="77777777" w:rsidR="00B2615D" w:rsidRPr="00B2615D" w:rsidRDefault="00EF4933" w:rsidP="00072357">
      <w:pPr>
        <w:pStyle w:val="Heading2"/>
        <w:rPr>
          <w:i/>
          <w:iCs/>
        </w:rPr>
      </w:pPr>
      <w:r w:rsidRPr="009D52D0">
        <w:lastRenderedPageBreak/>
        <w:t>Assessment methods</w:t>
      </w:r>
    </w:p>
    <w:p w14:paraId="125A542C" w14:textId="77777777" w:rsidR="001F420A" w:rsidRDefault="001F420A" w:rsidP="001F420A">
      <w:pPr>
        <w:pStyle w:val="BodyText"/>
      </w:pPr>
      <w:r>
        <w:t xml:space="preserve">The module is non-contributory and assessment does not ‘count’ towards the formal 180 credit classification of Economics MSc degree programmes.  </w:t>
      </w:r>
    </w:p>
    <w:p w14:paraId="2E5BDF32" w14:textId="77777777" w:rsidR="001F420A" w:rsidRDefault="001F420A" w:rsidP="001F420A">
      <w:pPr>
        <w:pStyle w:val="BodyText"/>
      </w:pPr>
    </w:p>
    <w:p w14:paraId="158E5862" w14:textId="77777777" w:rsidR="001F420A" w:rsidRDefault="001F420A" w:rsidP="001F420A">
      <w:pPr>
        <w:pStyle w:val="BodyText"/>
      </w:pPr>
      <w:r>
        <w:t xml:space="preserve">The module develops transferable skills designed to enhance employability and the knowledge, understanding and skills necessary to search and secure postgraduate job opportunities in a competitive economic environment. This module also prepares students for entry onto PhD programmes within the UK and abroad. Students will be given guidance on the level of engagement expected and will receive on-going feedback as part of the activities undertaken on the module. </w:t>
      </w:r>
    </w:p>
    <w:p w14:paraId="10E16B91" w14:textId="77777777" w:rsidR="001F420A" w:rsidRDefault="001F420A" w:rsidP="001F420A">
      <w:pPr>
        <w:pStyle w:val="BodyText"/>
      </w:pPr>
    </w:p>
    <w:p w14:paraId="4DD91998" w14:textId="32E8437D" w:rsidR="00256400" w:rsidRPr="009D52D0" w:rsidRDefault="001F420A" w:rsidP="001F420A">
      <w:pPr>
        <w:pStyle w:val="BodyText"/>
      </w:pPr>
      <w:r>
        <w:t xml:space="preserve">Students who participate in the talks, workshops and one-to-one meetings, and who engage with the activities and tasks required of the module as discussed above will have met the module learning outcomes  (MLOs 8.1-8.6 and 9.1-9.5) and will have this added to their Higher Education Achievement Report (HEAR).  </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7" w:name="_Hlk94692352"/>
      <w:bookmarkStart w:id="8" w:name="_Hlk110349908"/>
      <w:bookmarkStart w:id="9"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567" w:type="dxa"/>
          </w:tcPr>
          <w:p w14:paraId="6167848F" w14:textId="77777777" w:rsidR="00636058" w:rsidRPr="009D52D0" w:rsidRDefault="00636058" w:rsidP="00AD1300">
            <w:pPr>
              <w:pStyle w:val="Tableoutcomeshead"/>
            </w:pPr>
            <w:r w:rsidRPr="009D52D0">
              <w:t>8.1</w:t>
            </w:r>
          </w:p>
        </w:tc>
        <w:tc>
          <w:tcPr>
            <w:tcW w:w="567" w:type="dxa"/>
          </w:tcPr>
          <w:p w14:paraId="5B554168" w14:textId="77777777" w:rsidR="00636058" w:rsidRPr="009D52D0" w:rsidRDefault="00636058" w:rsidP="00AD1300">
            <w:pPr>
              <w:pStyle w:val="Tableoutcomeshead"/>
            </w:pPr>
            <w:r w:rsidRPr="009D52D0">
              <w:t>8.2</w:t>
            </w:r>
          </w:p>
        </w:tc>
        <w:tc>
          <w:tcPr>
            <w:tcW w:w="567" w:type="dxa"/>
          </w:tcPr>
          <w:p w14:paraId="70BB1C5A" w14:textId="77777777" w:rsidR="00636058" w:rsidRPr="009D52D0" w:rsidRDefault="00636058" w:rsidP="00AD1300">
            <w:pPr>
              <w:pStyle w:val="Tableoutcomeshead"/>
            </w:pPr>
            <w:r w:rsidRPr="009D52D0">
              <w:t>8.3</w:t>
            </w:r>
          </w:p>
        </w:tc>
        <w:tc>
          <w:tcPr>
            <w:tcW w:w="567" w:type="dxa"/>
          </w:tcPr>
          <w:p w14:paraId="553BA646" w14:textId="77777777" w:rsidR="00636058" w:rsidRPr="009D52D0" w:rsidRDefault="00636058" w:rsidP="00AD1300">
            <w:pPr>
              <w:pStyle w:val="Tableoutcomeshead"/>
            </w:pPr>
            <w:r w:rsidRPr="009D52D0">
              <w:t>8.4</w:t>
            </w:r>
          </w:p>
        </w:tc>
        <w:tc>
          <w:tcPr>
            <w:tcW w:w="567" w:type="dxa"/>
          </w:tcPr>
          <w:p w14:paraId="6C66B5C0" w14:textId="77777777" w:rsidR="00636058" w:rsidRPr="009D52D0" w:rsidRDefault="00636058" w:rsidP="00AD1300">
            <w:pPr>
              <w:pStyle w:val="Tableoutcomeshead"/>
            </w:pPr>
            <w:r w:rsidRPr="009D52D0">
              <w:t>8.5</w:t>
            </w:r>
          </w:p>
        </w:tc>
        <w:tc>
          <w:tcPr>
            <w:tcW w:w="567" w:type="dxa"/>
          </w:tcPr>
          <w:p w14:paraId="3B577D4A" w14:textId="77777777" w:rsidR="00636058" w:rsidRPr="009D52D0" w:rsidRDefault="00636058" w:rsidP="00AD1300">
            <w:pPr>
              <w:pStyle w:val="Tableoutcomeshead"/>
            </w:pPr>
            <w:r w:rsidRPr="009D52D0">
              <w:t>9.1</w:t>
            </w:r>
          </w:p>
        </w:tc>
        <w:tc>
          <w:tcPr>
            <w:tcW w:w="567" w:type="dxa"/>
          </w:tcPr>
          <w:p w14:paraId="266E4126" w14:textId="77777777" w:rsidR="00636058" w:rsidRPr="009D52D0" w:rsidRDefault="00636058" w:rsidP="00AD1300">
            <w:pPr>
              <w:pStyle w:val="Tableoutcomeshead"/>
            </w:pPr>
            <w:r w:rsidRPr="009D52D0">
              <w:t>9.2</w:t>
            </w:r>
          </w:p>
        </w:tc>
        <w:tc>
          <w:tcPr>
            <w:tcW w:w="567" w:type="dxa"/>
          </w:tcPr>
          <w:p w14:paraId="6EC60A4C" w14:textId="77777777" w:rsidR="00636058" w:rsidRPr="009D52D0" w:rsidRDefault="00636058" w:rsidP="00AD1300">
            <w:pPr>
              <w:pStyle w:val="Tableoutcomeshead"/>
            </w:pPr>
            <w:r w:rsidRPr="009D52D0">
              <w:t>9.3</w:t>
            </w:r>
          </w:p>
        </w:tc>
        <w:tc>
          <w:tcPr>
            <w:tcW w:w="567" w:type="dxa"/>
          </w:tcPr>
          <w:p w14:paraId="3E85E7FE" w14:textId="77777777" w:rsidR="00636058" w:rsidRPr="009D52D0" w:rsidRDefault="00636058" w:rsidP="00AD1300">
            <w:pPr>
              <w:pStyle w:val="Tableoutcomeshead"/>
            </w:pPr>
            <w:r w:rsidRPr="009D52D0">
              <w:t>9.4</w:t>
            </w:r>
          </w:p>
        </w:tc>
        <w:tc>
          <w:tcPr>
            <w:tcW w:w="567" w:type="dxa"/>
          </w:tcPr>
          <w:p w14:paraId="3221C1C8" w14:textId="77777777" w:rsidR="00636058" w:rsidRPr="009D52D0" w:rsidRDefault="00636058" w:rsidP="00AD1300">
            <w:pPr>
              <w:pStyle w:val="Tableoutcomeshead"/>
            </w:pPr>
            <w:r w:rsidRPr="009D52D0">
              <w:t>9.5</w:t>
            </w:r>
          </w:p>
        </w:tc>
      </w:tr>
      <w:tr w:rsidR="00636058" w:rsidRPr="009D52D0" w14:paraId="780DC4A5" w14:textId="77777777" w:rsidTr="00636058">
        <w:tc>
          <w:tcPr>
            <w:tcW w:w="2439" w:type="dxa"/>
          </w:tcPr>
          <w:p w14:paraId="16F79E00" w14:textId="75C37978" w:rsidR="00636058" w:rsidRPr="009D52D0" w:rsidRDefault="001F420A" w:rsidP="001F420A">
            <w:pPr>
              <w:pStyle w:val="Tableoutcomesideheadings"/>
              <w:ind w:left="0"/>
            </w:pPr>
            <w:r>
              <w:t>Talks</w:t>
            </w:r>
          </w:p>
        </w:tc>
        <w:tc>
          <w:tcPr>
            <w:tcW w:w="567" w:type="dxa"/>
          </w:tcPr>
          <w:p w14:paraId="34752F0E" w14:textId="706A8E6D" w:rsidR="00636058" w:rsidRPr="009D52D0" w:rsidRDefault="001F420A" w:rsidP="00AD1300">
            <w:pPr>
              <w:pStyle w:val="Tableoutcomecrosses"/>
              <w:rPr>
                <w:b/>
              </w:rPr>
            </w:pPr>
            <w:r>
              <w:rPr>
                <w:b/>
              </w:rPr>
              <w:t>x</w:t>
            </w:r>
          </w:p>
        </w:tc>
        <w:tc>
          <w:tcPr>
            <w:tcW w:w="567" w:type="dxa"/>
          </w:tcPr>
          <w:p w14:paraId="0E9B09C0" w14:textId="42E6DA44" w:rsidR="00636058" w:rsidRPr="009D52D0" w:rsidRDefault="001F420A" w:rsidP="00AD1300">
            <w:pPr>
              <w:pStyle w:val="Tableoutcomecrosses"/>
              <w:rPr>
                <w:b/>
              </w:rPr>
            </w:pPr>
            <w:r>
              <w:rPr>
                <w:b/>
              </w:rPr>
              <w:t>x</w:t>
            </w:r>
          </w:p>
        </w:tc>
        <w:tc>
          <w:tcPr>
            <w:tcW w:w="567" w:type="dxa"/>
          </w:tcPr>
          <w:p w14:paraId="6CD1C02C" w14:textId="2D50477C" w:rsidR="00636058" w:rsidRPr="009D52D0" w:rsidRDefault="001F420A" w:rsidP="00AD1300">
            <w:pPr>
              <w:pStyle w:val="Tableoutcomecrosses"/>
              <w:rPr>
                <w:b/>
              </w:rPr>
            </w:pPr>
            <w:r>
              <w:rPr>
                <w:b/>
              </w:rPr>
              <w:t>x</w:t>
            </w:r>
          </w:p>
        </w:tc>
        <w:tc>
          <w:tcPr>
            <w:tcW w:w="567" w:type="dxa"/>
          </w:tcPr>
          <w:p w14:paraId="45C64561" w14:textId="7BD31F48" w:rsidR="00636058" w:rsidRPr="009D52D0" w:rsidRDefault="001F420A" w:rsidP="00AD1300">
            <w:pPr>
              <w:pStyle w:val="Tableoutcomecrosses"/>
              <w:rPr>
                <w:b/>
              </w:rPr>
            </w:pPr>
            <w:r>
              <w:rPr>
                <w:b/>
              </w:rPr>
              <w:t>x</w:t>
            </w:r>
          </w:p>
        </w:tc>
        <w:tc>
          <w:tcPr>
            <w:tcW w:w="567" w:type="dxa"/>
          </w:tcPr>
          <w:p w14:paraId="62607B91" w14:textId="6D64190C" w:rsidR="00636058" w:rsidRPr="009D52D0" w:rsidRDefault="001F420A" w:rsidP="00AD1300">
            <w:pPr>
              <w:pStyle w:val="Tableoutcomecrosses"/>
              <w:rPr>
                <w:b/>
              </w:rPr>
            </w:pPr>
            <w:r>
              <w:rPr>
                <w:b/>
              </w:rPr>
              <w:t>x</w:t>
            </w:r>
          </w:p>
        </w:tc>
        <w:tc>
          <w:tcPr>
            <w:tcW w:w="567" w:type="dxa"/>
          </w:tcPr>
          <w:p w14:paraId="2A716802" w14:textId="3421BFFF" w:rsidR="00636058" w:rsidRPr="009D52D0" w:rsidRDefault="001F420A" w:rsidP="00AD1300">
            <w:pPr>
              <w:pStyle w:val="Tableoutcomecrosses"/>
              <w:rPr>
                <w:b/>
              </w:rPr>
            </w:pPr>
            <w:r>
              <w:rPr>
                <w:b/>
              </w:rPr>
              <w:t>x</w:t>
            </w:r>
          </w:p>
        </w:tc>
        <w:tc>
          <w:tcPr>
            <w:tcW w:w="567" w:type="dxa"/>
          </w:tcPr>
          <w:p w14:paraId="5BAFD1A4" w14:textId="0DCF5D00" w:rsidR="00636058" w:rsidRPr="009D52D0" w:rsidRDefault="001F420A" w:rsidP="00AD1300">
            <w:pPr>
              <w:pStyle w:val="Tableoutcomecrosses"/>
              <w:rPr>
                <w:b/>
              </w:rPr>
            </w:pPr>
            <w:r>
              <w:rPr>
                <w:b/>
              </w:rPr>
              <w:t>x</w:t>
            </w:r>
          </w:p>
        </w:tc>
        <w:tc>
          <w:tcPr>
            <w:tcW w:w="567" w:type="dxa"/>
          </w:tcPr>
          <w:p w14:paraId="030A7445" w14:textId="672F87CA" w:rsidR="00636058" w:rsidRPr="009D52D0" w:rsidRDefault="001F420A" w:rsidP="00AD1300">
            <w:pPr>
              <w:pStyle w:val="Tableoutcomecrosses"/>
              <w:rPr>
                <w:b/>
              </w:rPr>
            </w:pPr>
            <w:r>
              <w:rPr>
                <w:b/>
              </w:rPr>
              <w:t>x</w:t>
            </w:r>
          </w:p>
        </w:tc>
        <w:tc>
          <w:tcPr>
            <w:tcW w:w="567" w:type="dxa"/>
          </w:tcPr>
          <w:p w14:paraId="431B3FED" w14:textId="25793277" w:rsidR="00636058" w:rsidRPr="009D52D0" w:rsidRDefault="001F420A" w:rsidP="00AD1300">
            <w:pPr>
              <w:pStyle w:val="Tableoutcomecrosses"/>
              <w:rPr>
                <w:b/>
              </w:rPr>
            </w:pPr>
            <w:r>
              <w:rPr>
                <w:b/>
              </w:rPr>
              <w:t>x</w:t>
            </w:r>
          </w:p>
        </w:tc>
        <w:tc>
          <w:tcPr>
            <w:tcW w:w="567" w:type="dxa"/>
          </w:tcPr>
          <w:p w14:paraId="07703E2C" w14:textId="15AB3A7D" w:rsidR="00636058" w:rsidRPr="009D52D0" w:rsidRDefault="001F420A" w:rsidP="00AD1300">
            <w:pPr>
              <w:pStyle w:val="Tableoutcomecrosses"/>
              <w:rPr>
                <w:b/>
              </w:rPr>
            </w:pPr>
            <w:r>
              <w:rPr>
                <w:b/>
              </w:rPr>
              <w:t>x</w:t>
            </w:r>
          </w:p>
        </w:tc>
      </w:tr>
      <w:tr w:rsidR="00636058" w:rsidRPr="009D52D0" w14:paraId="5C50A519" w14:textId="77777777" w:rsidTr="00636058">
        <w:tc>
          <w:tcPr>
            <w:tcW w:w="2439" w:type="dxa"/>
          </w:tcPr>
          <w:p w14:paraId="433DE3A7" w14:textId="25FC5AEA" w:rsidR="00636058" w:rsidRPr="00AD1300" w:rsidRDefault="001F420A" w:rsidP="001F420A">
            <w:pPr>
              <w:pStyle w:val="Tableoutcomesideheadings"/>
              <w:ind w:left="0"/>
              <w:rPr>
                <w:iCs/>
              </w:rPr>
            </w:pPr>
            <w:r>
              <w:rPr>
                <w:iCs/>
              </w:rPr>
              <w:t>W</w:t>
            </w:r>
            <w:r w:rsidR="00636058" w:rsidRPr="00AD1300">
              <w:rPr>
                <w:iCs/>
              </w:rPr>
              <w:t>orkshop</w:t>
            </w:r>
            <w:r>
              <w:rPr>
                <w:iCs/>
              </w:rPr>
              <w:t>s</w:t>
            </w:r>
          </w:p>
        </w:tc>
        <w:tc>
          <w:tcPr>
            <w:tcW w:w="567" w:type="dxa"/>
          </w:tcPr>
          <w:p w14:paraId="3853654B" w14:textId="77777777" w:rsidR="00636058" w:rsidRPr="009D52D0" w:rsidRDefault="00636058" w:rsidP="00AD1300">
            <w:pPr>
              <w:pStyle w:val="Tableoutcomecrosses"/>
              <w:rPr>
                <w:b/>
              </w:rPr>
            </w:pPr>
          </w:p>
        </w:tc>
        <w:tc>
          <w:tcPr>
            <w:tcW w:w="567" w:type="dxa"/>
          </w:tcPr>
          <w:p w14:paraId="7261D01A" w14:textId="0CF940D3" w:rsidR="00636058" w:rsidRPr="009D52D0" w:rsidRDefault="001F420A" w:rsidP="00AD1300">
            <w:pPr>
              <w:pStyle w:val="Tableoutcomecrosses"/>
              <w:rPr>
                <w:b/>
              </w:rPr>
            </w:pPr>
            <w:r>
              <w:rPr>
                <w:b/>
              </w:rPr>
              <w:t>x</w:t>
            </w:r>
          </w:p>
        </w:tc>
        <w:tc>
          <w:tcPr>
            <w:tcW w:w="567" w:type="dxa"/>
          </w:tcPr>
          <w:p w14:paraId="2D7957D4" w14:textId="5138A77B" w:rsidR="00636058" w:rsidRPr="009D52D0" w:rsidRDefault="001F420A" w:rsidP="00AD1300">
            <w:pPr>
              <w:pStyle w:val="Tableoutcomecrosses"/>
              <w:rPr>
                <w:b/>
              </w:rPr>
            </w:pPr>
            <w:r>
              <w:rPr>
                <w:b/>
              </w:rPr>
              <w:t>x</w:t>
            </w:r>
          </w:p>
        </w:tc>
        <w:tc>
          <w:tcPr>
            <w:tcW w:w="567" w:type="dxa"/>
          </w:tcPr>
          <w:p w14:paraId="232B2686" w14:textId="057E08CE" w:rsidR="00636058" w:rsidRPr="009D52D0" w:rsidRDefault="001F420A" w:rsidP="00AD1300">
            <w:pPr>
              <w:pStyle w:val="Tableoutcomecrosses"/>
              <w:rPr>
                <w:b/>
              </w:rPr>
            </w:pPr>
            <w:r>
              <w:rPr>
                <w:b/>
              </w:rPr>
              <w:t>x</w:t>
            </w:r>
          </w:p>
        </w:tc>
        <w:tc>
          <w:tcPr>
            <w:tcW w:w="567" w:type="dxa"/>
          </w:tcPr>
          <w:p w14:paraId="4971B999" w14:textId="4F24889F" w:rsidR="00636058" w:rsidRPr="009D52D0" w:rsidRDefault="001F420A" w:rsidP="00AD1300">
            <w:pPr>
              <w:pStyle w:val="Tableoutcomecrosses"/>
              <w:rPr>
                <w:b/>
              </w:rPr>
            </w:pPr>
            <w:r>
              <w:rPr>
                <w:b/>
              </w:rPr>
              <w:t>x</w:t>
            </w:r>
          </w:p>
        </w:tc>
        <w:tc>
          <w:tcPr>
            <w:tcW w:w="567" w:type="dxa"/>
          </w:tcPr>
          <w:p w14:paraId="2AE9F109" w14:textId="77777777" w:rsidR="00636058" w:rsidRPr="009D52D0" w:rsidRDefault="00636058" w:rsidP="00AD1300">
            <w:pPr>
              <w:pStyle w:val="Tableoutcomecrosses"/>
              <w:rPr>
                <w:b/>
              </w:rPr>
            </w:pPr>
          </w:p>
        </w:tc>
        <w:tc>
          <w:tcPr>
            <w:tcW w:w="567" w:type="dxa"/>
          </w:tcPr>
          <w:p w14:paraId="6BD0A090" w14:textId="479A2808" w:rsidR="00636058" w:rsidRPr="009D52D0" w:rsidRDefault="001F420A" w:rsidP="00AD1300">
            <w:pPr>
              <w:pStyle w:val="Tableoutcomecrosses"/>
              <w:rPr>
                <w:b/>
              </w:rPr>
            </w:pPr>
            <w:r>
              <w:rPr>
                <w:b/>
              </w:rPr>
              <w:t>x</w:t>
            </w:r>
          </w:p>
        </w:tc>
        <w:tc>
          <w:tcPr>
            <w:tcW w:w="567" w:type="dxa"/>
          </w:tcPr>
          <w:p w14:paraId="3DAC9A4A" w14:textId="7FFEA6CD" w:rsidR="00636058" w:rsidRPr="009D52D0" w:rsidRDefault="001F420A" w:rsidP="00AD1300">
            <w:pPr>
              <w:pStyle w:val="Tableoutcomecrosses"/>
              <w:rPr>
                <w:b/>
              </w:rPr>
            </w:pPr>
            <w:r>
              <w:rPr>
                <w:b/>
              </w:rPr>
              <w:t>x</w:t>
            </w:r>
          </w:p>
        </w:tc>
        <w:tc>
          <w:tcPr>
            <w:tcW w:w="567" w:type="dxa"/>
          </w:tcPr>
          <w:p w14:paraId="21A7EAF7" w14:textId="77777777" w:rsidR="00636058" w:rsidRPr="009D52D0" w:rsidRDefault="00636058" w:rsidP="00AD1300">
            <w:pPr>
              <w:pStyle w:val="Tableoutcomecrosses"/>
              <w:rPr>
                <w:b/>
              </w:rPr>
            </w:pPr>
          </w:p>
        </w:tc>
        <w:tc>
          <w:tcPr>
            <w:tcW w:w="567" w:type="dxa"/>
          </w:tcPr>
          <w:p w14:paraId="41EDD6A7" w14:textId="62A2BC11" w:rsidR="00636058" w:rsidRPr="009D52D0" w:rsidRDefault="001F420A" w:rsidP="00AD1300">
            <w:pPr>
              <w:pStyle w:val="Tableoutcomecrosses"/>
              <w:rPr>
                <w:b/>
              </w:rPr>
            </w:pPr>
            <w:r>
              <w:rPr>
                <w:b/>
              </w:rPr>
              <w:t>x</w:t>
            </w:r>
          </w:p>
        </w:tc>
      </w:tr>
      <w:tr w:rsidR="00636058" w:rsidRPr="009D52D0" w14:paraId="460BDA99" w14:textId="77777777" w:rsidTr="00636058">
        <w:tc>
          <w:tcPr>
            <w:tcW w:w="2439" w:type="dxa"/>
          </w:tcPr>
          <w:p w14:paraId="1CDAA785" w14:textId="4E530990" w:rsidR="00636058" w:rsidRPr="00AD1300" w:rsidRDefault="001F420A" w:rsidP="001F420A">
            <w:pPr>
              <w:pStyle w:val="Tableoutcomesideheadings"/>
              <w:ind w:left="0"/>
              <w:rPr>
                <w:iCs/>
              </w:rPr>
            </w:pPr>
            <w:r>
              <w:rPr>
                <w:iCs/>
              </w:rPr>
              <w:t>One-to-one meetings</w:t>
            </w:r>
          </w:p>
        </w:tc>
        <w:tc>
          <w:tcPr>
            <w:tcW w:w="567" w:type="dxa"/>
          </w:tcPr>
          <w:p w14:paraId="0B596153" w14:textId="64EF7B7D" w:rsidR="00636058" w:rsidRPr="009D52D0" w:rsidRDefault="001F420A" w:rsidP="00AD1300">
            <w:pPr>
              <w:pStyle w:val="Tableoutcomecrosses"/>
              <w:rPr>
                <w:b/>
              </w:rPr>
            </w:pPr>
            <w:r>
              <w:rPr>
                <w:b/>
              </w:rPr>
              <w:t>x</w:t>
            </w:r>
          </w:p>
        </w:tc>
        <w:tc>
          <w:tcPr>
            <w:tcW w:w="567" w:type="dxa"/>
          </w:tcPr>
          <w:p w14:paraId="7EF775FB" w14:textId="52615F73" w:rsidR="00636058" w:rsidRPr="009D52D0" w:rsidRDefault="001F420A" w:rsidP="00AD1300">
            <w:pPr>
              <w:pStyle w:val="Tableoutcomecrosses"/>
              <w:rPr>
                <w:b/>
              </w:rPr>
            </w:pPr>
            <w:r>
              <w:rPr>
                <w:b/>
              </w:rPr>
              <w:t>x</w:t>
            </w:r>
          </w:p>
        </w:tc>
        <w:tc>
          <w:tcPr>
            <w:tcW w:w="567" w:type="dxa"/>
          </w:tcPr>
          <w:p w14:paraId="76760D4D" w14:textId="7C978DF9" w:rsidR="00636058" w:rsidRPr="009D52D0" w:rsidRDefault="001F420A" w:rsidP="00AD1300">
            <w:pPr>
              <w:pStyle w:val="Tableoutcomecrosses"/>
              <w:rPr>
                <w:b/>
              </w:rPr>
            </w:pPr>
            <w:r>
              <w:rPr>
                <w:b/>
              </w:rPr>
              <w:t>x</w:t>
            </w:r>
          </w:p>
        </w:tc>
        <w:tc>
          <w:tcPr>
            <w:tcW w:w="567" w:type="dxa"/>
          </w:tcPr>
          <w:p w14:paraId="29E92B33" w14:textId="5D2E896F" w:rsidR="00636058" w:rsidRPr="009D52D0" w:rsidRDefault="001F420A" w:rsidP="00AD1300">
            <w:pPr>
              <w:pStyle w:val="Tableoutcomecrosses"/>
              <w:rPr>
                <w:b/>
              </w:rPr>
            </w:pPr>
            <w:r>
              <w:rPr>
                <w:b/>
              </w:rPr>
              <w:t>x</w:t>
            </w:r>
          </w:p>
        </w:tc>
        <w:tc>
          <w:tcPr>
            <w:tcW w:w="567" w:type="dxa"/>
          </w:tcPr>
          <w:p w14:paraId="712B107A" w14:textId="5D5B4A74" w:rsidR="00636058" w:rsidRPr="009D52D0" w:rsidRDefault="001F420A" w:rsidP="00AD1300">
            <w:pPr>
              <w:pStyle w:val="Tableoutcomecrosses"/>
              <w:rPr>
                <w:b/>
              </w:rPr>
            </w:pPr>
            <w:r>
              <w:rPr>
                <w:b/>
              </w:rPr>
              <w:t>x</w:t>
            </w:r>
          </w:p>
        </w:tc>
        <w:tc>
          <w:tcPr>
            <w:tcW w:w="567" w:type="dxa"/>
          </w:tcPr>
          <w:p w14:paraId="1C240711" w14:textId="124429E5" w:rsidR="00636058" w:rsidRPr="009D52D0" w:rsidRDefault="001F420A" w:rsidP="00AD1300">
            <w:pPr>
              <w:pStyle w:val="Tableoutcomecrosses"/>
              <w:rPr>
                <w:b/>
              </w:rPr>
            </w:pPr>
            <w:r>
              <w:rPr>
                <w:b/>
              </w:rPr>
              <w:t>x</w:t>
            </w:r>
          </w:p>
        </w:tc>
        <w:tc>
          <w:tcPr>
            <w:tcW w:w="567" w:type="dxa"/>
          </w:tcPr>
          <w:p w14:paraId="2D2FDCA3" w14:textId="5C08034B" w:rsidR="00636058" w:rsidRPr="009D52D0" w:rsidRDefault="001F420A" w:rsidP="00AD1300">
            <w:pPr>
              <w:pStyle w:val="Tableoutcomecrosses"/>
              <w:rPr>
                <w:b/>
              </w:rPr>
            </w:pPr>
            <w:r>
              <w:rPr>
                <w:b/>
              </w:rPr>
              <w:t>x</w:t>
            </w:r>
          </w:p>
        </w:tc>
        <w:tc>
          <w:tcPr>
            <w:tcW w:w="567" w:type="dxa"/>
          </w:tcPr>
          <w:p w14:paraId="20301B4E" w14:textId="3A732A90" w:rsidR="00636058" w:rsidRPr="009D52D0" w:rsidRDefault="001F420A" w:rsidP="00AD1300">
            <w:pPr>
              <w:pStyle w:val="Tableoutcomecrosses"/>
              <w:rPr>
                <w:b/>
              </w:rPr>
            </w:pPr>
            <w:r>
              <w:rPr>
                <w:b/>
              </w:rPr>
              <w:t>x</w:t>
            </w:r>
          </w:p>
        </w:tc>
        <w:tc>
          <w:tcPr>
            <w:tcW w:w="567" w:type="dxa"/>
          </w:tcPr>
          <w:p w14:paraId="70943AC0" w14:textId="6F34B9BD" w:rsidR="00636058" w:rsidRPr="009D52D0" w:rsidRDefault="001F420A" w:rsidP="00AD1300">
            <w:pPr>
              <w:pStyle w:val="Tableoutcomecrosses"/>
              <w:rPr>
                <w:b/>
              </w:rPr>
            </w:pPr>
            <w:r>
              <w:rPr>
                <w:b/>
              </w:rPr>
              <w:t>x</w:t>
            </w:r>
          </w:p>
        </w:tc>
        <w:tc>
          <w:tcPr>
            <w:tcW w:w="567" w:type="dxa"/>
          </w:tcPr>
          <w:p w14:paraId="019ED988" w14:textId="54C68949" w:rsidR="00636058" w:rsidRPr="009D52D0" w:rsidRDefault="001F420A" w:rsidP="00AD1300">
            <w:pPr>
              <w:pStyle w:val="Tableoutcomecrosses"/>
              <w:rPr>
                <w:b/>
              </w:rPr>
            </w:pPr>
            <w:r>
              <w:rPr>
                <w:b/>
              </w:rPr>
              <w:t>x</w:t>
            </w:r>
          </w:p>
        </w:tc>
      </w:tr>
      <w:tr w:rsidR="00636058" w:rsidRPr="009D52D0" w14:paraId="22619170" w14:textId="77777777" w:rsidTr="00636058">
        <w:tc>
          <w:tcPr>
            <w:tcW w:w="2439" w:type="dxa"/>
          </w:tcPr>
          <w:p w14:paraId="4FCDEF28" w14:textId="19D08AD3" w:rsidR="00636058" w:rsidRPr="00AD1300" w:rsidRDefault="001F420A" w:rsidP="001F420A">
            <w:pPr>
              <w:pStyle w:val="Tableoutcomesideheadings"/>
              <w:ind w:left="0"/>
              <w:rPr>
                <w:iCs/>
              </w:rPr>
            </w:pPr>
            <w:r>
              <w:rPr>
                <w:iCs/>
              </w:rPr>
              <w:t>Independent study</w:t>
            </w:r>
          </w:p>
        </w:tc>
        <w:tc>
          <w:tcPr>
            <w:tcW w:w="567" w:type="dxa"/>
          </w:tcPr>
          <w:p w14:paraId="2A5CB317" w14:textId="5F8D98A6" w:rsidR="00636058" w:rsidRPr="009D52D0" w:rsidRDefault="001F420A" w:rsidP="00AD1300">
            <w:pPr>
              <w:pStyle w:val="Tableoutcomecrosses"/>
              <w:rPr>
                <w:b/>
              </w:rPr>
            </w:pPr>
            <w:r>
              <w:rPr>
                <w:b/>
              </w:rPr>
              <w:t>x</w:t>
            </w:r>
          </w:p>
        </w:tc>
        <w:tc>
          <w:tcPr>
            <w:tcW w:w="567" w:type="dxa"/>
          </w:tcPr>
          <w:p w14:paraId="414F3FDD" w14:textId="5625FE0E" w:rsidR="00636058" w:rsidRPr="009D52D0" w:rsidRDefault="001F420A" w:rsidP="00AD1300">
            <w:pPr>
              <w:pStyle w:val="Tableoutcomecrosses"/>
              <w:rPr>
                <w:b/>
              </w:rPr>
            </w:pPr>
            <w:r>
              <w:rPr>
                <w:b/>
              </w:rPr>
              <w:t>x</w:t>
            </w:r>
          </w:p>
        </w:tc>
        <w:tc>
          <w:tcPr>
            <w:tcW w:w="567" w:type="dxa"/>
          </w:tcPr>
          <w:p w14:paraId="1851D834" w14:textId="0A90528E" w:rsidR="00636058" w:rsidRPr="009D52D0" w:rsidRDefault="001F420A" w:rsidP="00AD1300">
            <w:pPr>
              <w:pStyle w:val="Tableoutcomecrosses"/>
              <w:rPr>
                <w:b/>
              </w:rPr>
            </w:pPr>
            <w:r>
              <w:rPr>
                <w:b/>
              </w:rPr>
              <w:t>x</w:t>
            </w:r>
          </w:p>
        </w:tc>
        <w:tc>
          <w:tcPr>
            <w:tcW w:w="567" w:type="dxa"/>
          </w:tcPr>
          <w:p w14:paraId="16E01158" w14:textId="5DBBC18A" w:rsidR="00636058" w:rsidRPr="009D52D0" w:rsidRDefault="001F420A" w:rsidP="00AD1300">
            <w:pPr>
              <w:pStyle w:val="Tableoutcomecrosses"/>
              <w:rPr>
                <w:b/>
              </w:rPr>
            </w:pPr>
            <w:r>
              <w:rPr>
                <w:b/>
              </w:rPr>
              <w:t>x</w:t>
            </w:r>
          </w:p>
        </w:tc>
        <w:tc>
          <w:tcPr>
            <w:tcW w:w="567" w:type="dxa"/>
          </w:tcPr>
          <w:p w14:paraId="2D061744" w14:textId="06FCAE91" w:rsidR="00636058" w:rsidRPr="009D52D0" w:rsidRDefault="001F420A" w:rsidP="00AD1300">
            <w:pPr>
              <w:pStyle w:val="Tableoutcomecrosses"/>
              <w:rPr>
                <w:b/>
              </w:rPr>
            </w:pPr>
            <w:r>
              <w:rPr>
                <w:b/>
              </w:rPr>
              <w:t>x</w:t>
            </w:r>
          </w:p>
        </w:tc>
        <w:tc>
          <w:tcPr>
            <w:tcW w:w="567" w:type="dxa"/>
          </w:tcPr>
          <w:p w14:paraId="5DB74B51" w14:textId="26C1A594" w:rsidR="00636058" w:rsidRPr="009D52D0" w:rsidRDefault="001F420A" w:rsidP="00AD1300">
            <w:pPr>
              <w:pStyle w:val="Tableoutcomecrosses"/>
              <w:rPr>
                <w:b/>
              </w:rPr>
            </w:pPr>
            <w:r>
              <w:rPr>
                <w:b/>
              </w:rPr>
              <w:t>x</w:t>
            </w:r>
          </w:p>
        </w:tc>
        <w:tc>
          <w:tcPr>
            <w:tcW w:w="567" w:type="dxa"/>
          </w:tcPr>
          <w:p w14:paraId="5BD1446E" w14:textId="6DF9DB61" w:rsidR="00636058" w:rsidRPr="009D52D0" w:rsidRDefault="001F420A" w:rsidP="00AD1300">
            <w:pPr>
              <w:pStyle w:val="Tableoutcomecrosses"/>
              <w:rPr>
                <w:b/>
              </w:rPr>
            </w:pPr>
            <w:r>
              <w:rPr>
                <w:b/>
              </w:rPr>
              <w:t>x</w:t>
            </w:r>
          </w:p>
        </w:tc>
        <w:tc>
          <w:tcPr>
            <w:tcW w:w="567" w:type="dxa"/>
          </w:tcPr>
          <w:p w14:paraId="063B2048" w14:textId="2562166B" w:rsidR="00636058" w:rsidRPr="009D52D0" w:rsidRDefault="001F420A" w:rsidP="00AD1300">
            <w:pPr>
              <w:pStyle w:val="Tableoutcomecrosses"/>
              <w:rPr>
                <w:b/>
              </w:rPr>
            </w:pPr>
            <w:r>
              <w:rPr>
                <w:b/>
              </w:rPr>
              <w:t>x</w:t>
            </w:r>
          </w:p>
        </w:tc>
        <w:tc>
          <w:tcPr>
            <w:tcW w:w="567" w:type="dxa"/>
          </w:tcPr>
          <w:p w14:paraId="25522859" w14:textId="3F02DC37" w:rsidR="00636058" w:rsidRPr="009D52D0" w:rsidRDefault="001F420A" w:rsidP="00AD1300">
            <w:pPr>
              <w:pStyle w:val="Tableoutcomecrosses"/>
              <w:rPr>
                <w:b/>
              </w:rPr>
            </w:pPr>
            <w:r>
              <w:rPr>
                <w:b/>
              </w:rPr>
              <w:t>x</w:t>
            </w:r>
          </w:p>
        </w:tc>
        <w:tc>
          <w:tcPr>
            <w:tcW w:w="567" w:type="dxa"/>
          </w:tcPr>
          <w:p w14:paraId="5BE2AF07" w14:textId="6BC6FF8C" w:rsidR="00636058" w:rsidRPr="009D52D0" w:rsidRDefault="001F420A" w:rsidP="00AD1300">
            <w:pPr>
              <w:pStyle w:val="Tableoutcomecrosses"/>
              <w:rPr>
                <w:b/>
              </w:rPr>
            </w:pPr>
            <w:r>
              <w:rPr>
                <w:b/>
              </w:rPr>
              <w:t>x</w:t>
            </w:r>
          </w:p>
        </w:tc>
      </w:tr>
      <w:bookmarkEnd w:id="7"/>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0"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C70C14">
        <w:trPr>
          <w:tblHeader/>
        </w:trPr>
        <w:tc>
          <w:tcPr>
            <w:tcW w:w="2405" w:type="dxa"/>
            <w:shd w:val="clear" w:color="auto" w:fill="D9D9D9" w:themeFill="background1" w:themeFillShade="D9"/>
          </w:tcPr>
          <w:bookmarkEnd w:id="10"/>
          <w:p w14:paraId="4E99BFB5" w14:textId="77777777" w:rsidR="00636058" w:rsidRPr="009D52D0" w:rsidRDefault="00636058" w:rsidP="00AD1300">
            <w:pPr>
              <w:pStyle w:val="Tableoutcomesideheadings"/>
            </w:pPr>
            <w:r w:rsidRPr="009D52D0">
              <w:t>Module learning outcome</w:t>
            </w:r>
          </w:p>
        </w:tc>
        <w:tc>
          <w:tcPr>
            <w:tcW w:w="567" w:type="dxa"/>
          </w:tcPr>
          <w:p w14:paraId="7B5C6163" w14:textId="77777777" w:rsidR="00636058" w:rsidRPr="009D52D0" w:rsidRDefault="00636058" w:rsidP="00AD1300">
            <w:pPr>
              <w:pStyle w:val="Tableoutcomeshead"/>
            </w:pPr>
            <w:r w:rsidRPr="009D52D0">
              <w:t>8.1</w:t>
            </w:r>
          </w:p>
        </w:tc>
        <w:tc>
          <w:tcPr>
            <w:tcW w:w="567" w:type="dxa"/>
          </w:tcPr>
          <w:p w14:paraId="2210FC9E" w14:textId="77777777" w:rsidR="00636058" w:rsidRPr="009D52D0" w:rsidRDefault="00636058" w:rsidP="00AD1300">
            <w:pPr>
              <w:pStyle w:val="Tableoutcomeshead"/>
            </w:pPr>
            <w:r w:rsidRPr="009D52D0">
              <w:t>8.2</w:t>
            </w:r>
          </w:p>
        </w:tc>
        <w:tc>
          <w:tcPr>
            <w:tcW w:w="709" w:type="dxa"/>
          </w:tcPr>
          <w:p w14:paraId="00B7F160" w14:textId="77777777" w:rsidR="00636058" w:rsidRPr="009D52D0" w:rsidRDefault="00636058" w:rsidP="00AD1300">
            <w:pPr>
              <w:pStyle w:val="Tableoutcomeshead"/>
            </w:pPr>
            <w:r w:rsidRPr="009D52D0">
              <w:t>8.3</w:t>
            </w:r>
          </w:p>
        </w:tc>
        <w:tc>
          <w:tcPr>
            <w:tcW w:w="567" w:type="dxa"/>
          </w:tcPr>
          <w:p w14:paraId="2BB3974A" w14:textId="77777777" w:rsidR="00636058" w:rsidRPr="009D52D0" w:rsidRDefault="00636058" w:rsidP="00AD1300">
            <w:pPr>
              <w:pStyle w:val="Tableoutcomeshead"/>
            </w:pPr>
            <w:r w:rsidRPr="009D52D0">
              <w:t>8.4</w:t>
            </w:r>
          </w:p>
        </w:tc>
        <w:tc>
          <w:tcPr>
            <w:tcW w:w="567" w:type="dxa"/>
          </w:tcPr>
          <w:p w14:paraId="23BFBA31" w14:textId="77777777" w:rsidR="00636058" w:rsidRPr="009D52D0" w:rsidRDefault="00636058" w:rsidP="00AD1300">
            <w:pPr>
              <w:pStyle w:val="Tableoutcomeshead"/>
            </w:pPr>
            <w:r w:rsidRPr="009D52D0">
              <w:t>8.5</w:t>
            </w:r>
          </w:p>
        </w:tc>
        <w:tc>
          <w:tcPr>
            <w:tcW w:w="567" w:type="dxa"/>
          </w:tcPr>
          <w:p w14:paraId="0D56B3A5" w14:textId="77777777" w:rsidR="00636058" w:rsidRPr="009D52D0" w:rsidRDefault="00636058" w:rsidP="00AD1300">
            <w:pPr>
              <w:pStyle w:val="Tableoutcomeshead"/>
            </w:pPr>
            <w:r w:rsidRPr="009D52D0">
              <w:t>9.1</w:t>
            </w:r>
          </w:p>
        </w:tc>
        <w:tc>
          <w:tcPr>
            <w:tcW w:w="567" w:type="dxa"/>
          </w:tcPr>
          <w:p w14:paraId="523687DC" w14:textId="77777777" w:rsidR="00636058" w:rsidRPr="009D52D0" w:rsidRDefault="00636058" w:rsidP="00AD1300">
            <w:pPr>
              <w:pStyle w:val="Tableoutcomeshead"/>
            </w:pPr>
            <w:r w:rsidRPr="009D52D0">
              <w:t>9.2</w:t>
            </w:r>
          </w:p>
        </w:tc>
        <w:tc>
          <w:tcPr>
            <w:tcW w:w="567" w:type="dxa"/>
          </w:tcPr>
          <w:p w14:paraId="1106ECFC" w14:textId="77777777" w:rsidR="00636058" w:rsidRPr="009D52D0" w:rsidRDefault="00636058" w:rsidP="00AD1300">
            <w:pPr>
              <w:pStyle w:val="Tableoutcomeshead"/>
            </w:pPr>
            <w:r w:rsidRPr="009D52D0">
              <w:t>9.3</w:t>
            </w:r>
          </w:p>
        </w:tc>
        <w:tc>
          <w:tcPr>
            <w:tcW w:w="567" w:type="dxa"/>
          </w:tcPr>
          <w:p w14:paraId="51BE4A79" w14:textId="77777777" w:rsidR="00636058" w:rsidRPr="009D52D0" w:rsidRDefault="00636058" w:rsidP="00AD1300">
            <w:pPr>
              <w:pStyle w:val="Tableoutcomeshead"/>
            </w:pPr>
            <w:r w:rsidRPr="009D52D0">
              <w:t>9.4</w:t>
            </w:r>
          </w:p>
        </w:tc>
        <w:tc>
          <w:tcPr>
            <w:tcW w:w="567" w:type="dxa"/>
          </w:tcPr>
          <w:p w14:paraId="0C3BF660" w14:textId="77777777" w:rsidR="00636058" w:rsidRPr="009D52D0" w:rsidRDefault="00636058" w:rsidP="00AD1300">
            <w:pPr>
              <w:pStyle w:val="Tableoutcomeshead"/>
            </w:pPr>
            <w:r w:rsidRPr="009D52D0">
              <w:t>9.5</w:t>
            </w:r>
          </w:p>
        </w:tc>
      </w:tr>
      <w:tr w:rsidR="00636058" w:rsidRPr="009D52D0" w14:paraId="6D8FD37D" w14:textId="77777777" w:rsidTr="00C70C14">
        <w:trPr>
          <w:tblHeader/>
        </w:trPr>
        <w:tc>
          <w:tcPr>
            <w:tcW w:w="2405" w:type="dxa"/>
          </w:tcPr>
          <w:p w14:paraId="6500FA2E" w14:textId="65753241" w:rsidR="00636058" w:rsidRPr="00AD1300" w:rsidRDefault="001F420A" w:rsidP="00AD1300">
            <w:pPr>
              <w:pStyle w:val="Tableoutcomesideheadings"/>
              <w:rPr>
                <w:iCs/>
              </w:rPr>
            </w:pPr>
            <w:r>
              <w:rPr>
                <w:iCs/>
              </w:rPr>
              <w:t>Attendance</w:t>
            </w:r>
          </w:p>
        </w:tc>
        <w:tc>
          <w:tcPr>
            <w:tcW w:w="567" w:type="dxa"/>
          </w:tcPr>
          <w:p w14:paraId="718AB32A" w14:textId="4C468855" w:rsidR="00636058" w:rsidRPr="009D52D0" w:rsidRDefault="001F420A" w:rsidP="00AD1300">
            <w:pPr>
              <w:pStyle w:val="Tableoutcomecrosses"/>
              <w:rPr>
                <w:b/>
              </w:rPr>
            </w:pPr>
            <w:r>
              <w:rPr>
                <w:b/>
              </w:rPr>
              <w:t>x</w:t>
            </w:r>
          </w:p>
        </w:tc>
        <w:tc>
          <w:tcPr>
            <w:tcW w:w="567" w:type="dxa"/>
          </w:tcPr>
          <w:p w14:paraId="71084725" w14:textId="48E90310" w:rsidR="00636058" w:rsidRPr="009D52D0" w:rsidRDefault="001F420A" w:rsidP="00AD1300">
            <w:pPr>
              <w:pStyle w:val="Tableoutcomecrosses"/>
              <w:rPr>
                <w:b/>
              </w:rPr>
            </w:pPr>
            <w:r>
              <w:rPr>
                <w:b/>
              </w:rPr>
              <w:t>x</w:t>
            </w:r>
          </w:p>
        </w:tc>
        <w:tc>
          <w:tcPr>
            <w:tcW w:w="709" w:type="dxa"/>
          </w:tcPr>
          <w:p w14:paraId="659E3E11" w14:textId="2E276304" w:rsidR="00636058" w:rsidRPr="009D52D0" w:rsidRDefault="001F420A" w:rsidP="00AD1300">
            <w:pPr>
              <w:pStyle w:val="Tableoutcomecrosses"/>
              <w:rPr>
                <w:b/>
              </w:rPr>
            </w:pPr>
            <w:r>
              <w:rPr>
                <w:b/>
              </w:rPr>
              <w:t>x</w:t>
            </w:r>
          </w:p>
        </w:tc>
        <w:tc>
          <w:tcPr>
            <w:tcW w:w="567" w:type="dxa"/>
          </w:tcPr>
          <w:p w14:paraId="02BFF41C" w14:textId="380E6100" w:rsidR="00636058" w:rsidRPr="009D52D0" w:rsidRDefault="001F420A" w:rsidP="00AD1300">
            <w:pPr>
              <w:pStyle w:val="Tableoutcomecrosses"/>
              <w:rPr>
                <w:b/>
              </w:rPr>
            </w:pPr>
            <w:r>
              <w:rPr>
                <w:b/>
              </w:rPr>
              <w:t>x</w:t>
            </w:r>
          </w:p>
        </w:tc>
        <w:tc>
          <w:tcPr>
            <w:tcW w:w="567" w:type="dxa"/>
          </w:tcPr>
          <w:p w14:paraId="19049929" w14:textId="1AAC20F5" w:rsidR="00636058" w:rsidRPr="009D52D0" w:rsidRDefault="001F420A" w:rsidP="00AD1300">
            <w:pPr>
              <w:pStyle w:val="Tableoutcomecrosses"/>
              <w:rPr>
                <w:b/>
              </w:rPr>
            </w:pPr>
            <w:r>
              <w:rPr>
                <w:b/>
              </w:rPr>
              <w:t>x</w:t>
            </w:r>
          </w:p>
        </w:tc>
        <w:tc>
          <w:tcPr>
            <w:tcW w:w="567" w:type="dxa"/>
          </w:tcPr>
          <w:p w14:paraId="60747C35" w14:textId="58791651" w:rsidR="00636058" w:rsidRPr="009D52D0" w:rsidRDefault="001F420A" w:rsidP="00AD1300">
            <w:pPr>
              <w:pStyle w:val="Tableoutcomecrosses"/>
              <w:rPr>
                <w:b/>
              </w:rPr>
            </w:pPr>
            <w:r>
              <w:rPr>
                <w:b/>
              </w:rPr>
              <w:t>x</w:t>
            </w:r>
          </w:p>
        </w:tc>
        <w:tc>
          <w:tcPr>
            <w:tcW w:w="567" w:type="dxa"/>
          </w:tcPr>
          <w:p w14:paraId="6FCDE494" w14:textId="385A0DEC" w:rsidR="00636058" w:rsidRPr="009D52D0" w:rsidRDefault="001F420A" w:rsidP="00AD1300">
            <w:pPr>
              <w:pStyle w:val="Tableoutcomecrosses"/>
              <w:rPr>
                <w:b/>
              </w:rPr>
            </w:pPr>
            <w:r>
              <w:rPr>
                <w:b/>
              </w:rPr>
              <w:t>x</w:t>
            </w:r>
          </w:p>
        </w:tc>
        <w:tc>
          <w:tcPr>
            <w:tcW w:w="567" w:type="dxa"/>
          </w:tcPr>
          <w:p w14:paraId="48C6EE1D" w14:textId="71D4F12C" w:rsidR="00636058" w:rsidRPr="009D52D0" w:rsidRDefault="001F420A" w:rsidP="00AD1300">
            <w:pPr>
              <w:pStyle w:val="Tableoutcomecrosses"/>
              <w:rPr>
                <w:b/>
              </w:rPr>
            </w:pPr>
            <w:r>
              <w:rPr>
                <w:b/>
              </w:rPr>
              <w:t>x</w:t>
            </w:r>
          </w:p>
        </w:tc>
        <w:tc>
          <w:tcPr>
            <w:tcW w:w="567" w:type="dxa"/>
          </w:tcPr>
          <w:p w14:paraId="12A99B31" w14:textId="1135080B" w:rsidR="00636058" w:rsidRPr="009D52D0" w:rsidRDefault="001F420A" w:rsidP="00AD1300">
            <w:pPr>
              <w:pStyle w:val="Tableoutcomecrosses"/>
              <w:rPr>
                <w:b/>
              </w:rPr>
            </w:pPr>
            <w:r>
              <w:rPr>
                <w:b/>
              </w:rPr>
              <w:t>x</w:t>
            </w:r>
          </w:p>
        </w:tc>
        <w:tc>
          <w:tcPr>
            <w:tcW w:w="567" w:type="dxa"/>
          </w:tcPr>
          <w:p w14:paraId="0FB35350" w14:textId="3A824691" w:rsidR="00636058" w:rsidRPr="009D52D0" w:rsidRDefault="001F420A"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8"/>
    <w:p w14:paraId="48F94D11" w14:textId="1F0E70A0" w:rsidR="00636058" w:rsidRDefault="00636058" w:rsidP="009D52D0">
      <w:pPr>
        <w:spacing w:after="120" w:line="240" w:lineRule="auto"/>
        <w:ind w:left="426" w:right="543"/>
        <w:rPr>
          <w:rFonts w:ascii="Arial" w:hAnsi="Arial" w:cs="Arial"/>
          <w:b/>
          <w:iCs/>
          <w:sz w:val="24"/>
          <w:szCs w:val="24"/>
        </w:rPr>
      </w:pPr>
    </w:p>
    <w:bookmarkEnd w:id="9"/>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5A323E8" w:rsidR="00AD1300" w:rsidRPr="00AD1300" w:rsidRDefault="001F420A" w:rsidP="00AD1300">
      <w:pPr>
        <w:pStyle w:val="BodyText"/>
      </w:pPr>
      <w:r>
        <w:t xml:space="preserve">Canterbury </w:t>
      </w:r>
    </w:p>
    <w:p w14:paraId="654C7CE7" w14:textId="1EA54E28" w:rsidR="00883204" w:rsidRDefault="00883204" w:rsidP="00072357">
      <w:pPr>
        <w:pStyle w:val="Heading2"/>
      </w:pPr>
      <w:r w:rsidRPr="009D52D0">
        <w:t>Internationalisation</w:t>
      </w:r>
    </w:p>
    <w:p w14:paraId="04189D6A" w14:textId="5B196F21" w:rsidR="008D4447" w:rsidRPr="001F420A" w:rsidRDefault="001F420A" w:rsidP="001F420A">
      <w:pPr>
        <w:pStyle w:val="BodyText"/>
      </w:pPr>
      <w:r w:rsidRPr="001F420A">
        <w:t>The module will promote awareness of opportunities for MSc graduate jobs and PhD study within the UK and abroad.</w:t>
      </w:r>
    </w:p>
    <w:p w14:paraId="3F5B9073" w14:textId="6B341C2A" w:rsidR="009D52D0" w:rsidRDefault="009D52D0">
      <w:pPr>
        <w:rPr>
          <w:rFonts w:ascii="Arial" w:hAnsi="Arial" w:cs="Arial"/>
          <w:sz w:val="24"/>
          <w:szCs w:val="24"/>
        </w:rPr>
      </w:pPr>
      <w:bookmarkStart w:id="11"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77777777" w:rsidR="00422B69" w:rsidRPr="009D52D0" w:rsidRDefault="00422B69" w:rsidP="00D2324C">
            <w:pPr>
              <w:pStyle w:val="Tabledivuseonly"/>
            </w:pPr>
          </w:p>
        </w:tc>
        <w:tc>
          <w:tcPr>
            <w:tcW w:w="2256" w:type="dxa"/>
          </w:tcPr>
          <w:p w14:paraId="7151A835" w14:textId="77777777" w:rsidR="00422B69" w:rsidRPr="009D52D0" w:rsidRDefault="00422B69" w:rsidP="00D2324C">
            <w:pPr>
              <w:pStyle w:val="Tabledivuseonly"/>
            </w:pPr>
          </w:p>
        </w:tc>
        <w:tc>
          <w:tcPr>
            <w:tcW w:w="2077" w:type="dxa"/>
          </w:tcPr>
          <w:p w14:paraId="64AEF8B4" w14:textId="77777777" w:rsidR="00422B69" w:rsidRPr="009D52D0" w:rsidRDefault="00422B69" w:rsidP="00D2324C">
            <w:pPr>
              <w:pStyle w:val="Tabledivuseonly"/>
            </w:pPr>
          </w:p>
        </w:tc>
        <w:tc>
          <w:tcPr>
            <w:tcW w:w="2940" w:type="dxa"/>
          </w:tcPr>
          <w:p w14:paraId="2788108C" w14:textId="77777777" w:rsidR="00422B69" w:rsidRPr="009D52D0" w:rsidRDefault="00422B69" w:rsidP="00D2324C">
            <w:pPr>
              <w:pStyle w:val="Tabledivuseonly"/>
            </w:pPr>
          </w:p>
        </w:tc>
      </w:tr>
      <w:tr w:rsidR="00302082" w:rsidRPr="009D52D0" w14:paraId="1EAC1207" w14:textId="77777777" w:rsidTr="00D2324C">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940" w:type="dxa"/>
          </w:tcPr>
          <w:p w14:paraId="1F3DBDEE" w14:textId="77777777" w:rsidR="00422B69" w:rsidRPr="009D52D0" w:rsidRDefault="00422B69" w:rsidP="00D2324C">
            <w:pPr>
              <w:pStyle w:val="Tabledivuseonly"/>
            </w:pPr>
          </w:p>
        </w:tc>
      </w:tr>
      <w:bookmarkEnd w:id="11"/>
    </w:tbl>
    <w:p w14:paraId="441610ED" w14:textId="77777777" w:rsidR="00FC217A" w:rsidRPr="00FC217A" w:rsidRDefault="00FC217A" w:rsidP="001F420A">
      <w:pP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0298" w14:textId="77777777" w:rsidR="005B798F" w:rsidRDefault="005B798F" w:rsidP="009A2D37">
      <w:pPr>
        <w:spacing w:after="0" w:line="240" w:lineRule="auto"/>
      </w:pPr>
      <w:r>
        <w:separator/>
      </w:r>
    </w:p>
  </w:endnote>
  <w:endnote w:type="continuationSeparator" w:id="0">
    <w:p w14:paraId="3A6FFBCC" w14:textId="77777777" w:rsidR="005B798F" w:rsidRDefault="005B798F" w:rsidP="009A2D37">
      <w:pPr>
        <w:spacing w:after="0" w:line="240" w:lineRule="auto"/>
      </w:pPr>
      <w:r>
        <w:continuationSeparator/>
      </w:r>
    </w:p>
  </w:endnote>
  <w:endnote w:type="continuationNotice" w:id="1">
    <w:p w14:paraId="3EF1AF80" w14:textId="77777777" w:rsidR="005B798F" w:rsidRDefault="005B7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000000" w:rsidP="004455F2">
        <w:pPr>
          <w:pStyle w:val="Footer"/>
          <w:jc w:val="center"/>
        </w:pPr>
      </w:p>
    </w:sdtContent>
  </w:sdt>
  <w:p w14:paraId="26569854" w14:textId="094A356D"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1F420A">
      <w:rPr>
        <w:rFonts w:ascii="Arial" w:hAnsi="Arial"/>
        <w:sz w:val="18"/>
      </w:rPr>
      <w:t>ECON8880 Employability for MSc Programmes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000000" w:rsidP="00EB41D1">
        <w:pPr>
          <w:pStyle w:val="Footer"/>
          <w:jc w:val="center"/>
        </w:pPr>
      </w:p>
    </w:sdtContent>
  </w:sdt>
  <w:p w14:paraId="24F79DDC" w14:textId="77671277" w:rsidR="00F17B94" w:rsidRPr="004455F2" w:rsidRDefault="00EB41D1" w:rsidP="001F420A">
    <w:pPr>
      <w:pStyle w:val="Footer"/>
      <w:tabs>
        <w:tab w:val="clear" w:pos="4513"/>
        <w:tab w:val="clear" w:pos="9026"/>
        <w:tab w:val="left" w:pos="2175"/>
      </w:tabs>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1F420A">
      <w:rPr>
        <w:rFonts w:ascii="Arial" w:hAnsi="Arial"/>
        <w:sz w:val="18"/>
      </w:rPr>
      <w:tab/>
      <w:t xml:space="preserve">ECON8880 Employability for MSc Programmes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2BCA" w14:textId="77777777" w:rsidR="005B798F" w:rsidRDefault="005B798F" w:rsidP="009A2D37">
      <w:pPr>
        <w:spacing w:after="0" w:line="240" w:lineRule="auto"/>
      </w:pPr>
      <w:r>
        <w:separator/>
      </w:r>
    </w:p>
  </w:footnote>
  <w:footnote w:type="continuationSeparator" w:id="0">
    <w:p w14:paraId="13DF18D0" w14:textId="77777777" w:rsidR="005B798F" w:rsidRDefault="005B798F" w:rsidP="009A2D37">
      <w:pPr>
        <w:spacing w:after="0" w:line="240" w:lineRule="auto"/>
      </w:pPr>
      <w:r>
        <w:continuationSeparator/>
      </w:r>
    </w:p>
  </w:footnote>
  <w:footnote w:type="continuationNotice" w:id="1">
    <w:p w14:paraId="3433A9B8" w14:textId="77777777" w:rsidR="005B798F" w:rsidRDefault="005B7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95D"/>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20A"/>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798F"/>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07080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8DC584A-4564-4388-B9B8-C39399C1E353}"/>
</file>

<file path=customXml/itemProps3.xml><?xml version="1.0" encoding="utf-8"?>
<ds:datastoreItem xmlns:ds="http://schemas.openxmlformats.org/officeDocument/2006/customXml" ds:itemID="{3876D469-1553-4605-A34E-D5BAAB04B956}"/>
</file>

<file path=customXml/itemProps4.xml><?xml version="1.0" encoding="utf-8"?>
<ds:datastoreItem xmlns:ds="http://schemas.openxmlformats.org/officeDocument/2006/customXml" ds:itemID="{26FE4FCC-5933-465C-B561-E168A30AC26A}"/>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2</cp:revision>
  <cp:lastPrinted>2019-02-26T09:40:00Z</cp:lastPrinted>
  <dcterms:created xsi:type="dcterms:W3CDTF">2023-02-10T16:16:00Z</dcterms:created>
  <dcterms:modified xsi:type="dcterms:W3CDTF">2023-02-10T16:16:00Z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