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53DD716D" w14:textId="52956FB1" w:rsidR="00694B52" w:rsidRPr="00D47828" w:rsidRDefault="00D65239" w:rsidP="007313ED">
      <w:pPr>
        <w:spacing w:after="120" w:line="240" w:lineRule="auto"/>
        <w:ind w:left="284" w:right="544" w:firstLine="284"/>
        <w:jc w:val="both"/>
        <w:rPr>
          <w:rFonts w:ascii="Arial" w:hAnsi="Arial" w:cs="Arial"/>
          <w:iCs/>
          <w:sz w:val="24"/>
          <w:szCs w:val="24"/>
        </w:rPr>
      </w:pPr>
      <w:r w:rsidRPr="00D47828">
        <w:rPr>
          <w:rFonts w:ascii="Arial" w:hAnsi="Arial" w:cs="Arial"/>
          <w:iCs/>
          <w:sz w:val="24"/>
          <w:szCs w:val="24"/>
        </w:rPr>
        <w:t xml:space="preserve">ECON8840 </w:t>
      </w:r>
      <w:proofErr w:type="spellStart"/>
      <w:r w:rsidR="007313ED">
        <w:rPr>
          <w:rFonts w:ascii="Arial" w:hAnsi="Arial" w:cs="Arial"/>
          <w:iCs/>
          <w:sz w:val="24"/>
          <w:szCs w:val="24"/>
        </w:rPr>
        <w:t>Microe</w:t>
      </w:r>
      <w:r w:rsidRPr="00D47828">
        <w:rPr>
          <w:rFonts w:ascii="Arial" w:hAnsi="Arial" w:cs="Arial"/>
          <w:iCs/>
          <w:sz w:val="24"/>
          <w:szCs w:val="24"/>
        </w:rPr>
        <w:t>conometrics</w:t>
      </w:r>
      <w:proofErr w:type="spellEnd"/>
      <w:r w:rsidRPr="00D47828">
        <w:rPr>
          <w:rFonts w:ascii="Arial" w:hAnsi="Arial" w:cs="Arial"/>
          <w:iCs/>
          <w:sz w:val="24"/>
          <w:szCs w:val="24"/>
        </w:rPr>
        <w:t xml:space="preserve"> </w:t>
      </w:r>
      <w:r w:rsidR="00DC490D" w:rsidRPr="00D47828">
        <w:rPr>
          <w:rFonts w:ascii="Arial" w:hAnsi="Arial" w:cs="Arial"/>
          <w:iCs/>
          <w:sz w:val="24"/>
          <w:szCs w:val="24"/>
        </w:rPr>
        <w:t xml:space="preserve"> </w:t>
      </w:r>
    </w:p>
    <w:p w14:paraId="71554414" w14:textId="700EF1AC" w:rsidR="009A2D37" w:rsidRPr="00D47828" w:rsidRDefault="007A49C1" w:rsidP="003F1D9F">
      <w:pPr>
        <w:pStyle w:val="Heading1"/>
        <w:numPr>
          <w:ilvl w:val="0"/>
          <w:numId w:val="21"/>
        </w:numPr>
        <w:spacing w:before="240" w:after="120"/>
        <w:ind w:left="568" w:hanging="284"/>
        <w:jc w:val="left"/>
        <w:rPr>
          <w:rFonts w:ascii="Arial" w:hAnsi="Arial" w:cs="Arial"/>
          <w:iCs/>
        </w:rPr>
      </w:pPr>
      <w:bookmarkStart w:id="1" w:name="_Toc138355373"/>
      <w:r w:rsidRPr="00D47828">
        <w:rPr>
          <w:rFonts w:ascii="Arial" w:hAnsi="Arial" w:cs="Arial"/>
          <w:iCs/>
        </w:rPr>
        <w:t>Division</w:t>
      </w:r>
      <w:r w:rsidR="009A2D37" w:rsidRPr="00D47828">
        <w:rPr>
          <w:rFonts w:ascii="Arial" w:hAnsi="Arial" w:cs="Arial"/>
          <w:iCs/>
        </w:rPr>
        <w:t xml:space="preserve"> </w:t>
      </w:r>
      <w:r w:rsidR="000674E0" w:rsidRPr="00D47828">
        <w:rPr>
          <w:rFonts w:ascii="Arial" w:hAnsi="Arial" w:cs="Arial"/>
          <w:iCs/>
        </w:rPr>
        <w:t xml:space="preserve">and School/Department </w:t>
      </w:r>
      <w:r w:rsidR="009A2D37" w:rsidRPr="00D47828">
        <w:rPr>
          <w:rFonts w:ascii="Arial" w:hAnsi="Arial" w:cs="Arial"/>
          <w:iCs/>
        </w:rPr>
        <w:t>or partner institution responsible for the module</w:t>
      </w:r>
      <w:bookmarkEnd w:id="1"/>
    </w:p>
    <w:p w14:paraId="76FDE1A8" w14:textId="3477FBEE" w:rsidR="00694B52" w:rsidRPr="00D47828" w:rsidRDefault="00D65239" w:rsidP="007313ED">
      <w:pPr>
        <w:spacing w:after="120" w:line="240" w:lineRule="auto"/>
        <w:ind w:left="284" w:right="544" w:firstLine="284"/>
        <w:jc w:val="both"/>
        <w:rPr>
          <w:rFonts w:ascii="Arial" w:hAnsi="Arial" w:cs="Arial"/>
          <w:iCs/>
          <w:sz w:val="24"/>
          <w:szCs w:val="24"/>
        </w:rPr>
      </w:pPr>
      <w:r w:rsidRPr="00D47828">
        <w:rPr>
          <w:rFonts w:ascii="Arial" w:hAnsi="Arial" w:cs="Arial"/>
          <w:iCs/>
          <w:sz w:val="24"/>
          <w:szCs w:val="24"/>
        </w:rPr>
        <w:t xml:space="preserve">Division of Human and Social Sciences, School of Economics </w:t>
      </w:r>
    </w:p>
    <w:p w14:paraId="04C6DE8C" w14:textId="61091389" w:rsidR="009A2D37" w:rsidRPr="00D47828" w:rsidRDefault="00883204" w:rsidP="003F1D9F">
      <w:pPr>
        <w:pStyle w:val="Heading1"/>
        <w:numPr>
          <w:ilvl w:val="0"/>
          <w:numId w:val="21"/>
        </w:numPr>
        <w:spacing w:before="240" w:after="120"/>
        <w:ind w:left="568" w:hanging="284"/>
        <w:jc w:val="left"/>
        <w:rPr>
          <w:rFonts w:ascii="Arial" w:hAnsi="Arial" w:cs="Arial"/>
          <w:iCs/>
        </w:rPr>
      </w:pPr>
      <w:bookmarkStart w:id="2" w:name="_Toc138355374"/>
      <w:r w:rsidRPr="00D47828">
        <w:rPr>
          <w:rFonts w:ascii="Arial" w:hAnsi="Arial" w:cs="Arial"/>
          <w:iCs/>
        </w:rPr>
        <w:t>The level of the module</w:t>
      </w:r>
      <w:bookmarkEnd w:id="2"/>
      <w:r w:rsidRPr="00D47828">
        <w:rPr>
          <w:rFonts w:ascii="Arial" w:hAnsi="Arial" w:cs="Arial"/>
          <w:iCs/>
        </w:rPr>
        <w:t xml:space="preserve"> </w:t>
      </w:r>
    </w:p>
    <w:p w14:paraId="2CCF1AE9" w14:textId="3B713AB7" w:rsidR="00694B52" w:rsidRPr="00D47828" w:rsidRDefault="00B9249B" w:rsidP="007313ED">
      <w:pPr>
        <w:spacing w:after="120" w:line="240" w:lineRule="auto"/>
        <w:ind w:left="284" w:right="544" w:firstLine="284"/>
        <w:jc w:val="both"/>
        <w:rPr>
          <w:rFonts w:ascii="Arial" w:hAnsi="Arial" w:cs="Arial"/>
          <w:iCs/>
          <w:sz w:val="24"/>
          <w:szCs w:val="24"/>
        </w:rPr>
      </w:pPr>
      <w:r w:rsidRPr="00D47828">
        <w:rPr>
          <w:rFonts w:ascii="Arial" w:hAnsi="Arial" w:cs="Arial"/>
          <w:iCs/>
        </w:rPr>
        <w:t>Level 7</w:t>
      </w:r>
    </w:p>
    <w:p w14:paraId="20483909" w14:textId="686B3C7B" w:rsidR="009A2D37" w:rsidRPr="00D47828" w:rsidRDefault="009A2D37" w:rsidP="003F1D9F">
      <w:pPr>
        <w:pStyle w:val="Heading1"/>
        <w:numPr>
          <w:ilvl w:val="0"/>
          <w:numId w:val="21"/>
        </w:numPr>
        <w:spacing w:before="240" w:after="120"/>
        <w:ind w:left="568" w:hanging="284"/>
        <w:jc w:val="left"/>
        <w:rPr>
          <w:rFonts w:ascii="Arial" w:hAnsi="Arial" w:cs="Arial"/>
          <w:iCs/>
        </w:rPr>
      </w:pPr>
      <w:bookmarkStart w:id="3" w:name="_Toc138355375"/>
      <w:r w:rsidRPr="00D47828">
        <w:rPr>
          <w:rFonts w:ascii="Arial" w:hAnsi="Arial" w:cs="Arial"/>
          <w:iCs/>
        </w:rPr>
        <w:t>The number of credits and the ECTS value which the module represents</w:t>
      </w:r>
      <w:bookmarkEnd w:id="3"/>
      <w:r w:rsidRPr="00D47828">
        <w:rPr>
          <w:rFonts w:ascii="Arial" w:hAnsi="Arial" w:cs="Arial"/>
          <w:iCs/>
        </w:rPr>
        <w:t xml:space="preserve"> </w:t>
      </w:r>
    </w:p>
    <w:p w14:paraId="369EF084" w14:textId="2A64DCEE" w:rsidR="00694B52" w:rsidRPr="00D47828" w:rsidRDefault="00DC490D" w:rsidP="007313ED">
      <w:pPr>
        <w:spacing w:after="120" w:line="240" w:lineRule="auto"/>
        <w:ind w:left="284" w:right="544" w:firstLine="284"/>
        <w:rPr>
          <w:rFonts w:ascii="Arial" w:hAnsi="Arial" w:cs="Arial"/>
          <w:iCs/>
          <w:sz w:val="24"/>
          <w:szCs w:val="24"/>
        </w:rPr>
      </w:pPr>
      <w:r w:rsidRPr="00D47828">
        <w:rPr>
          <w:rFonts w:ascii="Arial" w:hAnsi="Arial" w:cs="Arial"/>
          <w:iCs/>
          <w:sz w:val="24"/>
          <w:szCs w:val="24"/>
        </w:rPr>
        <w:t>15 credits (7.5 ECTS)</w:t>
      </w:r>
    </w:p>
    <w:p w14:paraId="0A7DD2EB" w14:textId="57543FF4" w:rsidR="009A2D37" w:rsidRPr="00D47828" w:rsidRDefault="009A2D37" w:rsidP="003F1D9F">
      <w:pPr>
        <w:pStyle w:val="Heading1"/>
        <w:numPr>
          <w:ilvl w:val="0"/>
          <w:numId w:val="21"/>
        </w:numPr>
        <w:spacing w:before="240" w:after="120"/>
        <w:ind w:left="568" w:hanging="284"/>
        <w:jc w:val="left"/>
        <w:rPr>
          <w:rFonts w:ascii="Arial" w:hAnsi="Arial" w:cs="Arial"/>
          <w:iCs/>
        </w:rPr>
      </w:pPr>
      <w:bookmarkStart w:id="4" w:name="_Toc138355376"/>
      <w:r w:rsidRPr="00D47828">
        <w:rPr>
          <w:rFonts w:ascii="Arial" w:hAnsi="Arial" w:cs="Arial"/>
          <w:iCs/>
        </w:rPr>
        <w:t>Which term(s) the module is to be taught in (or other teaching pattern)</w:t>
      </w:r>
      <w:bookmarkEnd w:id="4"/>
    </w:p>
    <w:p w14:paraId="6A16589E" w14:textId="1D2EF8AA" w:rsidR="00694B52" w:rsidRPr="00D47828" w:rsidRDefault="007313ED" w:rsidP="007313ED">
      <w:pPr>
        <w:spacing w:after="120" w:line="240" w:lineRule="auto"/>
        <w:ind w:left="284" w:right="544" w:firstLine="284"/>
        <w:rPr>
          <w:rFonts w:ascii="Arial" w:hAnsi="Arial" w:cs="Arial"/>
          <w:iCs/>
          <w:sz w:val="24"/>
          <w:szCs w:val="24"/>
        </w:rPr>
      </w:pPr>
      <w:r>
        <w:rPr>
          <w:rFonts w:ascii="Arial" w:hAnsi="Arial" w:cs="Arial"/>
          <w:iCs/>
          <w:sz w:val="24"/>
          <w:szCs w:val="24"/>
        </w:rPr>
        <w:t xml:space="preserve">Autumn or </w:t>
      </w:r>
      <w:r w:rsidR="00D65239" w:rsidRPr="00D47828">
        <w:rPr>
          <w:rFonts w:ascii="Arial" w:hAnsi="Arial" w:cs="Arial"/>
          <w:iCs/>
          <w:sz w:val="24"/>
          <w:szCs w:val="24"/>
        </w:rPr>
        <w:t>Spring</w:t>
      </w:r>
    </w:p>
    <w:p w14:paraId="69BA01EF" w14:textId="56DC5187" w:rsidR="00F522B8" w:rsidRPr="00D47828" w:rsidRDefault="00F522B8" w:rsidP="003F1D9F">
      <w:pPr>
        <w:pStyle w:val="Heading1"/>
        <w:numPr>
          <w:ilvl w:val="0"/>
          <w:numId w:val="21"/>
        </w:numPr>
        <w:spacing w:before="240" w:after="120"/>
        <w:ind w:left="568" w:hanging="284"/>
        <w:jc w:val="left"/>
        <w:rPr>
          <w:rFonts w:ascii="Arial" w:hAnsi="Arial" w:cs="Arial"/>
          <w:iCs/>
        </w:rPr>
      </w:pPr>
      <w:bookmarkStart w:id="5" w:name="_Toc138355377"/>
      <w:r w:rsidRPr="00D47828">
        <w:rPr>
          <w:rFonts w:ascii="Arial" w:hAnsi="Arial" w:cs="Arial"/>
          <w:iCs/>
        </w:rPr>
        <w:t>Delivery of the module</w:t>
      </w:r>
      <w:bookmarkEnd w:id="5"/>
    </w:p>
    <w:p w14:paraId="7881EE08" w14:textId="283B4C96" w:rsidR="00A91933" w:rsidRPr="00D47828" w:rsidRDefault="00A91933" w:rsidP="003B6145">
      <w:pPr>
        <w:pStyle w:val="ListParagraph"/>
        <w:numPr>
          <w:ilvl w:val="1"/>
          <w:numId w:val="21"/>
        </w:numPr>
        <w:spacing w:after="120"/>
        <w:ind w:left="284" w:firstLine="0"/>
        <w:contextualSpacing w:val="0"/>
        <w:rPr>
          <w:rFonts w:ascii="Arial" w:hAnsi="Arial" w:cs="Arial"/>
          <w:b/>
          <w:bCs/>
          <w:iCs/>
          <w:sz w:val="24"/>
          <w:szCs w:val="24"/>
        </w:rPr>
      </w:pPr>
      <w:r w:rsidRPr="00D47828">
        <w:rPr>
          <w:rFonts w:ascii="Arial" w:hAnsi="Arial" w:cs="Arial"/>
          <w:b/>
          <w:bCs/>
          <w:iCs/>
          <w:sz w:val="24"/>
          <w:szCs w:val="24"/>
        </w:rPr>
        <w:t>Mode of study</w:t>
      </w:r>
    </w:p>
    <w:p w14:paraId="23F631FE" w14:textId="088678FD" w:rsidR="00A91933" w:rsidRPr="00D47828" w:rsidRDefault="00801B45" w:rsidP="007313ED">
      <w:pPr>
        <w:ind w:left="284" w:firstLine="436"/>
        <w:rPr>
          <w:rFonts w:ascii="Arial" w:hAnsi="Arial" w:cs="Arial"/>
          <w:iCs/>
          <w:sz w:val="24"/>
          <w:szCs w:val="24"/>
        </w:rPr>
      </w:pPr>
      <w:r w:rsidRPr="00D47828">
        <w:rPr>
          <w:rFonts w:ascii="Arial" w:hAnsi="Arial" w:cs="Arial"/>
          <w:iCs/>
          <w:sz w:val="24"/>
          <w:szCs w:val="24"/>
        </w:rPr>
        <w:t xml:space="preserve">In person </w:t>
      </w:r>
    </w:p>
    <w:p w14:paraId="0CEBD84D" w14:textId="3FD900AA" w:rsidR="003D2571" w:rsidRPr="00D47828" w:rsidRDefault="003D2571" w:rsidP="003B6145">
      <w:pPr>
        <w:pStyle w:val="ListParagraph"/>
        <w:numPr>
          <w:ilvl w:val="1"/>
          <w:numId w:val="21"/>
        </w:numPr>
        <w:spacing w:after="120"/>
        <w:ind w:left="284" w:firstLine="0"/>
        <w:rPr>
          <w:rFonts w:ascii="Arial" w:hAnsi="Arial" w:cs="Arial"/>
          <w:b/>
          <w:bCs/>
          <w:iCs/>
          <w:sz w:val="24"/>
          <w:szCs w:val="24"/>
        </w:rPr>
      </w:pPr>
      <w:r w:rsidRPr="00D47828">
        <w:rPr>
          <w:rFonts w:ascii="Arial" w:hAnsi="Arial" w:cs="Arial"/>
          <w:b/>
          <w:bCs/>
          <w:iCs/>
          <w:sz w:val="24"/>
          <w:szCs w:val="24"/>
        </w:rPr>
        <w:t>Campus(es) or centre(s) where module will be delivered</w:t>
      </w:r>
    </w:p>
    <w:p w14:paraId="387F7658" w14:textId="08ACFA0F" w:rsidR="003D2571" w:rsidRPr="00D47828" w:rsidRDefault="003D2571" w:rsidP="007313ED">
      <w:pPr>
        <w:spacing w:after="120" w:line="240" w:lineRule="auto"/>
        <w:ind w:left="284" w:right="544" w:firstLine="284"/>
        <w:rPr>
          <w:rFonts w:ascii="Arial" w:hAnsi="Arial" w:cs="Arial"/>
          <w:iCs/>
          <w:sz w:val="24"/>
          <w:szCs w:val="24"/>
        </w:rPr>
      </w:pPr>
      <w:r w:rsidRPr="00D47828">
        <w:rPr>
          <w:rFonts w:ascii="Arial" w:hAnsi="Arial" w:cs="Arial"/>
          <w:iCs/>
          <w:sz w:val="24"/>
          <w:szCs w:val="24"/>
        </w:rPr>
        <w:t>Canterbury</w:t>
      </w:r>
    </w:p>
    <w:p w14:paraId="76529F9A" w14:textId="4CACE364" w:rsidR="009A2D37" w:rsidRPr="00D47828" w:rsidRDefault="009A2D37" w:rsidP="003F1D9F">
      <w:pPr>
        <w:pStyle w:val="Heading1"/>
        <w:numPr>
          <w:ilvl w:val="0"/>
          <w:numId w:val="21"/>
        </w:numPr>
        <w:spacing w:before="240" w:after="120"/>
        <w:ind w:left="568" w:hanging="284"/>
        <w:jc w:val="left"/>
        <w:rPr>
          <w:rFonts w:ascii="Arial" w:hAnsi="Arial" w:cs="Arial"/>
          <w:iCs/>
        </w:rPr>
      </w:pPr>
      <w:bookmarkStart w:id="6" w:name="_Toc138355378"/>
      <w:r w:rsidRPr="00D47828">
        <w:rPr>
          <w:rFonts w:ascii="Arial" w:hAnsi="Arial" w:cs="Arial"/>
          <w:iCs/>
        </w:rPr>
        <w:t>Prerequisite and co-requisite modules</w:t>
      </w:r>
      <w:r w:rsidR="00E1736E" w:rsidRPr="00D47828">
        <w:rPr>
          <w:rFonts w:ascii="Arial" w:hAnsi="Arial" w:cs="Arial"/>
          <w:iCs/>
        </w:rPr>
        <w:t xml:space="preserve"> and/or any module restrictions</w:t>
      </w:r>
      <w:bookmarkEnd w:id="6"/>
    </w:p>
    <w:p w14:paraId="315FB01C" w14:textId="601884B7" w:rsidR="00D65239" w:rsidRPr="00D47828" w:rsidRDefault="00D65239" w:rsidP="00D65239">
      <w:pPr>
        <w:rPr>
          <w:iCs/>
          <w:lang w:eastAsia="en-US"/>
        </w:rPr>
      </w:pPr>
      <w:r w:rsidRPr="00D47828">
        <w:rPr>
          <w:iCs/>
          <w:lang w:eastAsia="en-US"/>
        </w:rPr>
        <w:t xml:space="preserve">    </w:t>
      </w:r>
      <w:r w:rsidR="007313ED">
        <w:rPr>
          <w:iCs/>
          <w:lang w:eastAsia="en-US"/>
        </w:rPr>
        <w:tab/>
      </w:r>
      <w:r w:rsidRPr="00D47828">
        <w:rPr>
          <w:iCs/>
          <w:lang w:eastAsia="en-US"/>
        </w:rPr>
        <w:t xml:space="preserve">  </w:t>
      </w:r>
      <w:r w:rsidRPr="00D47828">
        <w:rPr>
          <w:rFonts w:ascii="Arial" w:hAnsi="Arial" w:cs="Arial"/>
          <w:iCs/>
          <w:sz w:val="24"/>
          <w:szCs w:val="24"/>
        </w:rPr>
        <w:t>None</w:t>
      </w:r>
    </w:p>
    <w:p w14:paraId="0F8EE803" w14:textId="02174A37" w:rsidR="00B9249B" w:rsidRPr="00D47828" w:rsidRDefault="009A2D37" w:rsidP="003F1D9F">
      <w:pPr>
        <w:pStyle w:val="Heading1"/>
        <w:numPr>
          <w:ilvl w:val="0"/>
          <w:numId w:val="21"/>
        </w:numPr>
        <w:spacing w:before="240" w:after="120"/>
        <w:ind w:left="568" w:hanging="284"/>
        <w:jc w:val="left"/>
        <w:rPr>
          <w:rFonts w:ascii="Arial" w:hAnsi="Arial" w:cs="Arial"/>
          <w:iCs/>
        </w:rPr>
      </w:pPr>
      <w:bookmarkStart w:id="7" w:name="_Toc138355379"/>
      <w:r w:rsidRPr="00D47828">
        <w:rPr>
          <w:rFonts w:ascii="Arial" w:hAnsi="Arial" w:cs="Arial"/>
          <w:iCs/>
        </w:rPr>
        <w:t xml:space="preserve">The </w:t>
      </w:r>
      <w:r w:rsidR="007A49C1" w:rsidRPr="00D47828">
        <w:rPr>
          <w:rFonts w:ascii="Arial" w:hAnsi="Arial" w:cs="Arial"/>
          <w:iCs/>
        </w:rPr>
        <w:t>course(s)</w:t>
      </w:r>
      <w:r w:rsidRPr="00D47828">
        <w:rPr>
          <w:rFonts w:ascii="Arial" w:hAnsi="Arial" w:cs="Arial"/>
          <w:iCs/>
        </w:rPr>
        <w:t xml:space="preserve"> of study to which the module contributes</w:t>
      </w:r>
      <w:bookmarkEnd w:id="7"/>
    </w:p>
    <w:p w14:paraId="17DEBE48" w14:textId="7CDBD974" w:rsidR="00B9249B" w:rsidRPr="00D47828" w:rsidRDefault="00B9249B" w:rsidP="005710D2">
      <w:pPr>
        <w:pStyle w:val="ListParagraph"/>
        <w:numPr>
          <w:ilvl w:val="1"/>
          <w:numId w:val="21"/>
        </w:numPr>
        <w:spacing w:before="240" w:after="120"/>
        <w:ind w:left="284" w:firstLine="0"/>
        <w:contextualSpacing w:val="0"/>
        <w:rPr>
          <w:rFonts w:ascii="Arial" w:hAnsi="Arial" w:cs="Arial"/>
          <w:b/>
          <w:bCs/>
          <w:iCs/>
          <w:sz w:val="24"/>
          <w:szCs w:val="24"/>
        </w:rPr>
      </w:pPr>
      <w:r w:rsidRPr="00D47828">
        <w:rPr>
          <w:rFonts w:ascii="Arial" w:hAnsi="Arial" w:cs="Arial"/>
          <w:b/>
          <w:bCs/>
          <w:iCs/>
          <w:sz w:val="24"/>
          <w:szCs w:val="24"/>
        </w:rPr>
        <w:t>The module is compulsory for the following courses</w:t>
      </w:r>
    </w:p>
    <w:p w14:paraId="2BD818C5" w14:textId="79E21F87" w:rsidR="00E7202A" w:rsidRPr="00D47828" w:rsidRDefault="00D65239" w:rsidP="007313ED">
      <w:pPr>
        <w:pStyle w:val="ListParagraph"/>
        <w:spacing w:after="120" w:line="240" w:lineRule="auto"/>
        <w:ind w:left="284" w:right="544" w:firstLine="436"/>
        <w:contextualSpacing w:val="0"/>
        <w:rPr>
          <w:rFonts w:ascii="Arial" w:hAnsi="Arial" w:cs="Arial"/>
          <w:iCs/>
          <w:sz w:val="24"/>
          <w:szCs w:val="24"/>
        </w:rPr>
      </w:pPr>
      <w:r w:rsidRPr="00D47828">
        <w:rPr>
          <w:rFonts w:ascii="Arial" w:hAnsi="Arial" w:cs="Arial"/>
          <w:iCs/>
          <w:sz w:val="24"/>
          <w:szCs w:val="24"/>
        </w:rPr>
        <w:t>None</w:t>
      </w:r>
    </w:p>
    <w:p w14:paraId="021CA740" w14:textId="48FB6A6C" w:rsidR="00B9249B" w:rsidRPr="00D47828" w:rsidRDefault="00B9249B" w:rsidP="005710D2">
      <w:pPr>
        <w:pStyle w:val="ListParagraph"/>
        <w:numPr>
          <w:ilvl w:val="1"/>
          <w:numId w:val="21"/>
        </w:numPr>
        <w:spacing w:before="240" w:after="120"/>
        <w:ind w:left="284" w:firstLine="0"/>
        <w:contextualSpacing w:val="0"/>
        <w:rPr>
          <w:rFonts w:ascii="Arial" w:hAnsi="Arial" w:cs="Arial"/>
          <w:b/>
          <w:bCs/>
          <w:iCs/>
          <w:sz w:val="24"/>
          <w:szCs w:val="24"/>
        </w:rPr>
      </w:pPr>
      <w:r w:rsidRPr="00D47828">
        <w:rPr>
          <w:rFonts w:ascii="Arial" w:hAnsi="Arial" w:cs="Arial"/>
          <w:b/>
          <w:bCs/>
          <w:iCs/>
          <w:sz w:val="24"/>
          <w:szCs w:val="24"/>
        </w:rPr>
        <w:t>The module is optional for the</w:t>
      </w:r>
      <w:r w:rsidR="00E7202A" w:rsidRPr="00D47828">
        <w:rPr>
          <w:rFonts w:ascii="Arial" w:hAnsi="Arial" w:cs="Arial"/>
          <w:b/>
          <w:bCs/>
          <w:iCs/>
          <w:sz w:val="24"/>
          <w:szCs w:val="24"/>
        </w:rPr>
        <w:t xml:space="preserve"> following courses</w:t>
      </w:r>
    </w:p>
    <w:p w14:paraId="272BE74D" w14:textId="0B34CB68" w:rsidR="0014429B" w:rsidRPr="00D47828" w:rsidRDefault="00D65239" w:rsidP="007313ED">
      <w:pPr>
        <w:pStyle w:val="ListParagraph"/>
        <w:spacing w:after="120" w:line="240" w:lineRule="auto"/>
        <w:ind w:left="284" w:right="544" w:firstLine="436"/>
        <w:contextualSpacing w:val="0"/>
        <w:rPr>
          <w:rFonts w:ascii="Arial" w:hAnsi="Arial" w:cs="Arial"/>
          <w:iCs/>
          <w:sz w:val="24"/>
          <w:szCs w:val="24"/>
        </w:rPr>
      </w:pPr>
      <w:r w:rsidRPr="00D47828">
        <w:rPr>
          <w:rFonts w:ascii="Arial" w:hAnsi="Arial" w:cs="Arial"/>
          <w:iCs/>
          <w:sz w:val="24"/>
          <w:szCs w:val="24"/>
        </w:rPr>
        <w:t xml:space="preserve">PhD Economics </w:t>
      </w:r>
    </w:p>
    <w:p w14:paraId="650980AD" w14:textId="60428FFC" w:rsidR="00D65239" w:rsidRPr="00D47828" w:rsidRDefault="00D65239" w:rsidP="007313ED">
      <w:pPr>
        <w:pStyle w:val="ListParagraph"/>
        <w:spacing w:after="120" w:line="240" w:lineRule="auto"/>
        <w:ind w:left="284" w:right="544" w:firstLine="436"/>
        <w:contextualSpacing w:val="0"/>
        <w:rPr>
          <w:rFonts w:ascii="Arial" w:hAnsi="Arial" w:cs="Arial"/>
          <w:iCs/>
          <w:sz w:val="24"/>
          <w:szCs w:val="24"/>
        </w:rPr>
      </w:pPr>
      <w:r w:rsidRPr="00D47828">
        <w:rPr>
          <w:rFonts w:ascii="Arial" w:hAnsi="Arial" w:cs="Arial"/>
          <w:iCs/>
          <w:sz w:val="24"/>
          <w:szCs w:val="24"/>
        </w:rPr>
        <w:t xml:space="preserve">PhD Agri-environmental Economics </w:t>
      </w:r>
    </w:p>
    <w:p w14:paraId="43149C25" w14:textId="0B38C6C2" w:rsidR="0033628F" w:rsidRPr="00D47828" w:rsidRDefault="0033628F" w:rsidP="005710D2">
      <w:pPr>
        <w:pStyle w:val="Heading1"/>
        <w:numPr>
          <w:ilvl w:val="0"/>
          <w:numId w:val="21"/>
        </w:numPr>
        <w:spacing w:before="240" w:after="120"/>
        <w:ind w:left="568" w:hanging="284"/>
        <w:jc w:val="left"/>
        <w:rPr>
          <w:rFonts w:ascii="Arial" w:hAnsi="Arial" w:cs="Arial"/>
          <w:iCs/>
        </w:rPr>
      </w:pPr>
      <w:bookmarkStart w:id="8" w:name="_Toc138355380"/>
      <w:r w:rsidRPr="00D47828">
        <w:rPr>
          <w:rFonts w:ascii="Arial" w:hAnsi="Arial" w:cs="Arial"/>
          <w:iCs/>
        </w:rPr>
        <w:t>A synopsis of the curriculum</w:t>
      </w:r>
      <w:bookmarkEnd w:id="8"/>
    </w:p>
    <w:p w14:paraId="5617D1B6" w14:textId="77777777" w:rsidR="00D65239" w:rsidRPr="00D47828" w:rsidRDefault="00D65239" w:rsidP="007313ED">
      <w:pPr>
        <w:spacing w:after="120" w:line="240" w:lineRule="auto"/>
        <w:ind w:left="568" w:right="544"/>
        <w:jc w:val="both"/>
        <w:rPr>
          <w:rFonts w:ascii="Arial" w:hAnsi="Arial" w:cs="Arial"/>
          <w:iCs/>
          <w:sz w:val="24"/>
          <w:szCs w:val="24"/>
        </w:rPr>
      </w:pPr>
      <w:r w:rsidRPr="00D47828">
        <w:rPr>
          <w:rFonts w:ascii="Arial" w:hAnsi="Arial" w:cs="Arial"/>
          <w:iCs/>
          <w:sz w:val="24"/>
          <w:szCs w:val="24"/>
        </w:rPr>
        <w:t xml:space="preserve">This module will cover the fundamental methods for analysis of microeconomic data and equip students to keep up with recent developments in their research area. The lectures will introduce and sketch out the material but the deep understanding of the techniques and how they can be implemented will come from the students own work (through reading, problem sets, actual work with data and one on one support from the module convenor). The module will cover a core set of techniques but also be responsive to the </w:t>
      </w:r>
      <w:r w:rsidRPr="00D47828">
        <w:rPr>
          <w:rFonts w:ascii="Arial" w:hAnsi="Arial" w:cs="Arial"/>
          <w:iCs/>
          <w:sz w:val="24"/>
          <w:szCs w:val="24"/>
        </w:rPr>
        <w:lastRenderedPageBreak/>
        <w:t>specific needs of students. In particular we will try to cover in more depth those topics that students may need for their doctoral research.</w:t>
      </w:r>
    </w:p>
    <w:p w14:paraId="70BAA338" w14:textId="6AD50CF4" w:rsidR="0033628F" w:rsidRPr="00D47828" w:rsidRDefault="00D65239" w:rsidP="007313ED">
      <w:pPr>
        <w:spacing w:after="120" w:line="240" w:lineRule="auto"/>
        <w:ind w:left="568" w:right="544"/>
        <w:rPr>
          <w:rFonts w:ascii="Arial" w:hAnsi="Arial" w:cs="Arial"/>
          <w:iCs/>
          <w:sz w:val="24"/>
          <w:szCs w:val="24"/>
        </w:rPr>
      </w:pPr>
      <w:r w:rsidRPr="00D47828">
        <w:rPr>
          <w:rFonts w:ascii="Arial" w:hAnsi="Arial" w:cs="Arial"/>
          <w:iCs/>
          <w:sz w:val="24"/>
          <w:szCs w:val="24"/>
        </w:rPr>
        <w:t>This module is formulated to provide students with a rigorous and broad knowledge of econometric methods especially important for conducting empirical research in microeconomics.</w:t>
      </w:r>
    </w:p>
    <w:p w14:paraId="460F8159" w14:textId="77777777" w:rsidR="0033628F" w:rsidRPr="00D47828" w:rsidRDefault="0033628F" w:rsidP="005710D2">
      <w:pPr>
        <w:pStyle w:val="Heading1"/>
        <w:numPr>
          <w:ilvl w:val="0"/>
          <w:numId w:val="21"/>
        </w:numPr>
        <w:spacing w:before="240" w:after="120"/>
        <w:ind w:left="568" w:hanging="284"/>
        <w:jc w:val="left"/>
        <w:rPr>
          <w:rFonts w:ascii="Arial" w:hAnsi="Arial" w:cs="Arial"/>
          <w:iCs/>
        </w:rPr>
      </w:pPr>
      <w:bookmarkStart w:id="9" w:name="_Toc138355381"/>
      <w:r w:rsidRPr="00D47828">
        <w:rPr>
          <w:rFonts w:ascii="Arial" w:hAnsi="Arial" w:cs="Arial"/>
          <w:iCs/>
        </w:rPr>
        <w:t>Contact Hours</w:t>
      </w:r>
      <w:bookmarkEnd w:id="9"/>
    </w:p>
    <w:p w14:paraId="0BC2800C" w14:textId="41002FCD" w:rsidR="005710D2" w:rsidRPr="00D47828" w:rsidRDefault="0033628F" w:rsidP="007313ED">
      <w:pPr>
        <w:spacing w:after="120"/>
        <w:ind w:left="284" w:firstLine="284"/>
        <w:rPr>
          <w:rFonts w:ascii="Arial" w:hAnsi="Arial" w:cs="Arial"/>
          <w:iCs/>
          <w:sz w:val="24"/>
          <w:szCs w:val="24"/>
        </w:rPr>
      </w:pPr>
      <w:r w:rsidRPr="00D47828">
        <w:rPr>
          <w:rFonts w:ascii="Arial" w:hAnsi="Arial" w:cs="Arial"/>
          <w:iCs/>
          <w:sz w:val="24"/>
          <w:szCs w:val="24"/>
        </w:rPr>
        <w:t>Private Study:</w:t>
      </w:r>
      <w:r w:rsidR="00D65239" w:rsidRPr="00D47828">
        <w:rPr>
          <w:rFonts w:ascii="Arial" w:hAnsi="Arial" w:cs="Arial"/>
          <w:iCs/>
          <w:sz w:val="24"/>
          <w:szCs w:val="24"/>
        </w:rPr>
        <w:t xml:space="preserve"> 128 Hours </w:t>
      </w:r>
      <w:r w:rsidRPr="00D47828">
        <w:rPr>
          <w:rFonts w:ascii="Arial" w:hAnsi="Arial" w:cs="Arial"/>
          <w:iCs/>
          <w:sz w:val="24"/>
          <w:szCs w:val="24"/>
        </w:rPr>
        <w:t xml:space="preserve"> </w:t>
      </w:r>
    </w:p>
    <w:p w14:paraId="0B50D4F4" w14:textId="1FC587FC" w:rsidR="0033628F" w:rsidRPr="00D47828" w:rsidRDefault="0033628F" w:rsidP="007313ED">
      <w:pPr>
        <w:spacing w:after="120"/>
        <w:ind w:left="284" w:firstLine="284"/>
        <w:rPr>
          <w:rFonts w:ascii="Arial" w:hAnsi="Arial" w:cs="Arial"/>
          <w:iCs/>
          <w:sz w:val="24"/>
          <w:szCs w:val="24"/>
        </w:rPr>
      </w:pPr>
      <w:r w:rsidRPr="00D47828">
        <w:rPr>
          <w:rFonts w:ascii="Arial" w:hAnsi="Arial" w:cs="Arial"/>
          <w:iCs/>
          <w:sz w:val="24"/>
          <w:szCs w:val="24"/>
        </w:rPr>
        <w:t>Contact Hours:</w:t>
      </w:r>
      <w:r w:rsidRPr="00D47828">
        <w:rPr>
          <w:iCs/>
        </w:rPr>
        <w:t xml:space="preserve"> </w:t>
      </w:r>
      <w:r w:rsidR="00D65239" w:rsidRPr="00D47828">
        <w:rPr>
          <w:rFonts w:ascii="Arial" w:hAnsi="Arial" w:cs="Arial"/>
          <w:iCs/>
          <w:sz w:val="24"/>
          <w:szCs w:val="24"/>
        </w:rPr>
        <w:t>24 Hours</w:t>
      </w:r>
    </w:p>
    <w:p w14:paraId="370638D5" w14:textId="01F06355" w:rsidR="0033628F" w:rsidRPr="00D47828" w:rsidRDefault="0033628F" w:rsidP="007313ED">
      <w:pPr>
        <w:ind w:left="284" w:firstLine="284"/>
        <w:rPr>
          <w:rFonts w:ascii="Arial" w:hAnsi="Arial" w:cs="Arial"/>
          <w:iCs/>
          <w:sz w:val="24"/>
          <w:szCs w:val="24"/>
        </w:rPr>
      </w:pPr>
      <w:r w:rsidRPr="00D47828">
        <w:rPr>
          <w:rFonts w:ascii="Arial" w:hAnsi="Arial" w:cs="Arial"/>
          <w:iCs/>
          <w:sz w:val="24"/>
          <w:szCs w:val="24"/>
        </w:rPr>
        <w:t xml:space="preserve">Total: </w:t>
      </w:r>
      <w:r w:rsidR="00D65239" w:rsidRPr="00D47828">
        <w:rPr>
          <w:rFonts w:ascii="Arial" w:hAnsi="Arial" w:cs="Arial"/>
          <w:iCs/>
          <w:sz w:val="24"/>
          <w:szCs w:val="24"/>
        </w:rPr>
        <w:tab/>
        <w:t xml:space="preserve">       150 Hours</w:t>
      </w:r>
    </w:p>
    <w:p w14:paraId="0482B264" w14:textId="4FBD0D3E" w:rsidR="003D2571" w:rsidRPr="00D47828" w:rsidRDefault="003D2571" w:rsidP="005710D2">
      <w:pPr>
        <w:pStyle w:val="Heading1"/>
        <w:numPr>
          <w:ilvl w:val="0"/>
          <w:numId w:val="21"/>
        </w:numPr>
        <w:spacing w:before="240" w:after="120"/>
        <w:ind w:left="568" w:hanging="284"/>
        <w:jc w:val="left"/>
        <w:rPr>
          <w:rFonts w:ascii="Arial" w:hAnsi="Arial" w:cs="Arial"/>
          <w:iCs/>
        </w:rPr>
      </w:pPr>
      <w:bookmarkStart w:id="10" w:name="_Toc138355382"/>
      <w:r w:rsidRPr="00D47828">
        <w:rPr>
          <w:rFonts w:ascii="Arial" w:hAnsi="Arial" w:cs="Arial"/>
          <w:iCs/>
        </w:rPr>
        <w:t>Learning and teaching methods</w:t>
      </w:r>
      <w:bookmarkEnd w:id="10"/>
    </w:p>
    <w:p w14:paraId="3554C665" w14:textId="23862174" w:rsidR="003D2571" w:rsidRPr="00234920" w:rsidRDefault="003D2571" w:rsidP="007313ED">
      <w:pPr>
        <w:ind w:left="284" w:firstLine="284"/>
        <w:rPr>
          <w:rFonts w:ascii="Arial" w:hAnsi="Arial" w:cs="Arial"/>
          <w:iCs/>
          <w:sz w:val="24"/>
          <w:szCs w:val="24"/>
        </w:rPr>
      </w:pPr>
      <w:r w:rsidRPr="00234920">
        <w:rPr>
          <w:rFonts w:ascii="Arial" w:hAnsi="Arial" w:cs="Arial"/>
          <w:iCs/>
          <w:sz w:val="24"/>
          <w:szCs w:val="24"/>
        </w:rPr>
        <w:t>This module will be delivered via lectures and seminars.</w:t>
      </w:r>
    </w:p>
    <w:p w14:paraId="785B9D5C" w14:textId="2EFAE99E" w:rsidR="0033628F" w:rsidRPr="00D47828" w:rsidRDefault="009A2D37" w:rsidP="005710D2">
      <w:pPr>
        <w:pStyle w:val="Heading1"/>
        <w:numPr>
          <w:ilvl w:val="0"/>
          <w:numId w:val="21"/>
        </w:numPr>
        <w:spacing w:before="240" w:after="120"/>
        <w:ind w:left="568" w:hanging="284"/>
        <w:jc w:val="left"/>
        <w:rPr>
          <w:rFonts w:ascii="Arial" w:hAnsi="Arial" w:cs="Arial"/>
          <w:iCs/>
        </w:rPr>
      </w:pPr>
      <w:bookmarkStart w:id="11" w:name="_Toc138355383"/>
      <w:r w:rsidRPr="00D47828">
        <w:rPr>
          <w:rFonts w:ascii="Arial" w:hAnsi="Arial" w:cs="Arial"/>
          <w:iCs/>
        </w:rPr>
        <w:t>The intended subject specific learning outcomes</w:t>
      </w:r>
      <w:bookmarkEnd w:id="11"/>
    </w:p>
    <w:p w14:paraId="3839F6AB" w14:textId="1B7526BB" w:rsidR="009A2D37" w:rsidRPr="00D47828" w:rsidRDefault="00C729D7" w:rsidP="005710D2">
      <w:pPr>
        <w:spacing w:line="240" w:lineRule="auto"/>
        <w:ind w:left="284"/>
        <w:rPr>
          <w:rFonts w:ascii="Arial" w:hAnsi="Arial" w:cs="Arial"/>
          <w:iCs/>
          <w:sz w:val="24"/>
          <w:szCs w:val="24"/>
        </w:rPr>
      </w:pPr>
      <w:r w:rsidRPr="00D47828">
        <w:rPr>
          <w:rFonts w:ascii="Arial" w:hAnsi="Arial" w:cs="Arial"/>
          <w:iCs/>
          <w:sz w:val="24"/>
          <w:szCs w:val="24"/>
        </w:rPr>
        <w:t>On successfully completing the module students will be able to:</w:t>
      </w:r>
    </w:p>
    <w:p w14:paraId="5E3D038A" w14:textId="6AC7C78C" w:rsidR="00D65239" w:rsidRPr="00D47828" w:rsidRDefault="00D65239" w:rsidP="007313ED">
      <w:pPr>
        <w:spacing w:after="120" w:line="240" w:lineRule="auto"/>
        <w:ind w:left="1276" w:right="543" w:hanging="556"/>
        <w:rPr>
          <w:rFonts w:ascii="Arial" w:hAnsi="Arial" w:cs="Arial"/>
          <w:iCs/>
          <w:sz w:val="24"/>
          <w:szCs w:val="24"/>
        </w:rPr>
      </w:pPr>
      <w:r w:rsidRPr="00D47828">
        <w:rPr>
          <w:rFonts w:ascii="Arial" w:hAnsi="Arial" w:cs="Arial"/>
          <w:iCs/>
          <w:sz w:val="24"/>
          <w:szCs w:val="24"/>
        </w:rPr>
        <w:t>12.1 Read intelligently all empirical research (with a proper understanding of the underlying methodology of inference and identification strategy), and</w:t>
      </w:r>
    </w:p>
    <w:p w14:paraId="4EC8ED0F" w14:textId="3C58C4ED" w:rsidR="00D65239" w:rsidRPr="00D47828" w:rsidRDefault="00D65239" w:rsidP="007313ED">
      <w:pPr>
        <w:spacing w:after="120" w:line="240" w:lineRule="auto"/>
        <w:ind w:left="1276" w:right="543" w:hanging="567"/>
        <w:rPr>
          <w:rFonts w:ascii="Arial" w:hAnsi="Arial" w:cs="Arial"/>
          <w:iCs/>
          <w:sz w:val="24"/>
          <w:szCs w:val="24"/>
        </w:rPr>
      </w:pPr>
      <w:r w:rsidRPr="00D47828">
        <w:rPr>
          <w:rFonts w:ascii="Arial" w:hAnsi="Arial" w:cs="Arial"/>
          <w:iCs/>
          <w:sz w:val="24"/>
          <w:szCs w:val="24"/>
        </w:rPr>
        <w:t>12.2 Conduct empirical research suitable for publication in any economics or econometrics journal</w:t>
      </w:r>
    </w:p>
    <w:p w14:paraId="502193EB" w14:textId="3BE78CA2" w:rsidR="00D65239" w:rsidRPr="00D47828" w:rsidRDefault="00D65239" w:rsidP="007313ED">
      <w:pPr>
        <w:spacing w:after="120" w:line="240" w:lineRule="auto"/>
        <w:ind w:left="1276" w:right="543" w:hanging="567"/>
        <w:rPr>
          <w:rFonts w:ascii="Arial" w:hAnsi="Arial" w:cs="Arial"/>
          <w:iCs/>
          <w:sz w:val="24"/>
          <w:szCs w:val="24"/>
        </w:rPr>
      </w:pPr>
      <w:r w:rsidRPr="00D47828">
        <w:rPr>
          <w:rFonts w:ascii="Arial" w:hAnsi="Arial" w:cs="Arial"/>
          <w:iCs/>
          <w:sz w:val="24"/>
          <w:szCs w:val="24"/>
        </w:rPr>
        <w:t>12.3 Learn and understand new techniques not covered in the course with a view to implementing them in their own research</w:t>
      </w:r>
    </w:p>
    <w:p w14:paraId="680BB54D" w14:textId="4AAAA4B4" w:rsidR="00D65239" w:rsidRPr="00D47828" w:rsidRDefault="00D65239" w:rsidP="007313ED">
      <w:pPr>
        <w:spacing w:after="120" w:line="240" w:lineRule="auto"/>
        <w:ind w:left="284" w:right="543" w:firstLine="436"/>
        <w:rPr>
          <w:rFonts w:ascii="Arial" w:hAnsi="Arial" w:cs="Arial"/>
          <w:iCs/>
          <w:sz w:val="24"/>
          <w:szCs w:val="24"/>
        </w:rPr>
      </w:pPr>
      <w:r w:rsidRPr="00D47828">
        <w:rPr>
          <w:rFonts w:ascii="Arial" w:hAnsi="Arial" w:cs="Arial"/>
          <w:iCs/>
          <w:sz w:val="24"/>
          <w:szCs w:val="24"/>
        </w:rPr>
        <w:t>12.4 Apply econometrics methods to micro data</w:t>
      </w:r>
    </w:p>
    <w:p w14:paraId="588698C3" w14:textId="4FEC7161" w:rsidR="00D65239" w:rsidRPr="00D47828" w:rsidRDefault="00D65239" w:rsidP="007313ED">
      <w:pPr>
        <w:spacing w:after="120" w:line="240" w:lineRule="auto"/>
        <w:ind w:left="284" w:right="543" w:firstLine="436"/>
        <w:rPr>
          <w:rFonts w:ascii="Arial" w:hAnsi="Arial" w:cs="Arial"/>
          <w:iCs/>
          <w:sz w:val="24"/>
          <w:szCs w:val="24"/>
        </w:rPr>
      </w:pPr>
      <w:r w:rsidRPr="00D47828">
        <w:rPr>
          <w:rFonts w:ascii="Arial" w:hAnsi="Arial" w:cs="Arial"/>
          <w:iCs/>
          <w:sz w:val="24"/>
          <w:szCs w:val="24"/>
        </w:rPr>
        <w:t>12.5 Understand and explain their identification strategy in new circumstances</w:t>
      </w:r>
    </w:p>
    <w:p w14:paraId="229E6E43" w14:textId="0CCFA883" w:rsidR="00D65239" w:rsidRPr="00D47828" w:rsidRDefault="00D65239" w:rsidP="007313ED">
      <w:pPr>
        <w:spacing w:after="120" w:line="240" w:lineRule="auto"/>
        <w:ind w:left="284" w:right="543" w:firstLine="436"/>
        <w:rPr>
          <w:rFonts w:ascii="Arial" w:hAnsi="Arial" w:cs="Arial"/>
          <w:iCs/>
          <w:sz w:val="24"/>
          <w:szCs w:val="24"/>
        </w:rPr>
      </w:pPr>
      <w:r w:rsidRPr="00D47828">
        <w:rPr>
          <w:rFonts w:ascii="Arial" w:hAnsi="Arial" w:cs="Arial"/>
          <w:iCs/>
          <w:sz w:val="24"/>
          <w:szCs w:val="24"/>
        </w:rPr>
        <w:t xml:space="preserve">12.6 Handle real data with confidence  </w:t>
      </w:r>
    </w:p>
    <w:p w14:paraId="785408C9" w14:textId="6199F580" w:rsidR="00D65239" w:rsidRPr="00D47828" w:rsidRDefault="00D65239" w:rsidP="007313ED">
      <w:pPr>
        <w:spacing w:after="120" w:line="240" w:lineRule="auto"/>
        <w:ind w:left="284" w:right="543" w:firstLine="436"/>
        <w:rPr>
          <w:rFonts w:ascii="Arial" w:hAnsi="Arial" w:cs="Arial"/>
          <w:iCs/>
          <w:sz w:val="24"/>
          <w:szCs w:val="24"/>
        </w:rPr>
      </w:pPr>
      <w:r w:rsidRPr="00D47828">
        <w:rPr>
          <w:rFonts w:ascii="Arial" w:hAnsi="Arial" w:cs="Arial"/>
          <w:iCs/>
          <w:sz w:val="24"/>
          <w:szCs w:val="24"/>
        </w:rPr>
        <w:t>12.7 Understand the conditions under which particular estimators are appropriate</w:t>
      </w:r>
    </w:p>
    <w:p w14:paraId="256A8AC3" w14:textId="062B2EE7" w:rsidR="008D4447" w:rsidRPr="00D47828" w:rsidRDefault="008D4447" w:rsidP="005710D2">
      <w:pPr>
        <w:tabs>
          <w:tab w:val="left" w:pos="993"/>
        </w:tabs>
        <w:spacing w:after="120" w:line="240" w:lineRule="auto"/>
        <w:ind w:left="284" w:right="543"/>
        <w:rPr>
          <w:rFonts w:ascii="Arial" w:hAnsi="Arial" w:cs="Arial"/>
          <w:iCs/>
          <w:sz w:val="24"/>
          <w:szCs w:val="24"/>
        </w:rPr>
      </w:pPr>
    </w:p>
    <w:p w14:paraId="704F4323" w14:textId="68C3F628" w:rsidR="0033628F" w:rsidRPr="00D47828" w:rsidRDefault="009A2D37" w:rsidP="005710D2">
      <w:pPr>
        <w:pStyle w:val="Heading1"/>
        <w:numPr>
          <w:ilvl w:val="0"/>
          <w:numId w:val="21"/>
        </w:numPr>
        <w:spacing w:before="240" w:after="120"/>
        <w:ind w:left="568" w:hanging="284"/>
        <w:jc w:val="left"/>
        <w:rPr>
          <w:rFonts w:ascii="Arial" w:hAnsi="Arial" w:cs="Arial"/>
          <w:iCs/>
        </w:rPr>
      </w:pPr>
      <w:bookmarkStart w:id="12" w:name="_Toc138355384"/>
      <w:r w:rsidRPr="00D47828">
        <w:rPr>
          <w:rFonts w:ascii="Arial" w:hAnsi="Arial" w:cs="Arial"/>
          <w:iCs/>
        </w:rPr>
        <w:t>The intended generic learning outcomes</w:t>
      </w:r>
      <w:bookmarkEnd w:id="12"/>
    </w:p>
    <w:p w14:paraId="035A14B0" w14:textId="64AA320F" w:rsidR="00C729D7" w:rsidRPr="00D47828" w:rsidRDefault="00C729D7" w:rsidP="005710D2">
      <w:pPr>
        <w:ind w:left="284"/>
        <w:rPr>
          <w:rFonts w:ascii="Arial" w:hAnsi="Arial" w:cs="Arial"/>
          <w:iCs/>
          <w:sz w:val="24"/>
          <w:szCs w:val="24"/>
        </w:rPr>
      </w:pPr>
      <w:r w:rsidRPr="00D47828">
        <w:rPr>
          <w:rFonts w:ascii="Arial" w:hAnsi="Arial" w:cs="Arial"/>
          <w:iCs/>
          <w:sz w:val="24"/>
          <w:szCs w:val="24"/>
        </w:rPr>
        <w:t>On successfully completing the module students will be able to:</w:t>
      </w:r>
    </w:p>
    <w:p w14:paraId="44FCF80D" w14:textId="79EA950E" w:rsidR="00D65239" w:rsidRPr="00D47828" w:rsidRDefault="00D65239" w:rsidP="003D2376">
      <w:pPr>
        <w:spacing w:after="120" w:line="240" w:lineRule="auto"/>
        <w:ind w:left="1276" w:right="544" w:hanging="567"/>
        <w:rPr>
          <w:rFonts w:ascii="Arial" w:hAnsi="Arial" w:cs="Arial"/>
          <w:iCs/>
          <w:sz w:val="24"/>
          <w:szCs w:val="24"/>
        </w:rPr>
      </w:pPr>
      <w:r w:rsidRPr="00D47828">
        <w:rPr>
          <w:rFonts w:ascii="Arial" w:hAnsi="Arial" w:cs="Arial"/>
          <w:iCs/>
          <w:sz w:val="24"/>
          <w:szCs w:val="24"/>
        </w:rPr>
        <w:t>13.</w:t>
      </w:r>
      <w:r w:rsidR="00D54080">
        <w:rPr>
          <w:rFonts w:ascii="Arial" w:hAnsi="Arial" w:cs="Arial"/>
          <w:iCs/>
          <w:sz w:val="24"/>
          <w:szCs w:val="24"/>
        </w:rPr>
        <w:t>1</w:t>
      </w:r>
      <w:r w:rsidRPr="00D47828">
        <w:rPr>
          <w:rFonts w:ascii="Arial" w:hAnsi="Arial" w:cs="Arial"/>
          <w:iCs/>
          <w:sz w:val="24"/>
          <w:szCs w:val="24"/>
        </w:rPr>
        <w:t xml:space="preserve"> </w:t>
      </w:r>
      <w:r w:rsidR="00D54080" w:rsidRPr="00D54080">
        <w:rPr>
          <w:rFonts w:ascii="Arial" w:hAnsi="Arial" w:cs="Arial"/>
          <w:iCs/>
          <w:sz w:val="24"/>
          <w:szCs w:val="24"/>
        </w:rPr>
        <w:t>Locate, extract, and critically analyse data from different sources, to be presented in an appropriate format.</w:t>
      </w:r>
    </w:p>
    <w:p w14:paraId="4250F55D" w14:textId="3FA28FD7" w:rsidR="00D65239" w:rsidRPr="00D47828" w:rsidRDefault="00D65239" w:rsidP="003D2376">
      <w:pPr>
        <w:spacing w:after="120" w:line="240" w:lineRule="auto"/>
        <w:ind w:left="1276" w:right="544" w:hanging="567"/>
        <w:rPr>
          <w:rFonts w:ascii="Arial" w:hAnsi="Arial" w:cs="Arial"/>
          <w:iCs/>
          <w:sz w:val="24"/>
          <w:szCs w:val="24"/>
        </w:rPr>
      </w:pPr>
      <w:r w:rsidRPr="00D47828">
        <w:rPr>
          <w:rFonts w:ascii="Arial" w:hAnsi="Arial" w:cs="Arial"/>
          <w:iCs/>
          <w:sz w:val="24"/>
          <w:szCs w:val="24"/>
        </w:rPr>
        <w:t>13.</w:t>
      </w:r>
      <w:r w:rsidR="00A66886">
        <w:rPr>
          <w:rFonts w:ascii="Arial" w:hAnsi="Arial" w:cs="Arial"/>
          <w:iCs/>
          <w:sz w:val="24"/>
          <w:szCs w:val="24"/>
        </w:rPr>
        <w:t>2</w:t>
      </w:r>
      <w:r w:rsidRPr="00D47828">
        <w:rPr>
          <w:rFonts w:ascii="Arial" w:hAnsi="Arial" w:cs="Arial"/>
          <w:iCs/>
          <w:sz w:val="24"/>
          <w:szCs w:val="24"/>
        </w:rPr>
        <w:t xml:space="preserve"> Address</w:t>
      </w:r>
      <w:r w:rsidR="00B90441">
        <w:rPr>
          <w:rFonts w:ascii="Arial" w:hAnsi="Arial" w:cs="Arial"/>
          <w:iCs/>
          <w:sz w:val="24"/>
          <w:szCs w:val="24"/>
        </w:rPr>
        <w:t xml:space="preserve"> complex</w:t>
      </w:r>
      <w:r w:rsidRPr="00D47828">
        <w:rPr>
          <w:rFonts w:ascii="Arial" w:hAnsi="Arial" w:cs="Arial"/>
          <w:iCs/>
          <w:sz w:val="24"/>
          <w:szCs w:val="24"/>
        </w:rPr>
        <w:t xml:space="preserve"> problems </w:t>
      </w:r>
      <w:r w:rsidR="00332B71">
        <w:rPr>
          <w:rFonts w:ascii="Arial" w:hAnsi="Arial" w:cs="Arial"/>
          <w:iCs/>
          <w:sz w:val="24"/>
          <w:szCs w:val="24"/>
        </w:rPr>
        <w:t xml:space="preserve"> and analyse the extracted data </w:t>
      </w:r>
      <w:r w:rsidRPr="00D47828">
        <w:rPr>
          <w:rFonts w:ascii="Arial" w:hAnsi="Arial" w:cs="Arial"/>
          <w:iCs/>
          <w:sz w:val="24"/>
          <w:szCs w:val="24"/>
        </w:rPr>
        <w:t xml:space="preserve">with </w:t>
      </w:r>
      <w:r w:rsidR="00B90441">
        <w:rPr>
          <w:rFonts w:ascii="Arial" w:hAnsi="Arial" w:cs="Arial"/>
          <w:iCs/>
          <w:sz w:val="24"/>
          <w:szCs w:val="24"/>
        </w:rPr>
        <w:t xml:space="preserve">advanced </w:t>
      </w:r>
      <w:r w:rsidRPr="00D47828">
        <w:rPr>
          <w:rFonts w:ascii="Arial" w:hAnsi="Arial" w:cs="Arial"/>
          <w:iCs/>
          <w:sz w:val="24"/>
          <w:szCs w:val="24"/>
        </w:rPr>
        <w:t xml:space="preserve">quantitative </w:t>
      </w:r>
      <w:r w:rsidR="00B90441">
        <w:rPr>
          <w:rFonts w:ascii="Arial" w:hAnsi="Arial" w:cs="Arial"/>
          <w:iCs/>
          <w:sz w:val="24"/>
          <w:szCs w:val="24"/>
        </w:rPr>
        <w:t>methods</w:t>
      </w:r>
    </w:p>
    <w:p w14:paraId="6F49786D" w14:textId="5A74FCC7" w:rsidR="00D65239" w:rsidRPr="00D47828" w:rsidRDefault="00D65239" w:rsidP="003D2376">
      <w:pPr>
        <w:spacing w:after="120" w:line="240" w:lineRule="auto"/>
        <w:ind w:left="1276" w:right="544" w:hanging="567"/>
        <w:rPr>
          <w:rFonts w:ascii="Arial" w:hAnsi="Arial" w:cs="Arial"/>
          <w:iCs/>
          <w:sz w:val="24"/>
          <w:szCs w:val="24"/>
        </w:rPr>
      </w:pPr>
      <w:r w:rsidRPr="00D47828">
        <w:rPr>
          <w:rFonts w:ascii="Arial" w:hAnsi="Arial" w:cs="Arial"/>
          <w:iCs/>
          <w:sz w:val="24"/>
          <w:szCs w:val="24"/>
        </w:rPr>
        <w:t>13.</w:t>
      </w:r>
      <w:r w:rsidR="00A66886">
        <w:rPr>
          <w:rFonts w:ascii="Arial" w:hAnsi="Arial" w:cs="Arial"/>
          <w:iCs/>
          <w:sz w:val="24"/>
          <w:szCs w:val="24"/>
        </w:rPr>
        <w:t>3</w:t>
      </w:r>
      <w:r w:rsidRPr="00D47828">
        <w:rPr>
          <w:rFonts w:ascii="Arial" w:hAnsi="Arial" w:cs="Arial"/>
          <w:iCs/>
          <w:sz w:val="24"/>
          <w:szCs w:val="24"/>
        </w:rPr>
        <w:t xml:space="preserve"> Think critically and analytically</w:t>
      </w:r>
      <w:r w:rsidR="00FC3A52">
        <w:rPr>
          <w:rFonts w:ascii="Arial" w:hAnsi="Arial" w:cs="Arial"/>
          <w:iCs/>
          <w:sz w:val="24"/>
          <w:szCs w:val="24"/>
        </w:rPr>
        <w:t xml:space="preserve"> in order to address complex </w:t>
      </w:r>
      <w:r w:rsidR="00A66886">
        <w:rPr>
          <w:rFonts w:ascii="Arial" w:hAnsi="Arial" w:cs="Arial"/>
          <w:iCs/>
          <w:sz w:val="24"/>
          <w:szCs w:val="24"/>
        </w:rPr>
        <w:t>problems</w:t>
      </w:r>
      <w:r w:rsidR="00FC3A52">
        <w:rPr>
          <w:rFonts w:ascii="Arial" w:hAnsi="Arial" w:cs="Arial"/>
          <w:iCs/>
          <w:sz w:val="24"/>
          <w:szCs w:val="24"/>
        </w:rPr>
        <w:t xml:space="preserve"> </w:t>
      </w:r>
      <w:r w:rsidR="0068523E">
        <w:rPr>
          <w:rFonts w:ascii="Arial" w:hAnsi="Arial" w:cs="Arial"/>
          <w:iCs/>
          <w:sz w:val="24"/>
          <w:szCs w:val="24"/>
        </w:rPr>
        <w:t>with policy relevance</w:t>
      </w:r>
    </w:p>
    <w:p w14:paraId="13C486A7" w14:textId="77777777" w:rsidR="00DC490D" w:rsidRPr="00D47828" w:rsidRDefault="00DC490D" w:rsidP="005710D2">
      <w:pPr>
        <w:spacing w:after="120" w:line="240" w:lineRule="auto"/>
        <w:ind w:left="284" w:right="544"/>
        <w:rPr>
          <w:rFonts w:ascii="Arial" w:hAnsi="Arial" w:cs="Arial"/>
          <w:iCs/>
          <w:sz w:val="24"/>
          <w:szCs w:val="24"/>
        </w:rPr>
      </w:pPr>
    </w:p>
    <w:p w14:paraId="004279B3" w14:textId="6E0A3D85" w:rsidR="0033628F" w:rsidRPr="00D47828" w:rsidRDefault="003D2571" w:rsidP="005710D2">
      <w:pPr>
        <w:pStyle w:val="Heading1"/>
        <w:numPr>
          <w:ilvl w:val="0"/>
          <w:numId w:val="21"/>
        </w:numPr>
        <w:spacing w:before="240" w:after="120"/>
        <w:ind w:left="568" w:hanging="284"/>
        <w:jc w:val="left"/>
        <w:rPr>
          <w:rFonts w:ascii="Arial" w:hAnsi="Arial" w:cs="Arial"/>
          <w:iCs/>
        </w:rPr>
      </w:pPr>
      <w:bookmarkStart w:id="13" w:name="_Toc138355385"/>
      <w:r w:rsidRPr="00D47828">
        <w:rPr>
          <w:rFonts w:ascii="Arial" w:hAnsi="Arial" w:cs="Arial"/>
          <w:iCs/>
        </w:rPr>
        <w:lastRenderedPageBreak/>
        <w:t>Assessment Strategy</w:t>
      </w:r>
      <w:bookmarkEnd w:id="13"/>
    </w:p>
    <w:p w14:paraId="1B169D8C" w14:textId="192D7835" w:rsidR="003D2571" w:rsidRPr="00D47828"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iCs/>
          <w:sz w:val="24"/>
          <w:szCs w:val="24"/>
        </w:rPr>
      </w:pPr>
      <w:r w:rsidRPr="00D47828">
        <w:rPr>
          <w:rFonts w:ascii="Arial" w:hAnsi="Arial" w:cs="Arial"/>
          <w:b/>
          <w:bCs/>
          <w:iCs/>
          <w:sz w:val="24"/>
          <w:szCs w:val="24"/>
        </w:rPr>
        <w:t>Main assessment methods</w:t>
      </w:r>
    </w:p>
    <w:p w14:paraId="7040E90A" w14:textId="36EF02CD" w:rsidR="008D4447" w:rsidRPr="00D47828" w:rsidRDefault="00D65239" w:rsidP="007313ED">
      <w:pPr>
        <w:spacing w:after="120" w:line="240" w:lineRule="auto"/>
        <w:ind w:left="284" w:right="543" w:firstLine="436"/>
        <w:rPr>
          <w:rFonts w:ascii="Arial" w:hAnsi="Arial" w:cs="Arial"/>
          <w:iCs/>
          <w:sz w:val="24"/>
          <w:szCs w:val="24"/>
        </w:rPr>
      </w:pPr>
      <w:r w:rsidRPr="00D47828">
        <w:rPr>
          <w:rFonts w:ascii="Arial" w:hAnsi="Arial" w:cs="Arial"/>
          <w:iCs/>
          <w:sz w:val="24"/>
          <w:szCs w:val="24"/>
        </w:rPr>
        <w:t>Journal Paper Replication Report (5,000 words) (50%)</w:t>
      </w:r>
    </w:p>
    <w:p w14:paraId="55A82827" w14:textId="345457B0" w:rsidR="00D65239" w:rsidRPr="00D47828" w:rsidRDefault="00D65239" w:rsidP="007313ED">
      <w:pPr>
        <w:spacing w:after="120" w:line="240" w:lineRule="auto"/>
        <w:ind w:left="284" w:right="543" w:firstLine="436"/>
        <w:rPr>
          <w:rFonts w:ascii="Arial" w:hAnsi="Arial" w:cs="Arial"/>
          <w:iCs/>
          <w:sz w:val="24"/>
          <w:szCs w:val="24"/>
        </w:rPr>
      </w:pPr>
      <w:r w:rsidRPr="00D47828">
        <w:rPr>
          <w:rFonts w:ascii="Arial" w:hAnsi="Arial" w:cs="Arial"/>
          <w:iCs/>
          <w:sz w:val="24"/>
          <w:szCs w:val="24"/>
        </w:rPr>
        <w:t xml:space="preserve">Presentation (20 minutes) (50%) </w:t>
      </w:r>
    </w:p>
    <w:p w14:paraId="1B17CBFA" w14:textId="555B3E44" w:rsidR="0033628F"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iCs/>
          <w:sz w:val="24"/>
          <w:szCs w:val="24"/>
        </w:rPr>
      </w:pPr>
      <w:r w:rsidRPr="00D47828">
        <w:rPr>
          <w:rFonts w:ascii="Arial" w:hAnsi="Arial" w:cs="Arial"/>
          <w:b/>
          <w:bCs/>
          <w:iCs/>
          <w:sz w:val="24"/>
          <w:szCs w:val="24"/>
        </w:rPr>
        <w:t>H</w:t>
      </w:r>
      <w:r w:rsidR="0033628F" w:rsidRPr="00D47828">
        <w:rPr>
          <w:rFonts w:ascii="Arial" w:hAnsi="Arial" w:cs="Arial"/>
          <w:b/>
          <w:bCs/>
          <w:iCs/>
          <w:sz w:val="24"/>
          <w:szCs w:val="24"/>
        </w:rPr>
        <w:t>ow the assessment methods outline</w:t>
      </w:r>
      <w:r w:rsidR="00DA7902" w:rsidRPr="00D47828">
        <w:rPr>
          <w:rFonts w:ascii="Arial" w:hAnsi="Arial" w:cs="Arial"/>
          <w:b/>
          <w:bCs/>
          <w:iCs/>
          <w:sz w:val="24"/>
          <w:szCs w:val="24"/>
        </w:rPr>
        <w:t>d</w:t>
      </w:r>
      <w:r w:rsidR="0033628F" w:rsidRPr="00D47828">
        <w:rPr>
          <w:rFonts w:ascii="Arial" w:hAnsi="Arial" w:cs="Arial"/>
          <w:b/>
          <w:bCs/>
          <w:iCs/>
          <w:sz w:val="24"/>
          <w:szCs w:val="24"/>
        </w:rPr>
        <w:t xml:space="preserve"> above fit with the course assessment strategy?</w:t>
      </w:r>
    </w:p>
    <w:p w14:paraId="77DF91EB" w14:textId="1FC4B094" w:rsidR="0063227F" w:rsidRPr="00234920" w:rsidRDefault="0063227F" w:rsidP="00732599">
      <w:pPr>
        <w:tabs>
          <w:tab w:val="left" w:pos="993"/>
          <w:tab w:val="left" w:pos="1134"/>
        </w:tabs>
        <w:spacing w:before="240" w:after="120"/>
        <w:ind w:left="720"/>
        <w:jc w:val="both"/>
        <w:rPr>
          <w:rFonts w:ascii="Arial" w:hAnsi="Arial" w:cs="Arial"/>
          <w:iCs/>
          <w:sz w:val="24"/>
          <w:szCs w:val="24"/>
        </w:rPr>
      </w:pPr>
      <w:r w:rsidRPr="00234920">
        <w:rPr>
          <w:rFonts w:ascii="Arial" w:hAnsi="Arial" w:cs="Arial"/>
          <w:iCs/>
          <w:sz w:val="24"/>
          <w:szCs w:val="24"/>
        </w:rPr>
        <w:t>The Journal Paper Replication Report will assess whether the student is able to understand and replicate the results in a paper and demonstrate in written form that they have thoroughly understood the methodology and the material thought in the course. The Presentation will further assess and assure that the learning outcomes have been achieved and that the student has developed their full potential.</w:t>
      </w:r>
      <w:r w:rsidR="002139BE">
        <w:rPr>
          <w:rFonts w:ascii="Arial" w:hAnsi="Arial" w:cs="Arial"/>
          <w:iCs/>
          <w:sz w:val="24"/>
          <w:szCs w:val="24"/>
        </w:rPr>
        <w:t xml:space="preserve"> This is going to best prepare the students for the </w:t>
      </w:r>
      <w:r w:rsidR="00093179">
        <w:rPr>
          <w:rFonts w:ascii="Arial" w:hAnsi="Arial" w:cs="Arial"/>
          <w:iCs/>
          <w:sz w:val="24"/>
          <w:szCs w:val="24"/>
        </w:rPr>
        <w:t>empirical part of their PhD thesis.</w:t>
      </w:r>
    </w:p>
    <w:p w14:paraId="2DAE71F6" w14:textId="10D91843" w:rsidR="0033628F" w:rsidRPr="00D47828"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iCs/>
          <w:sz w:val="24"/>
          <w:szCs w:val="24"/>
        </w:rPr>
      </w:pPr>
      <w:r w:rsidRPr="00D47828">
        <w:rPr>
          <w:rFonts w:ascii="Arial" w:hAnsi="Arial" w:cs="Arial"/>
          <w:b/>
          <w:bCs/>
          <w:iCs/>
          <w:sz w:val="24"/>
          <w:szCs w:val="24"/>
        </w:rPr>
        <w:t xml:space="preserve">Reassessment methods </w:t>
      </w:r>
    </w:p>
    <w:p w14:paraId="52C0B8E0" w14:textId="2B5E40A4" w:rsidR="0033628F" w:rsidRPr="00D47828" w:rsidRDefault="00D65239" w:rsidP="00732599">
      <w:pPr>
        <w:spacing w:after="120" w:line="240" w:lineRule="auto"/>
        <w:ind w:left="284" w:right="544" w:firstLine="284"/>
        <w:rPr>
          <w:rFonts w:ascii="Arial" w:hAnsi="Arial" w:cs="Arial"/>
          <w:iCs/>
          <w:sz w:val="24"/>
          <w:szCs w:val="24"/>
        </w:rPr>
      </w:pPr>
      <w:r w:rsidRPr="00D47828">
        <w:rPr>
          <w:rFonts w:ascii="Arial" w:hAnsi="Arial" w:cs="Arial"/>
          <w:iCs/>
          <w:sz w:val="24"/>
          <w:szCs w:val="24"/>
        </w:rPr>
        <w:t xml:space="preserve">100% coursework </w:t>
      </w:r>
    </w:p>
    <w:p w14:paraId="5BEF04D3" w14:textId="6D830F31" w:rsidR="0033628F" w:rsidRPr="00D47828" w:rsidRDefault="0033628F" w:rsidP="003B6145">
      <w:pPr>
        <w:pStyle w:val="Heading1"/>
        <w:numPr>
          <w:ilvl w:val="0"/>
          <w:numId w:val="21"/>
        </w:numPr>
        <w:spacing w:before="240" w:after="120"/>
        <w:ind w:left="568" w:hanging="284"/>
        <w:jc w:val="left"/>
        <w:rPr>
          <w:rFonts w:ascii="Arial" w:hAnsi="Arial" w:cs="Arial"/>
          <w:iCs/>
        </w:rPr>
      </w:pPr>
      <w:bookmarkStart w:id="14" w:name="_Toc138355386"/>
      <w:r w:rsidRPr="00D47828">
        <w:rPr>
          <w:rFonts w:ascii="Arial" w:hAnsi="Arial" w:cs="Arial"/>
          <w:iCs/>
        </w:rPr>
        <w:t>Mapping of Learning Outcomes</w:t>
      </w:r>
      <w:bookmarkEnd w:id="14"/>
    </w:p>
    <w:p w14:paraId="05E5CD04" w14:textId="46CE3D52" w:rsidR="0033628F" w:rsidRPr="00D47828" w:rsidRDefault="0033628F" w:rsidP="00732599">
      <w:pPr>
        <w:ind w:left="568"/>
        <w:rPr>
          <w:rFonts w:ascii="Arial" w:hAnsi="Arial" w:cs="Arial"/>
          <w:iCs/>
          <w:sz w:val="24"/>
          <w:szCs w:val="24"/>
        </w:rPr>
      </w:pPr>
      <w:r w:rsidRPr="00D47828">
        <w:rPr>
          <w:rFonts w:ascii="Arial" w:hAnsi="Arial" w:cs="Arial"/>
          <w:iCs/>
          <w:sz w:val="24"/>
          <w:szCs w:val="24"/>
        </w:rPr>
        <w:t xml:space="preserve">Map of module learning outcomes (sections </w:t>
      </w:r>
      <w:r w:rsidR="003D2571" w:rsidRPr="00D47828">
        <w:rPr>
          <w:rFonts w:ascii="Arial" w:hAnsi="Arial" w:cs="Arial"/>
          <w:iCs/>
          <w:sz w:val="24"/>
          <w:szCs w:val="24"/>
        </w:rPr>
        <w:t>12</w:t>
      </w:r>
      <w:r w:rsidRPr="00D47828">
        <w:rPr>
          <w:rFonts w:ascii="Arial" w:hAnsi="Arial" w:cs="Arial"/>
          <w:iCs/>
          <w:sz w:val="24"/>
          <w:szCs w:val="24"/>
        </w:rPr>
        <w:t xml:space="preserve"> &amp; </w:t>
      </w:r>
      <w:r w:rsidR="003D2571" w:rsidRPr="00D47828">
        <w:rPr>
          <w:rFonts w:ascii="Arial" w:hAnsi="Arial" w:cs="Arial"/>
          <w:iCs/>
          <w:sz w:val="24"/>
          <w:szCs w:val="24"/>
        </w:rPr>
        <w:t>13</w:t>
      </w:r>
      <w:r w:rsidRPr="00D47828">
        <w:rPr>
          <w:rFonts w:ascii="Arial" w:hAnsi="Arial" w:cs="Arial"/>
          <w:iCs/>
          <w:sz w:val="24"/>
          <w:szCs w:val="24"/>
        </w:rPr>
        <w:t>) to learning and teaching methods (section 1</w:t>
      </w:r>
      <w:r w:rsidR="003D2571" w:rsidRPr="00D47828">
        <w:rPr>
          <w:rFonts w:ascii="Arial" w:hAnsi="Arial" w:cs="Arial"/>
          <w:iCs/>
          <w:sz w:val="24"/>
          <w:szCs w:val="24"/>
        </w:rPr>
        <w:t>1</w:t>
      </w:r>
      <w:r w:rsidRPr="00D47828">
        <w:rPr>
          <w:rFonts w:ascii="Arial" w:hAnsi="Arial" w:cs="Arial"/>
          <w:iCs/>
          <w:sz w:val="24"/>
          <w:szCs w:val="24"/>
        </w:rPr>
        <w:t>) and methods of assessment (section 1</w:t>
      </w:r>
      <w:r w:rsidR="003D2571" w:rsidRPr="00D47828">
        <w:rPr>
          <w:rFonts w:ascii="Arial" w:hAnsi="Arial" w:cs="Arial"/>
          <w:iCs/>
          <w:sz w:val="24"/>
          <w:szCs w:val="24"/>
        </w:rPr>
        <w:t>4</w:t>
      </w:r>
      <w:r w:rsidRPr="00D47828">
        <w:rPr>
          <w:rFonts w:ascii="Arial" w:hAnsi="Arial" w:cs="Arial"/>
          <w:iCs/>
          <w:sz w:val="24"/>
          <w:szCs w:val="24"/>
        </w:rPr>
        <w:t>)</w:t>
      </w:r>
      <w:r w:rsidR="007946C0" w:rsidRPr="00D47828">
        <w:rPr>
          <w:rFonts w:ascii="Arial" w:hAnsi="Arial" w:cs="Arial"/>
          <w:iCs/>
          <w:sz w:val="24"/>
          <w:szCs w:val="24"/>
        </w:rPr>
        <w:t>.</w:t>
      </w:r>
    </w:p>
    <w:p w14:paraId="5BF6CF12" w14:textId="06372378" w:rsidR="0033628F" w:rsidRPr="00D47828"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iCs/>
          <w:sz w:val="24"/>
          <w:szCs w:val="24"/>
        </w:rPr>
      </w:pPr>
      <w:r w:rsidRPr="00D47828">
        <w:rPr>
          <w:rFonts w:ascii="Arial" w:hAnsi="Arial" w:cs="Arial"/>
          <w:b/>
          <w:bCs/>
          <w:iCs/>
          <w:sz w:val="24"/>
          <w:szCs w:val="24"/>
        </w:rPr>
        <w:t>Module learning outcomes against learning and teaching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8408D8" w:rsidRPr="00D47828" w14:paraId="52624BCE" w14:textId="77777777" w:rsidTr="003D2376">
        <w:trPr>
          <w:cantSplit/>
          <w:tblHeader/>
        </w:trPr>
        <w:tc>
          <w:tcPr>
            <w:tcW w:w="2126" w:type="dxa"/>
            <w:shd w:val="clear" w:color="auto" w:fill="D9D9D9" w:themeFill="background1" w:themeFillShade="D9"/>
          </w:tcPr>
          <w:p w14:paraId="2672BD5B" w14:textId="77777777" w:rsidR="008408D8" w:rsidRPr="00D47828" w:rsidRDefault="008408D8">
            <w:pPr>
              <w:spacing w:after="120"/>
              <w:ind w:left="33" w:right="543"/>
              <w:rPr>
                <w:rFonts w:ascii="Arial" w:hAnsi="Arial" w:cs="Arial"/>
                <w:b/>
                <w:iCs/>
                <w:sz w:val="20"/>
                <w:szCs w:val="20"/>
              </w:rPr>
            </w:pPr>
            <w:r w:rsidRPr="00D47828">
              <w:rPr>
                <w:rFonts w:ascii="Arial" w:hAnsi="Arial" w:cs="Arial"/>
                <w:b/>
                <w:iCs/>
                <w:sz w:val="20"/>
                <w:szCs w:val="20"/>
              </w:rPr>
              <w:t>Module learning outcome</w:t>
            </w:r>
          </w:p>
        </w:tc>
        <w:tc>
          <w:tcPr>
            <w:tcW w:w="567" w:type="dxa"/>
          </w:tcPr>
          <w:p w14:paraId="1AD72168" w14:textId="6F9C3079" w:rsidR="008408D8" w:rsidRPr="00D47828" w:rsidRDefault="008408D8" w:rsidP="00AA629F">
            <w:pPr>
              <w:spacing w:after="120"/>
              <w:ind w:right="-40"/>
              <w:rPr>
                <w:rFonts w:ascii="Arial" w:hAnsi="Arial" w:cs="Arial"/>
                <w:iCs/>
                <w:sz w:val="20"/>
                <w:szCs w:val="20"/>
              </w:rPr>
            </w:pPr>
            <w:r w:rsidRPr="00D47828">
              <w:rPr>
                <w:rFonts w:ascii="Arial" w:hAnsi="Arial" w:cs="Arial"/>
                <w:iCs/>
                <w:sz w:val="20"/>
                <w:szCs w:val="20"/>
              </w:rPr>
              <w:t>12.1</w:t>
            </w:r>
          </w:p>
        </w:tc>
        <w:tc>
          <w:tcPr>
            <w:tcW w:w="567" w:type="dxa"/>
          </w:tcPr>
          <w:p w14:paraId="4A2941FC" w14:textId="7EE07B3A" w:rsidR="008408D8" w:rsidRPr="00D47828" w:rsidRDefault="008408D8" w:rsidP="00AA629F">
            <w:pPr>
              <w:spacing w:after="120"/>
              <w:ind w:right="-105"/>
              <w:rPr>
                <w:rFonts w:ascii="Arial" w:hAnsi="Arial" w:cs="Arial"/>
                <w:iCs/>
                <w:sz w:val="20"/>
                <w:szCs w:val="20"/>
              </w:rPr>
            </w:pPr>
            <w:r w:rsidRPr="00D47828">
              <w:rPr>
                <w:rFonts w:ascii="Arial" w:hAnsi="Arial" w:cs="Arial"/>
                <w:iCs/>
                <w:sz w:val="20"/>
                <w:szCs w:val="20"/>
              </w:rPr>
              <w:t>12.2</w:t>
            </w:r>
          </w:p>
        </w:tc>
        <w:tc>
          <w:tcPr>
            <w:tcW w:w="567" w:type="dxa"/>
          </w:tcPr>
          <w:p w14:paraId="2BD54B06" w14:textId="0EB42D0F" w:rsidR="008408D8" w:rsidRPr="00D47828" w:rsidRDefault="008408D8" w:rsidP="00AA629F">
            <w:pPr>
              <w:tabs>
                <w:tab w:val="left" w:pos="314"/>
              </w:tabs>
              <w:spacing w:after="120"/>
              <w:ind w:left="-793" w:right="-250" w:firstLine="793"/>
              <w:rPr>
                <w:rFonts w:ascii="Arial" w:hAnsi="Arial" w:cs="Arial"/>
                <w:iCs/>
                <w:sz w:val="20"/>
                <w:szCs w:val="20"/>
              </w:rPr>
            </w:pPr>
            <w:r w:rsidRPr="00D47828">
              <w:rPr>
                <w:rFonts w:ascii="Arial" w:hAnsi="Arial" w:cs="Arial"/>
                <w:iCs/>
                <w:sz w:val="20"/>
                <w:szCs w:val="20"/>
              </w:rPr>
              <w:t>12.3</w:t>
            </w:r>
          </w:p>
        </w:tc>
        <w:tc>
          <w:tcPr>
            <w:tcW w:w="567" w:type="dxa"/>
          </w:tcPr>
          <w:p w14:paraId="30ABDCED" w14:textId="2841BDF1" w:rsidR="008408D8" w:rsidRPr="00D47828" w:rsidRDefault="008408D8" w:rsidP="00AA629F">
            <w:pPr>
              <w:spacing w:after="120"/>
              <w:ind w:right="-331"/>
              <w:rPr>
                <w:rFonts w:ascii="Arial" w:hAnsi="Arial" w:cs="Arial"/>
                <w:iCs/>
                <w:sz w:val="20"/>
                <w:szCs w:val="20"/>
              </w:rPr>
            </w:pPr>
            <w:r w:rsidRPr="00D47828">
              <w:rPr>
                <w:rFonts w:ascii="Arial" w:hAnsi="Arial" w:cs="Arial"/>
                <w:iCs/>
                <w:sz w:val="20"/>
                <w:szCs w:val="20"/>
              </w:rPr>
              <w:t>12.4</w:t>
            </w:r>
          </w:p>
        </w:tc>
        <w:tc>
          <w:tcPr>
            <w:tcW w:w="567" w:type="dxa"/>
          </w:tcPr>
          <w:p w14:paraId="4C474F55" w14:textId="23631902" w:rsidR="008408D8" w:rsidRPr="00D47828" w:rsidRDefault="008408D8" w:rsidP="00AA629F">
            <w:pPr>
              <w:spacing w:after="120"/>
              <w:ind w:right="-331"/>
              <w:rPr>
                <w:rFonts w:ascii="Arial" w:hAnsi="Arial" w:cs="Arial"/>
                <w:iCs/>
                <w:sz w:val="20"/>
                <w:szCs w:val="20"/>
              </w:rPr>
            </w:pPr>
            <w:r w:rsidRPr="00D47828">
              <w:rPr>
                <w:rFonts w:ascii="Arial" w:hAnsi="Arial" w:cs="Arial"/>
                <w:iCs/>
                <w:sz w:val="20"/>
                <w:szCs w:val="20"/>
              </w:rPr>
              <w:t>12.5</w:t>
            </w:r>
          </w:p>
        </w:tc>
        <w:tc>
          <w:tcPr>
            <w:tcW w:w="567" w:type="dxa"/>
          </w:tcPr>
          <w:p w14:paraId="76EF89AD" w14:textId="57D1D2BF" w:rsidR="008408D8" w:rsidRPr="00D47828" w:rsidRDefault="008408D8" w:rsidP="00AA629F">
            <w:pPr>
              <w:spacing w:after="120"/>
              <w:ind w:right="-330"/>
              <w:rPr>
                <w:rFonts w:ascii="Arial" w:hAnsi="Arial" w:cs="Arial"/>
                <w:iCs/>
                <w:sz w:val="20"/>
                <w:szCs w:val="20"/>
              </w:rPr>
            </w:pPr>
            <w:r w:rsidRPr="00D47828">
              <w:rPr>
                <w:rFonts w:ascii="Arial" w:hAnsi="Arial" w:cs="Arial"/>
                <w:iCs/>
                <w:sz w:val="20"/>
                <w:szCs w:val="20"/>
              </w:rPr>
              <w:t>12.6</w:t>
            </w:r>
          </w:p>
        </w:tc>
        <w:tc>
          <w:tcPr>
            <w:tcW w:w="567" w:type="dxa"/>
          </w:tcPr>
          <w:p w14:paraId="70979936" w14:textId="5390D3B2" w:rsidR="008408D8" w:rsidRPr="00D47828" w:rsidRDefault="008408D8" w:rsidP="00AA629F">
            <w:pPr>
              <w:spacing w:after="120"/>
              <w:ind w:right="-330"/>
              <w:rPr>
                <w:rFonts w:ascii="Arial" w:hAnsi="Arial" w:cs="Arial"/>
                <w:iCs/>
                <w:sz w:val="20"/>
                <w:szCs w:val="20"/>
              </w:rPr>
            </w:pPr>
            <w:r w:rsidRPr="00D47828">
              <w:rPr>
                <w:rFonts w:ascii="Arial" w:hAnsi="Arial" w:cs="Arial"/>
                <w:iCs/>
                <w:sz w:val="20"/>
                <w:szCs w:val="20"/>
              </w:rPr>
              <w:t>12.7</w:t>
            </w:r>
          </w:p>
        </w:tc>
        <w:tc>
          <w:tcPr>
            <w:tcW w:w="567" w:type="dxa"/>
          </w:tcPr>
          <w:p w14:paraId="66BB448C" w14:textId="56A7709A" w:rsidR="008408D8" w:rsidRPr="00D47828" w:rsidRDefault="008408D8" w:rsidP="00AA629F">
            <w:pPr>
              <w:spacing w:after="120"/>
              <w:ind w:right="-330"/>
              <w:rPr>
                <w:rFonts w:ascii="Arial" w:hAnsi="Arial" w:cs="Arial"/>
                <w:iCs/>
                <w:sz w:val="20"/>
                <w:szCs w:val="20"/>
              </w:rPr>
            </w:pPr>
            <w:r w:rsidRPr="00D47828">
              <w:rPr>
                <w:rFonts w:ascii="Arial" w:hAnsi="Arial" w:cs="Arial"/>
                <w:iCs/>
                <w:sz w:val="20"/>
                <w:szCs w:val="20"/>
              </w:rPr>
              <w:t>13.1</w:t>
            </w:r>
          </w:p>
        </w:tc>
        <w:tc>
          <w:tcPr>
            <w:tcW w:w="567" w:type="dxa"/>
          </w:tcPr>
          <w:p w14:paraId="39419271" w14:textId="379E8C68" w:rsidR="008408D8" w:rsidRPr="00D47828" w:rsidRDefault="008408D8" w:rsidP="00AA629F">
            <w:pPr>
              <w:spacing w:after="120"/>
              <w:ind w:right="-330"/>
              <w:rPr>
                <w:rFonts w:ascii="Arial" w:hAnsi="Arial" w:cs="Arial"/>
                <w:iCs/>
                <w:sz w:val="20"/>
                <w:szCs w:val="20"/>
              </w:rPr>
            </w:pPr>
            <w:r w:rsidRPr="00D47828">
              <w:rPr>
                <w:rFonts w:ascii="Arial" w:hAnsi="Arial" w:cs="Arial"/>
                <w:iCs/>
                <w:sz w:val="20"/>
                <w:szCs w:val="20"/>
              </w:rPr>
              <w:t>13.2</w:t>
            </w:r>
          </w:p>
        </w:tc>
        <w:tc>
          <w:tcPr>
            <w:tcW w:w="567" w:type="dxa"/>
          </w:tcPr>
          <w:p w14:paraId="239BBBE4" w14:textId="74A46911" w:rsidR="008408D8" w:rsidRPr="00D47828" w:rsidRDefault="008408D8" w:rsidP="00AA629F">
            <w:pPr>
              <w:spacing w:after="120"/>
              <w:ind w:right="-476"/>
              <w:rPr>
                <w:rFonts w:ascii="Arial" w:hAnsi="Arial" w:cs="Arial"/>
                <w:iCs/>
                <w:sz w:val="20"/>
                <w:szCs w:val="20"/>
              </w:rPr>
            </w:pPr>
            <w:r w:rsidRPr="00D47828">
              <w:rPr>
                <w:rFonts w:ascii="Arial" w:hAnsi="Arial" w:cs="Arial"/>
                <w:iCs/>
                <w:sz w:val="20"/>
                <w:szCs w:val="20"/>
              </w:rPr>
              <w:t>13.3</w:t>
            </w:r>
          </w:p>
        </w:tc>
      </w:tr>
      <w:tr w:rsidR="008408D8" w:rsidRPr="00D47828" w14:paraId="49C2FF92" w14:textId="77777777" w:rsidTr="003D2376">
        <w:tc>
          <w:tcPr>
            <w:tcW w:w="2126" w:type="dxa"/>
          </w:tcPr>
          <w:p w14:paraId="2002F08F" w14:textId="77777777" w:rsidR="008408D8" w:rsidRPr="00D47828" w:rsidRDefault="008408D8" w:rsidP="00D65239">
            <w:pPr>
              <w:spacing w:after="120"/>
              <w:ind w:right="543"/>
              <w:rPr>
                <w:rFonts w:ascii="Arial" w:hAnsi="Arial" w:cs="Arial"/>
                <w:bCs/>
                <w:iCs/>
                <w:sz w:val="20"/>
                <w:szCs w:val="20"/>
              </w:rPr>
            </w:pPr>
            <w:r w:rsidRPr="00D47828">
              <w:rPr>
                <w:rFonts w:ascii="Arial" w:hAnsi="Arial" w:cs="Arial"/>
                <w:bCs/>
                <w:iCs/>
                <w:sz w:val="20"/>
                <w:szCs w:val="20"/>
              </w:rPr>
              <w:t>Private Study</w:t>
            </w:r>
          </w:p>
        </w:tc>
        <w:tc>
          <w:tcPr>
            <w:tcW w:w="567" w:type="dxa"/>
            <w:vAlign w:val="center"/>
          </w:tcPr>
          <w:p w14:paraId="2BD365CF" w14:textId="533EAEA7"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67F57117" w14:textId="26BF13A9"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4E0076B7" w14:textId="0B620FD1"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02D731E3" w14:textId="4C057B19"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14A1780E" w14:textId="09505470"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2DE0CDC5" w14:textId="69C404CE"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0B8C9970" w14:textId="1FF954EA"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11877979" w14:textId="3B3B5512"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154BCCE9" w14:textId="6E3B78FD"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1800B1BB" w14:textId="7A9D7FDD" w:rsidR="008408D8" w:rsidRPr="00D47828" w:rsidRDefault="008408D8" w:rsidP="00D65239">
            <w:pPr>
              <w:spacing w:after="120"/>
              <w:ind w:right="543"/>
              <w:rPr>
                <w:rFonts w:ascii="Arial" w:hAnsi="Arial" w:cs="Arial"/>
                <w:b/>
                <w:iCs/>
                <w:sz w:val="20"/>
                <w:szCs w:val="20"/>
              </w:rPr>
            </w:pPr>
            <w:r w:rsidRPr="00D47828">
              <w:rPr>
                <w:b/>
                <w:iCs/>
              </w:rPr>
              <w:t>X</w:t>
            </w:r>
          </w:p>
        </w:tc>
      </w:tr>
      <w:tr w:rsidR="008408D8" w:rsidRPr="00D47828" w14:paraId="4E1FD3A0" w14:textId="77777777" w:rsidTr="003D2376">
        <w:tc>
          <w:tcPr>
            <w:tcW w:w="2126" w:type="dxa"/>
          </w:tcPr>
          <w:p w14:paraId="58D361A0" w14:textId="1B7BD3A4" w:rsidR="008408D8" w:rsidRPr="00D47828" w:rsidRDefault="008408D8" w:rsidP="00D65239">
            <w:pPr>
              <w:spacing w:after="120"/>
              <w:ind w:right="543"/>
              <w:rPr>
                <w:rFonts w:ascii="Arial" w:hAnsi="Arial" w:cs="Arial"/>
                <w:iCs/>
                <w:sz w:val="20"/>
                <w:szCs w:val="20"/>
              </w:rPr>
            </w:pPr>
            <w:r w:rsidRPr="00D47828">
              <w:rPr>
                <w:rFonts w:ascii="Arial" w:hAnsi="Arial" w:cs="Arial"/>
                <w:iCs/>
                <w:sz w:val="20"/>
                <w:szCs w:val="20"/>
              </w:rPr>
              <w:t>Lectures</w:t>
            </w:r>
          </w:p>
        </w:tc>
        <w:tc>
          <w:tcPr>
            <w:tcW w:w="567" w:type="dxa"/>
            <w:vAlign w:val="center"/>
          </w:tcPr>
          <w:p w14:paraId="40550BF2" w14:textId="77777777" w:rsidR="008408D8" w:rsidRPr="00D47828" w:rsidRDefault="008408D8" w:rsidP="00D65239">
            <w:pPr>
              <w:spacing w:after="120"/>
              <w:ind w:right="543"/>
              <w:rPr>
                <w:rFonts w:ascii="Arial" w:hAnsi="Arial" w:cs="Arial"/>
                <w:b/>
                <w:iCs/>
                <w:sz w:val="20"/>
                <w:szCs w:val="20"/>
              </w:rPr>
            </w:pPr>
          </w:p>
        </w:tc>
        <w:tc>
          <w:tcPr>
            <w:tcW w:w="567" w:type="dxa"/>
            <w:vAlign w:val="center"/>
          </w:tcPr>
          <w:p w14:paraId="19B80E12" w14:textId="77777777" w:rsidR="008408D8" w:rsidRPr="00D47828" w:rsidRDefault="008408D8" w:rsidP="00D65239">
            <w:pPr>
              <w:spacing w:after="120"/>
              <w:ind w:right="543"/>
              <w:rPr>
                <w:rFonts w:ascii="Arial" w:hAnsi="Arial" w:cs="Arial"/>
                <w:b/>
                <w:iCs/>
                <w:sz w:val="20"/>
                <w:szCs w:val="20"/>
              </w:rPr>
            </w:pPr>
          </w:p>
        </w:tc>
        <w:tc>
          <w:tcPr>
            <w:tcW w:w="567" w:type="dxa"/>
            <w:vAlign w:val="center"/>
          </w:tcPr>
          <w:p w14:paraId="45008322" w14:textId="6E2651D8"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3FB38AD7" w14:textId="4F1EB066"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65E22BA0" w14:textId="6762064E"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2EA976AD" w14:textId="3698C297"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5C2B2E2B" w14:textId="1D6DF60C"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30B08AF1" w14:textId="1595E6D1" w:rsidR="008408D8"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7FCF1604" w14:textId="1E84E003"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468C88D2" w14:textId="6A9288A9" w:rsidR="008408D8" w:rsidRPr="00D47828" w:rsidRDefault="008408D8" w:rsidP="00D65239">
            <w:pPr>
              <w:spacing w:after="120"/>
              <w:ind w:right="543"/>
              <w:rPr>
                <w:rFonts w:ascii="Arial" w:hAnsi="Arial" w:cs="Arial"/>
                <w:b/>
                <w:iCs/>
                <w:sz w:val="20"/>
                <w:szCs w:val="20"/>
              </w:rPr>
            </w:pPr>
            <w:r w:rsidRPr="00D47828">
              <w:rPr>
                <w:b/>
                <w:iCs/>
              </w:rPr>
              <w:t>X</w:t>
            </w:r>
          </w:p>
        </w:tc>
      </w:tr>
      <w:tr w:rsidR="008408D8" w:rsidRPr="00D47828" w14:paraId="5781F673" w14:textId="77777777" w:rsidTr="003D2376">
        <w:tc>
          <w:tcPr>
            <w:tcW w:w="2126" w:type="dxa"/>
          </w:tcPr>
          <w:p w14:paraId="360673FF" w14:textId="7844C69E" w:rsidR="008408D8" w:rsidRPr="00D47828" w:rsidRDefault="008408D8" w:rsidP="00D65239">
            <w:pPr>
              <w:spacing w:after="120"/>
              <w:ind w:right="543"/>
              <w:rPr>
                <w:rFonts w:ascii="Arial" w:hAnsi="Arial" w:cs="Arial"/>
                <w:iCs/>
                <w:sz w:val="20"/>
                <w:szCs w:val="20"/>
              </w:rPr>
            </w:pPr>
            <w:r w:rsidRPr="00D47828">
              <w:rPr>
                <w:rFonts w:ascii="Arial" w:hAnsi="Arial" w:cs="Arial"/>
                <w:iCs/>
                <w:sz w:val="20"/>
                <w:szCs w:val="20"/>
              </w:rPr>
              <w:t>Tutorials/Workshops</w:t>
            </w:r>
          </w:p>
        </w:tc>
        <w:tc>
          <w:tcPr>
            <w:tcW w:w="567" w:type="dxa"/>
            <w:vAlign w:val="center"/>
          </w:tcPr>
          <w:p w14:paraId="309CD36E" w14:textId="77777777" w:rsidR="008408D8" w:rsidRPr="00D47828" w:rsidRDefault="008408D8" w:rsidP="00D65239">
            <w:pPr>
              <w:spacing w:after="120"/>
              <w:ind w:right="543"/>
              <w:rPr>
                <w:rFonts w:ascii="Arial" w:hAnsi="Arial" w:cs="Arial"/>
                <w:b/>
                <w:iCs/>
                <w:sz w:val="20"/>
                <w:szCs w:val="20"/>
              </w:rPr>
            </w:pPr>
          </w:p>
        </w:tc>
        <w:tc>
          <w:tcPr>
            <w:tcW w:w="567" w:type="dxa"/>
            <w:vAlign w:val="center"/>
          </w:tcPr>
          <w:p w14:paraId="0B67FBFB" w14:textId="7606EA1B"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2F3A7792" w14:textId="0250106A"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7109D608" w14:textId="549256B2"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2164E160" w14:textId="0D14E09B"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01FAEF0E" w14:textId="74F9610A"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tcPr>
          <w:p w14:paraId="639959F7" w14:textId="1E0CA875"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3626EC14" w14:textId="32C4A54F" w:rsidR="008408D8"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0E3B8AB1" w14:textId="66A752AA" w:rsidR="008408D8" w:rsidRPr="00D47828" w:rsidRDefault="008408D8" w:rsidP="00D65239">
            <w:pPr>
              <w:spacing w:after="120"/>
              <w:ind w:right="543"/>
              <w:rPr>
                <w:rFonts w:ascii="Arial" w:hAnsi="Arial" w:cs="Arial"/>
                <w:b/>
                <w:iCs/>
                <w:sz w:val="20"/>
                <w:szCs w:val="20"/>
              </w:rPr>
            </w:pPr>
            <w:r w:rsidRPr="00D47828">
              <w:rPr>
                <w:b/>
                <w:iCs/>
              </w:rPr>
              <w:t>X</w:t>
            </w:r>
          </w:p>
        </w:tc>
        <w:tc>
          <w:tcPr>
            <w:tcW w:w="567" w:type="dxa"/>
            <w:vAlign w:val="center"/>
          </w:tcPr>
          <w:p w14:paraId="1D447076" w14:textId="3C1B2C82" w:rsidR="008408D8" w:rsidRPr="00D47828" w:rsidRDefault="008408D8" w:rsidP="00D65239">
            <w:pPr>
              <w:spacing w:after="120"/>
              <w:ind w:right="543"/>
              <w:rPr>
                <w:rFonts w:ascii="Arial" w:hAnsi="Arial" w:cs="Arial"/>
                <w:b/>
                <w:iCs/>
                <w:sz w:val="20"/>
                <w:szCs w:val="20"/>
              </w:rPr>
            </w:pPr>
            <w:r w:rsidRPr="00D47828">
              <w:rPr>
                <w:b/>
                <w:iCs/>
              </w:rPr>
              <w:t>X</w:t>
            </w:r>
          </w:p>
        </w:tc>
      </w:tr>
    </w:tbl>
    <w:p w14:paraId="1EA9176A" w14:textId="1118DFDB" w:rsidR="0033628F" w:rsidRPr="00D47828"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iCs/>
          <w:sz w:val="24"/>
          <w:szCs w:val="24"/>
        </w:rPr>
      </w:pPr>
      <w:r w:rsidRPr="00D47828">
        <w:rPr>
          <w:rFonts w:ascii="Arial" w:hAnsi="Arial" w:cs="Arial"/>
          <w:b/>
          <w:bCs/>
          <w:iCs/>
          <w:sz w:val="24"/>
          <w:szCs w:val="24"/>
        </w:rPr>
        <w:t>Module learning outcomes against assessment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277814" w:rsidRPr="00D47828" w14:paraId="06B2CD44" w14:textId="77777777" w:rsidTr="003D2376">
        <w:trPr>
          <w:cantSplit/>
          <w:tblHeader/>
        </w:trPr>
        <w:tc>
          <w:tcPr>
            <w:tcW w:w="2126" w:type="dxa"/>
            <w:shd w:val="clear" w:color="auto" w:fill="D9D9D9" w:themeFill="background1" w:themeFillShade="D9"/>
          </w:tcPr>
          <w:p w14:paraId="675A2232" w14:textId="77777777" w:rsidR="00277814" w:rsidRPr="00D47828" w:rsidRDefault="00277814" w:rsidP="006E6FC2">
            <w:pPr>
              <w:spacing w:after="120"/>
              <w:ind w:left="33" w:right="543"/>
              <w:rPr>
                <w:rFonts w:ascii="Arial" w:hAnsi="Arial" w:cs="Arial"/>
                <w:b/>
                <w:iCs/>
                <w:sz w:val="20"/>
                <w:szCs w:val="20"/>
              </w:rPr>
            </w:pPr>
            <w:r w:rsidRPr="00D47828">
              <w:rPr>
                <w:rFonts w:ascii="Arial" w:hAnsi="Arial" w:cs="Arial"/>
                <w:b/>
                <w:iCs/>
                <w:sz w:val="20"/>
                <w:szCs w:val="20"/>
              </w:rPr>
              <w:t>Module learning outcome</w:t>
            </w:r>
          </w:p>
        </w:tc>
        <w:tc>
          <w:tcPr>
            <w:tcW w:w="567" w:type="dxa"/>
          </w:tcPr>
          <w:p w14:paraId="07DED453" w14:textId="77777777" w:rsidR="00277814" w:rsidRPr="00D47828" w:rsidRDefault="00277814" w:rsidP="006E6FC2">
            <w:pPr>
              <w:spacing w:after="120"/>
              <w:ind w:right="-40"/>
              <w:rPr>
                <w:rFonts w:ascii="Arial" w:hAnsi="Arial" w:cs="Arial"/>
                <w:iCs/>
                <w:sz w:val="20"/>
                <w:szCs w:val="20"/>
              </w:rPr>
            </w:pPr>
            <w:r w:rsidRPr="00D47828">
              <w:rPr>
                <w:rFonts w:ascii="Arial" w:hAnsi="Arial" w:cs="Arial"/>
                <w:iCs/>
                <w:sz w:val="20"/>
                <w:szCs w:val="20"/>
              </w:rPr>
              <w:t>12.1</w:t>
            </w:r>
          </w:p>
        </w:tc>
        <w:tc>
          <w:tcPr>
            <w:tcW w:w="567" w:type="dxa"/>
          </w:tcPr>
          <w:p w14:paraId="0A8426CF" w14:textId="77777777" w:rsidR="00277814" w:rsidRPr="00D47828" w:rsidRDefault="00277814" w:rsidP="006E6FC2">
            <w:pPr>
              <w:spacing w:after="120"/>
              <w:ind w:right="-105"/>
              <w:rPr>
                <w:rFonts w:ascii="Arial" w:hAnsi="Arial" w:cs="Arial"/>
                <w:iCs/>
                <w:sz w:val="20"/>
                <w:szCs w:val="20"/>
              </w:rPr>
            </w:pPr>
            <w:r w:rsidRPr="00D47828">
              <w:rPr>
                <w:rFonts w:ascii="Arial" w:hAnsi="Arial" w:cs="Arial"/>
                <w:iCs/>
                <w:sz w:val="20"/>
                <w:szCs w:val="20"/>
              </w:rPr>
              <w:t>12.2</w:t>
            </w:r>
          </w:p>
        </w:tc>
        <w:tc>
          <w:tcPr>
            <w:tcW w:w="567" w:type="dxa"/>
          </w:tcPr>
          <w:p w14:paraId="0AD17E96" w14:textId="77777777" w:rsidR="00277814" w:rsidRPr="00D47828" w:rsidRDefault="00277814" w:rsidP="006E6FC2">
            <w:pPr>
              <w:tabs>
                <w:tab w:val="left" w:pos="314"/>
              </w:tabs>
              <w:spacing w:after="120"/>
              <w:ind w:left="-793" w:right="-250" w:firstLine="793"/>
              <w:rPr>
                <w:rFonts w:ascii="Arial" w:hAnsi="Arial" w:cs="Arial"/>
                <w:iCs/>
                <w:sz w:val="20"/>
                <w:szCs w:val="20"/>
              </w:rPr>
            </w:pPr>
            <w:r w:rsidRPr="00D47828">
              <w:rPr>
                <w:rFonts w:ascii="Arial" w:hAnsi="Arial" w:cs="Arial"/>
                <w:iCs/>
                <w:sz w:val="20"/>
                <w:szCs w:val="20"/>
              </w:rPr>
              <w:t>12.3</w:t>
            </w:r>
          </w:p>
        </w:tc>
        <w:tc>
          <w:tcPr>
            <w:tcW w:w="567" w:type="dxa"/>
          </w:tcPr>
          <w:p w14:paraId="21F1FA7D" w14:textId="77777777" w:rsidR="00277814" w:rsidRPr="00D47828" w:rsidRDefault="00277814" w:rsidP="006E6FC2">
            <w:pPr>
              <w:spacing w:after="120"/>
              <w:ind w:right="-331"/>
              <w:rPr>
                <w:rFonts w:ascii="Arial" w:hAnsi="Arial" w:cs="Arial"/>
                <w:iCs/>
                <w:sz w:val="20"/>
                <w:szCs w:val="20"/>
              </w:rPr>
            </w:pPr>
            <w:r w:rsidRPr="00D47828">
              <w:rPr>
                <w:rFonts w:ascii="Arial" w:hAnsi="Arial" w:cs="Arial"/>
                <w:iCs/>
                <w:sz w:val="20"/>
                <w:szCs w:val="20"/>
              </w:rPr>
              <w:t>12.4</w:t>
            </w:r>
          </w:p>
        </w:tc>
        <w:tc>
          <w:tcPr>
            <w:tcW w:w="567" w:type="dxa"/>
          </w:tcPr>
          <w:p w14:paraId="5B235783" w14:textId="77777777" w:rsidR="00277814" w:rsidRPr="00D47828" w:rsidRDefault="00277814" w:rsidP="006E6FC2">
            <w:pPr>
              <w:spacing w:after="120"/>
              <w:ind w:right="-331"/>
              <w:rPr>
                <w:rFonts w:ascii="Arial" w:hAnsi="Arial" w:cs="Arial"/>
                <w:iCs/>
                <w:sz w:val="20"/>
                <w:szCs w:val="20"/>
              </w:rPr>
            </w:pPr>
            <w:r w:rsidRPr="00D47828">
              <w:rPr>
                <w:rFonts w:ascii="Arial" w:hAnsi="Arial" w:cs="Arial"/>
                <w:iCs/>
                <w:sz w:val="20"/>
                <w:szCs w:val="20"/>
              </w:rPr>
              <w:t>12.5</w:t>
            </w:r>
          </w:p>
        </w:tc>
        <w:tc>
          <w:tcPr>
            <w:tcW w:w="567" w:type="dxa"/>
          </w:tcPr>
          <w:p w14:paraId="5705C3CA" w14:textId="7AD145AE" w:rsidR="00277814" w:rsidRPr="00D47828" w:rsidRDefault="00277814" w:rsidP="006E6FC2">
            <w:pPr>
              <w:spacing w:after="120"/>
              <w:ind w:right="-330"/>
              <w:rPr>
                <w:rFonts w:ascii="Arial" w:hAnsi="Arial" w:cs="Arial"/>
                <w:iCs/>
                <w:sz w:val="20"/>
                <w:szCs w:val="20"/>
              </w:rPr>
            </w:pPr>
            <w:r w:rsidRPr="00D47828">
              <w:rPr>
                <w:rFonts w:ascii="Arial" w:hAnsi="Arial" w:cs="Arial"/>
                <w:iCs/>
                <w:sz w:val="20"/>
                <w:szCs w:val="20"/>
              </w:rPr>
              <w:t>12.6</w:t>
            </w:r>
          </w:p>
        </w:tc>
        <w:tc>
          <w:tcPr>
            <w:tcW w:w="567" w:type="dxa"/>
          </w:tcPr>
          <w:p w14:paraId="7A9DDEB4" w14:textId="5BAE5400" w:rsidR="00277814" w:rsidRPr="00D47828" w:rsidRDefault="00277814" w:rsidP="006E6FC2">
            <w:pPr>
              <w:spacing w:after="120"/>
              <w:ind w:right="-330"/>
              <w:rPr>
                <w:rFonts w:ascii="Arial" w:hAnsi="Arial" w:cs="Arial"/>
                <w:iCs/>
                <w:sz w:val="20"/>
                <w:szCs w:val="20"/>
              </w:rPr>
            </w:pPr>
            <w:r w:rsidRPr="00D47828">
              <w:rPr>
                <w:rFonts w:ascii="Arial" w:hAnsi="Arial" w:cs="Arial"/>
                <w:iCs/>
                <w:sz w:val="20"/>
                <w:szCs w:val="20"/>
              </w:rPr>
              <w:t>12.7</w:t>
            </w:r>
          </w:p>
        </w:tc>
        <w:tc>
          <w:tcPr>
            <w:tcW w:w="567" w:type="dxa"/>
          </w:tcPr>
          <w:p w14:paraId="75E12F14" w14:textId="12524E98" w:rsidR="00277814" w:rsidRPr="00D47828" w:rsidRDefault="00277814" w:rsidP="006E6FC2">
            <w:pPr>
              <w:spacing w:after="120"/>
              <w:ind w:right="-330"/>
              <w:rPr>
                <w:rFonts w:ascii="Arial" w:hAnsi="Arial" w:cs="Arial"/>
                <w:iCs/>
                <w:sz w:val="20"/>
                <w:szCs w:val="20"/>
              </w:rPr>
            </w:pPr>
            <w:r w:rsidRPr="00D47828">
              <w:rPr>
                <w:rFonts w:ascii="Arial" w:hAnsi="Arial" w:cs="Arial"/>
                <w:iCs/>
                <w:sz w:val="20"/>
                <w:szCs w:val="20"/>
              </w:rPr>
              <w:t>13.1</w:t>
            </w:r>
          </w:p>
        </w:tc>
        <w:tc>
          <w:tcPr>
            <w:tcW w:w="567" w:type="dxa"/>
          </w:tcPr>
          <w:p w14:paraId="5AD80115" w14:textId="77777777" w:rsidR="00277814" w:rsidRPr="00D47828" w:rsidRDefault="00277814" w:rsidP="006E6FC2">
            <w:pPr>
              <w:spacing w:after="120"/>
              <w:ind w:right="-330"/>
              <w:rPr>
                <w:rFonts w:ascii="Arial" w:hAnsi="Arial" w:cs="Arial"/>
                <w:iCs/>
                <w:sz w:val="20"/>
                <w:szCs w:val="20"/>
              </w:rPr>
            </w:pPr>
            <w:r w:rsidRPr="00D47828">
              <w:rPr>
                <w:rFonts w:ascii="Arial" w:hAnsi="Arial" w:cs="Arial"/>
                <w:iCs/>
                <w:sz w:val="20"/>
                <w:szCs w:val="20"/>
              </w:rPr>
              <w:t>13.2</w:t>
            </w:r>
          </w:p>
        </w:tc>
        <w:tc>
          <w:tcPr>
            <w:tcW w:w="567" w:type="dxa"/>
          </w:tcPr>
          <w:p w14:paraId="2BAE7558" w14:textId="77777777" w:rsidR="00277814" w:rsidRPr="00D47828" w:rsidRDefault="00277814" w:rsidP="006E6FC2">
            <w:pPr>
              <w:spacing w:after="120"/>
              <w:ind w:right="-476"/>
              <w:rPr>
                <w:rFonts w:ascii="Arial" w:hAnsi="Arial" w:cs="Arial"/>
                <w:iCs/>
                <w:sz w:val="20"/>
                <w:szCs w:val="20"/>
              </w:rPr>
            </w:pPr>
            <w:r w:rsidRPr="00D47828">
              <w:rPr>
                <w:rFonts w:ascii="Arial" w:hAnsi="Arial" w:cs="Arial"/>
                <w:iCs/>
                <w:sz w:val="20"/>
                <w:szCs w:val="20"/>
              </w:rPr>
              <w:t>13.3</w:t>
            </w:r>
          </w:p>
        </w:tc>
      </w:tr>
      <w:tr w:rsidR="00277814" w:rsidRPr="00D47828" w14:paraId="04563E62" w14:textId="77777777" w:rsidTr="003D2376">
        <w:tc>
          <w:tcPr>
            <w:tcW w:w="2126" w:type="dxa"/>
          </w:tcPr>
          <w:p w14:paraId="1479632D" w14:textId="5E5E3121" w:rsidR="00277814" w:rsidRPr="00D47828" w:rsidRDefault="00277814" w:rsidP="00D65239">
            <w:pPr>
              <w:spacing w:after="120"/>
              <w:ind w:right="543"/>
              <w:rPr>
                <w:rFonts w:ascii="Arial" w:hAnsi="Arial" w:cs="Arial"/>
                <w:b/>
                <w:iCs/>
                <w:sz w:val="20"/>
                <w:szCs w:val="20"/>
              </w:rPr>
            </w:pPr>
            <w:r w:rsidRPr="00D47828">
              <w:rPr>
                <w:rFonts w:ascii="Arial" w:hAnsi="Arial" w:cs="Arial"/>
                <w:iCs/>
                <w:sz w:val="20"/>
                <w:szCs w:val="20"/>
              </w:rPr>
              <w:t>Report</w:t>
            </w:r>
          </w:p>
        </w:tc>
        <w:tc>
          <w:tcPr>
            <w:tcW w:w="567" w:type="dxa"/>
            <w:vAlign w:val="center"/>
          </w:tcPr>
          <w:p w14:paraId="0FDE750A" w14:textId="22666838"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643CC33E" w14:textId="4DB8FFBD"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0A1B0DB9" w14:textId="4D37D5DE"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4AEA30C6" w14:textId="7214882D"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tcPr>
          <w:p w14:paraId="155DE91C" w14:textId="18B92115"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tcPr>
          <w:p w14:paraId="742F7F59" w14:textId="1136EA7D"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tcPr>
          <w:p w14:paraId="5B0E2C42" w14:textId="02CE784F"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4EC48E18" w14:textId="45EA1955"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658C0E07" w14:textId="40DAB948"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4902FE2E" w14:textId="2202E31D" w:rsidR="00277814" w:rsidRPr="00D47828" w:rsidRDefault="00277814" w:rsidP="00D65239">
            <w:pPr>
              <w:spacing w:after="120"/>
              <w:ind w:right="543"/>
              <w:rPr>
                <w:rFonts w:ascii="Arial" w:hAnsi="Arial" w:cs="Arial"/>
                <w:b/>
                <w:iCs/>
                <w:sz w:val="20"/>
                <w:szCs w:val="20"/>
              </w:rPr>
            </w:pPr>
            <w:r w:rsidRPr="00D47828">
              <w:rPr>
                <w:b/>
                <w:iCs/>
              </w:rPr>
              <w:t>X</w:t>
            </w:r>
          </w:p>
        </w:tc>
      </w:tr>
      <w:tr w:rsidR="00277814" w:rsidRPr="00D47828" w14:paraId="04AF6B36" w14:textId="77777777" w:rsidTr="003D2376">
        <w:tc>
          <w:tcPr>
            <w:tcW w:w="2126" w:type="dxa"/>
          </w:tcPr>
          <w:p w14:paraId="7BA3F98F" w14:textId="22AAD418" w:rsidR="00277814" w:rsidRPr="00D47828" w:rsidRDefault="00277814" w:rsidP="00D65239">
            <w:pPr>
              <w:spacing w:after="120"/>
              <w:ind w:right="543"/>
              <w:rPr>
                <w:rFonts w:ascii="Arial" w:hAnsi="Arial" w:cs="Arial"/>
                <w:iCs/>
                <w:sz w:val="20"/>
                <w:szCs w:val="20"/>
              </w:rPr>
            </w:pPr>
            <w:r w:rsidRPr="00D47828">
              <w:rPr>
                <w:rFonts w:ascii="Arial" w:hAnsi="Arial" w:cs="Arial"/>
                <w:iCs/>
                <w:sz w:val="20"/>
                <w:szCs w:val="20"/>
              </w:rPr>
              <w:t xml:space="preserve">Presentation </w:t>
            </w:r>
          </w:p>
        </w:tc>
        <w:tc>
          <w:tcPr>
            <w:tcW w:w="567" w:type="dxa"/>
            <w:vAlign w:val="center"/>
          </w:tcPr>
          <w:p w14:paraId="5CA9D97C" w14:textId="452DFBF4"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7B0951AB" w14:textId="3D06A92E"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2F8F1558" w14:textId="43952F9D"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1F328D23" w14:textId="1027A2B3"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tcPr>
          <w:p w14:paraId="715D4C15" w14:textId="4D507513"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tcPr>
          <w:p w14:paraId="64DB0D3D" w14:textId="22A827FB"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tcPr>
          <w:p w14:paraId="1F2709EA" w14:textId="5B996572"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233CAFB3" w14:textId="26D5BE00"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6A2D396C" w14:textId="28128600" w:rsidR="00277814" w:rsidRPr="00D47828" w:rsidRDefault="00277814" w:rsidP="00D65239">
            <w:pPr>
              <w:spacing w:after="120"/>
              <w:ind w:right="543"/>
              <w:rPr>
                <w:rFonts w:ascii="Arial" w:hAnsi="Arial" w:cs="Arial"/>
                <w:b/>
                <w:iCs/>
                <w:sz w:val="20"/>
                <w:szCs w:val="20"/>
              </w:rPr>
            </w:pPr>
            <w:r w:rsidRPr="00D47828">
              <w:rPr>
                <w:b/>
                <w:iCs/>
              </w:rPr>
              <w:t>X</w:t>
            </w:r>
          </w:p>
        </w:tc>
        <w:tc>
          <w:tcPr>
            <w:tcW w:w="567" w:type="dxa"/>
            <w:vAlign w:val="center"/>
          </w:tcPr>
          <w:p w14:paraId="6400C471" w14:textId="70E6DBF1" w:rsidR="00277814" w:rsidRPr="00D47828" w:rsidRDefault="00277814" w:rsidP="00D65239">
            <w:pPr>
              <w:spacing w:after="120"/>
              <w:ind w:right="543"/>
              <w:rPr>
                <w:rFonts w:ascii="Arial" w:hAnsi="Arial" w:cs="Arial"/>
                <w:b/>
                <w:iCs/>
                <w:sz w:val="20"/>
                <w:szCs w:val="20"/>
              </w:rPr>
            </w:pPr>
            <w:r w:rsidRPr="00D47828">
              <w:rPr>
                <w:b/>
                <w:iCs/>
              </w:rPr>
              <w:t>X</w:t>
            </w:r>
          </w:p>
        </w:tc>
      </w:tr>
    </w:tbl>
    <w:p w14:paraId="47DCE34F" w14:textId="77777777" w:rsidR="0033628F" w:rsidRPr="00D47828" w:rsidRDefault="0033628F" w:rsidP="00AA629F">
      <w:pPr>
        <w:spacing w:after="120" w:line="240" w:lineRule="auto"/>
        <w:ind w:right="543"/>
        <w:rPr>
          <w:rFonts w:ascii="Arial" w:hAnsi="Arial" w:cs="Arial"/>
          <w:iCs/>
          <w:sz w:val="24"/>
          <w:szCs w:val="24"/>
        </w:rPr>
      </w:pPr>
    </w:p>
    <w:p w14:paraId="05E3877E" w14:textId="77777777" w:rsidR="00636058" w:rsidRPr="00D47828" w:rsidRDefault="00883204" w:rsidP="003B6145">
      <w:pPr>
        <w:pStyle w:val="Heading1"/>
        <w:numPr>
          <w:ilvl w:val="0"/>
          <w:numId w:val="21"/>
        </w:numPr>
        <w:spacing w:before="240" w:after="120"/>
        <w:ind w:left="568" w:hanging="284"/>
        <w:jc w:val="left"/>
        <w:rPr>
          <w:rFonts w:ascii="Arial" w:hAnsi="Arial" w:cs="Arial"/>
          <w:iCs/>
        </w:rPr>
      </w:pPr>
      <w:bookmarkStart w:id="15" w:name="_Toc138355387"/>
      <w:r w:rsidRPr="00D47828">
        <w:rPr>
          <w:rFonts w:ascii="Arial" w:hAnsi="Arial" w:cs="Arial"/>
          <w:iCs/>
        </w:rPr>
        <w:lastRenderedPageBreak/>
        <w:t>Reading l</w:t>
      </w:r>
      <w:r w:rsidR="009A2D37" w:rsidRPr="00D47828">
        <w:rPr>
          <w:rFonts w:ascii="Arial" w:hAnsi="Arial" w:cs="Arial"/>
          <w:iCs/>
        </w:rPr>
        <w:t>ist</w:t>
      </w:r>
      <w:bookmarkEnd w:id="15"/>
      <w:r w:rsidR="009A2D37" w:rsidRPr="00D47828">
        <w:rPr>
          <w:rFonts w:ascii="Arial" w:hAnsi="Arial" w:cs="Arial"/>
          <w:iCs/>
        </w:rPr>
        <w:t xml:space="preserve"> </w:t>
      </w:r>
    </w:p>
    <w:p w14:paraId="6574CE52" w14:textId="4D1C00BF" w:rsidR="00636058" w:rsidRPr="00732599" w:rsidRDefault="00636058" w:rsidP="003B6145">
      <w:pPr>
        <w:spacing w:after="120"/>
        <w:ind w:left="284"/>
        <w:rPr>
          <w:rFonts w:ascii="Arial" w:hAnsi="Arial" w:cs="Arial"/>
          <w:b/>
          <w:iCs/>
          <w:sz w:val="24"/>
          <w:szCs w:val="24"/>
        </w:rPr>
      </w:pPr>
      <w:r w:rsidRPr="00732599">
        <w:rPr>
          <w:rFonts w:ascii="Arial" w:hAnsi="Arial" w:cs="Arial"/>
          <w:iCs/>
          <w:sz w:val="24"/>
          <w:szCs w:val="24"/>
        </w:rPr>
        <w:t xml:space="preserve">The University is committed to ensuring that core reading materials are in accessible electronic format in line with the Kent Inclusive Practices. </w:t>
      </w:r>
    </w:p>
    <w:p w14:paraId="3309D654" w14:textId="6C481F52" w:rsidR="00636058" w:rsidRPr="00732599" w:rsidRDefault="00636058" w:rsidP="003B6145">
      <w:pPr>
        <w:ind w:left="284"/>
        <w:rPr>
          <w:rFonts w:ascii="Arial" w:hAnsi="Arial" w:cs="Arial"/>
          <w:b/>
          <w:iCs/>
          <w:sz w:val="24"/>
          <w:szCs w:val="24"/>
        </w:rPr>
      </w:pPr>
      <w:r w:rsidRPr="00732599">
        <w:rPr>
          <w:rFonts w:ascii="Arial" w:hAnsi="Arial" w:cs="Arial"/>
          <w:iCs/>
          <w:sz w:val="24"/>
          <w:szCs w:val="24"/>
        </w:rPr>
        <w:t xml:space="preserve">The most up to date reading list for each module can be found on the university's </w:t>
      </w:r>
      <w:hyperlink r:id="rId11" w:history="1">
        <w:r w:rsidRPr="00732599">
          <w:rPr>
            <w:rStyle w:val="Hyperlink"/>
            <w:rFonts w:ascii="Arial" w:hAnsi="Arial" w:cs="Arial"/>
            <w:bCs/>
            <w:iCs/>
            <w:sz w:val="24"/>
            <w:szCs w:val="24"/>
          </w:rPr>
          <w:t>reading list pages</w:t>
        </w:r>
      </w:hyperlink>
      <w:r w:rsidRPr="00732599">
        <w:rPr>
          <w:rFonts w:ascii="Arial" w:hAnsi="Arial" w:cs="Arial"/>
          <w:iCs/>
          <w:sz w:val="24"/>
          <w:szCs w:val="24"/>
        </w:rPr>
        <w:t xml:space="preserve">. </w:t>
      </w:r>
    </w:p>
    <w:p w14:paraId="03283DDF" w14:textId="77777777" w:rsidR="00883204" w:rsidRPr="00D47828" w:rsidRDefault="00883204" w:rsidP="003B6145">
      <w:pPr>
        <w:pStyle w:val="Heading1"/>
        <w:numPr>
          <w:ilvl w:val="0"/>
          <w:numId w:val="21"/>
        </w:numPr>
        <w:spacing w:before="240" w:after="120"/>
        <w:ind w:left="568" w:hanging="284"/>
        <w:jc w:val="left"/>
        <w:rPr>
          <w:rFonts w:ascii="Arial" w:hAnsi="Arial" w:cs="Arial"/>
          <w:iCs/>
        </w:rPr>
      </w:pPr>
      <w:bookmarkStart w:id="16" w:name="_Toc138355388"/>
      <w:r w:rsidRPr="00D47828">
        <w:rPr>
          <w:rFonts w:ascii="Arial" w:hAnsi="Arial" w:cs="Arial"/>
          <w:iCs/>
        </w:rPr>
        <w:t>Inclusive module design</w:t>
      </w:r>
      <w:bookmarkEnd w:id="16"/>
      <w:r w:rsidRPr="00D47828">
        <w:rPr>
          <w:rFonts w:ascii="Arial" w:hAnsi="Arial" w:cs="Arial"/>
          <w:iCs/>
        </w:rPr>
        <w:t xml:space="preserve"> </w:t>
      </w:r>
    </w:p>
    <w:p w14:paraId="39DA4ADC" w14:textId="1CCA330F" w:rsidR="00883204" w:rsidRPr="00D47828" w:rsidRDefault="00883204" w:rsidP="003B6145">
      <w:pPr>
        <w:autoSpaceDE w:val="0"/>
        <w:autoSpaceDN w:val="0"/>
        <w:adjustRightInd w:val="0"/>
        <w:spacing w:after="120" w:line="240" w:lineRule="auto"/>
        <w:ind w:left="284"/>
        <w:jc w:val="both"/>
        <w:rPr>
          <w:rFonts w:ascii="Arial" w:hAnsi="Arial" w:cs="Arial"/>
          <w:iCs/>
          <w:sz w:val="24"/>
          <w:szCs w:val="24"/>
        </w:rPr>
      </w:pPr>
      <w:r w:rsidRPr="00D47828">
        <w:rPr>
          <w:rFonts w:ascii="Arial" w:hAnsi="Arial" w:cs="Arial"/>
          <w:iCs/>
          <w:sz w:val="24"/>
          <w:szCs w:val="24"/>
        </w:rPr>
        <w:t xml:space="preserve">The </w:t>
      </w:r>
      <w:r w:rsidR="007A49C1" w:rsidRPr="00D47828">
        <w:rPr>
          <w:rFonts w:ascii="Arial" w:hAnsi="Arial" w:cs="Arial"/>
          <w:iCs/>
          <w:sz w:val="24"/>
          <w:szCs w:val="24"/>
        </w:rPr>
        <w:t>Division</w:t>
      </w:r>
      <w:r w:rsidRPr="00D47828">
        <w:rPr>
          <w:rFonts w:ascii="Arial" w:hAnsi="Arial" w:cs="Arial"/>
          <w:iCs/>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D47828" w:rsidRDefault="00883204" w:rsidP="003B6145">
      <w:pPr>
        <w:autoSpaceDE w:val="0"/>
        <w:autoSpaceDN w:val="0"/>
        <w:adjustRightInd w:val="0"/>
        <w:spacing w:after="120" w:line="240" w:lineRule="auto"/>
        <w:ind w:left="284" w:right="543"/>
        <w:jc w:val="both"/>
        <w:rPr>
          <w:rFonts w:ascii="Arial" w:hAnsi="Arial" w:cs="Arial"/>
          <w:iCs/>
          <w:sz w:val="24"/>
          <w:szCs w:val="24"/>
        </w:rPr>
      </w:pPr>
      <w:r w:rsidRPr="00D47828">
        <w:rPr>
          <w:rFonts w:ascii="Arial" w:hAnsi="Arial" w:cs="Arial"/>
          <w:iCs/>
          <w:sz w:val="24"/>
          <w:szCs w:val="24"/>
        </w:rPr>
        <w:t>The inclusive practices in the guidance (see Annex B Appendix A) have been considered in order to support all students in the following areas:</w:t>
      </w:r>
    </w:p>
    <w:p w14:paraId="12A1AB1B" w14:textId="77777777" w:rsidR="00883204" w:rsidRPr="00D47828" w:rsidRDefault="00883204" w:rsidP="003B6145">
      <w:pPr>
        <w:autoSpaceDE w:val="0"/>
        <w:autoSpaceDN w:val="0"/>
        <w:adjustRightInd w:val="0"/>
        <w:spacing w:after="120" w:line="240" w:lineRule="auto"/>
        <w:ind w:left="284" w:right="543"/>
        <w:jc w:val="both"/>
        <w:rPr>
          <w:rFonts w:ascii="Arial" w:hAnsi="Arial" w:cs="Arial"/>
          <w:bCs/>
          <w:iCs/>
          <w:sz w:val="24"/>
          <w:szCs w:val="24"/>
        </w:rPr>
      </w:pPr>
      <w:r w:rsidRPr="00D47828">
        <w:rPr>
          <w:rFonts w:ascii="Arial" w:hAnsi="Arial" w:cs="Arial"/>
          <w:iCs/>
          <w:sz w:val="24"/>
          <w:szCs w:val="24"/>
        </w:rPr>
        <w:t xml:space="preserve">a) </w:t>
      </w:r>
      <w:r w:rsidRPr="00D47828">
        <w:rPr>
          <w:rFonts w:ascii="Arial" w:hAnsi="Arial" w:cs="Arial"/>
          <w:bCs/>
          <w:iCs/>
          <w:sz w:val="24"/>
          <w:szCs w:val="24"/>
        </w:rPr>
        <w:t>Accessible resources and curriculum</w:t>
      </w:r>
    </w:p>
    <w:p w14:paraId="5F2DDA76" w14:textId="77777777" w:rsidR="00883204" w:rsidRPr="00D47828" w:rsidRDefault="00883204" w:rsidP="003B6145">
      <w:pPr>
        <w:tabs>
          <w:tab w:val="left" w:pos="567"/>
        </w:tabs>
        <w:autoSpaceDE w:val="0"/>
        <w:autoSpaceDN w:val="0"/>
        <w:adjustRightInd w:val="0"/>
        <w:spacing w:after="120" w:line="240" w:lineRule="auto"/>
        <w:ind w:left="284" w:right="543"/>
        <w:jc w:val="both"/>
        <w:rPr>
          <w:rFonts w:ascii="Arial" w:hAnsi="Arial" w:cs="Arial"/>
          <w:iCs/>
          <w:color w:val="000000"/>
          <w:sz w:val="24"/>
          <w:szCs w:val="24"/>
        </w:rPr>
      </w:pPr>
      <w:r w:rsidRPr="00D47828">
        <w:rPr>
          <w:rFonts w:ascii="Arial" w:hAnsi="Arial" w:cs="Arial"/>
          <w:iCs/>
          <w:sz w:val="24"/>
          <w:szCs w:val="24"/>
        </w:rPr>
        <w:t xml:space="preserve">b) </w:t>
      </w:r>
      <w:r w:rsidRPr="00D47828">
        <w:rPr>
          <w:rFonts w:ascii="Arial" w:hAnsi="Arial" w:cs="Arial"/>
          <w:bCs/>
          <w:iCs/>
          <w:sz w:val="24"/>
          <w:szCs w:val="24"/>
        </w:rPr>
        <w:t>Learning</w:t>
      </w:r>
      <w:r w:rsidR="00BB2045" w:rsidRPr="00D47828">
        <w:rPr>
          <w:rFonts w:ascii="Arial" w:hAnsi="Arial" w:cs="Arial"/>
          <w:bCs/>
          <w:iCs/>
          <w:sz w:val="24"/>
          <w:szCs w:val="24"/>
        </w:rPr>
        <w:t>,</w:t>
      </w:r>
      <w:r w:rsidRPr="00D47828">
        <w:rPr>
          <w:rFonts w:ascii="Arial" w:hAnsi="Arial" w:cs="Arial"/>
          <w:bCs/>
          <w:iCs/>
          <w:sz w:val="24"/>
          <w:szCs w:val="24"/>
        </w:rPr>
        <w:t xml:space="preserve"> teaching and assessment methods</w:t>
      </w:r>
    </w:p>
    <w:p w14:paraId="425A0974" w14:textId="77777777" w:rsidR="008D4447" w:rsidRPr="00D47828" w:rsidRDefault="008D4447" w:rsidP="00E7202A">
      <w:pPr>
        <w:spacing w:after="120" w:line="240" w:lineRule="auto"/>
        <w:ind w:right="543"/>
        <w:rPr>
          <w:rFonts w:ascii="Arial" w:hAnsi="Arial" w:cs="Arial"/>
          <w:iCs/>
          <w:sz w:val="24"/>
          <w:szCs w:val="24"/>
        </w:rPr>
      </w:pPr>
    </w:p>
    <w:p w14:paraId="36C1544F" w14:textId="77777777" w:rsidR="00641D6D" w:rsidRPr="00D47828" w:rsidRDefault="00641D6D" w:rsidP="009D52D0">
      <w:pPr>
        <w:pBdr>
          <w:bottom w:val="single" w:sz="6" w:space="1" w:color="auto"/>
        </w:pBdr>
        <w:spacing w:after="120" w:line="240" w:lineRule="auto"/>
        <w:ind w:right="543"/>
        <w:rPr>
          <w:rFonts w:ascii="Arial" w:hAnsi="Arial" w:cs="Arial"/>
          <w:iCs/>
          <w:sz w:val="24"/>
          <w:szCs w:val="24"/>
        </w:rPr>
      </w:pPr>
    </w:p>
    <w:p w14:paraId="31CC2DF2" w14:textId="51E6D749" w:rsidR="00441E76" w:rsidRPr="00D47828" w:rsidRDefault="00117CB5" w:rsidP="009D52D0">
      <w:pPr>
        <w:spacing w:after="120" w:line="240" w:lineRule="auto"/>
        <w:ind w:right="543"/>
        <w:rPr>
          <w:rFonts w:ascii="Arial" w:hAnsi="Arial" w:cs="Arial"/>
          <w:b/>
          <w:iCs/>
          <w:sz w:val="24"/>
          <w:szCs w:val="24"/>
        </w:rPr>
      </w:pPr>
      <w:r w:rsidRPr="00D47828">
        <w:rPr>
          <w:rFonts w:ascii="Arial" w:hAnsi="Arial" w:cs="Arial"/>
          <w:b/>
          <w:iCs/>
          <w:sz w:val="24"/>
          <w:szCs w:val="24"/>
        </w:rPr>
        <w:t>MODULE RECORD</w:t>
      </w:r>
    </w:p>
    <w:p w14:paraId="010B6F31" w14:textId="6A6DF863" w:rsidR="00D83563" w:rsidRPr="00D47828" w:rsidRDefault="00723ECF" w:rsidP="009D52D0">
      <w:pPr>
        <w:spacing w:after="120" w:line="240" w:lineRule="auto"/>
        <w:ind w:right="543"/>
        <w:rPr>
          <w:rFonts w:ascii="Arial" w:hAnsi="Arial" w:cs="Arial"/>
          <w:b/>
          <w:iCs/>
        </w:rPr>
      </w:pPr>
      <w:r w:rsidRPr="00D47828">
        <w:rPr>
          <w:rFonts w:ascii="Arial" w:hAnsi="Arial" w:cs="Arial"/>
          <w:b/>
          <w:iCs/>
        </w:rPr>
        <w:t>All</w:t>
      </w:r>
      <w:r w:rsidR="00D83563" w:rsidRPr="00D47828">
        <w:rPr>
          <w:rFonts w:ascii="Arial" w:hAnsi="Arial" w:cs="Arial"/>
          <w:b/>
          <w:iCs/>
        </w:rPr>
        <w:t xml:space="preserve"> revisions </w:t>
      </w:r>
      <w:r w:rsidRPr="00D47828">
        <w:rPr>
          <w:rFonts w:ascii="Arial" w:hAnsi="Arial" w:cs="Arial"/>
          <w:b/>
          <w:iCs/>
        </w:rPr>
        <w:t xml:space="preserve">for this module </w:t>
      </w:r>
      <w:r w:rsidR="00BA082A" w:rsidRPr="00D47828">
        <w:rPr>
          <w:rFonts w:ascii="Arial" w:hAnsi="Arial" w:cs="Arial"/>
          <w:b/>
          <w:iCs/>
        </w:rPr>
        <w:t>are</w:t>
      </w:r>
      <w:r w:rsidR="00D83563" w:rsidRPr="00D47828">
        <w:rPr>
          <w:rFonts w:ascii="Arial" w:hAnsi="Arial" w:cs="Arial"/>
          <w:b/>
          <w:iCs/>
        </w:rPr>
        <w:t xml:space="preserve"> recorded in </w:t>
      </w:r>
      <w:r w:rsidR="00BA082A" w:rsidRPr="00D47828">
        <w:rPr>
          <w:rFonts w:ascii="Arial" w:hAnsi="Arial" w:cs="Arial"/>
          <w:b/>
          <w:iCs/>
        </w:rPr>
        <w:t>the table below</w:t>
      </w:r>
      <w:r w:rsidR="00D83563" w:rsidRPr="00D47828">
        <w:rPr>
          <w:rFonts w:ascii="Arial" w:hAnsi="Arial" w:cs="Arial"/>
          <w:b/>
          <w:iCs/>
        </w:rPr>
        <w:t xml:space="preserve"> </w:t>
      </w:r>
      <w:r w:rsidR="00113D34" w:rsidRPr="00D47828">
        <w:rPr>
          <w:rFonts w:ascii="Arial" w:hAnsi="Arial" w:cs="Arial"/>
          <w:b/>
          <w:iCs/>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rsidRPr="00D47828" w14:paraId="37126B6B" w14:textId="77777777" w:rsidTr="00117CB5">
        <w:trPr>
          <w:tblHeader/>
        </w:trPr>
        <w:tc>
          <w:tcPr>
            <w:tcW w:w="1660" w:type="dxa"/>
            <w:shd w:val="clear" w:color="auto" w:fill="D9D9D9" w:themeFill="background1" w:themeFillShade="D9"/>
          </w:tcPr>
          <w:p w14:paraId="026CB916" w14:textId="6BD4104B" w:rsidR="001C59A0" w:rsidRPr="00D47828" w:rsidRDefault="001C59A0" w:rsidP="00F06E34">
            <w:pPr>
              <w:spacing w:after="120"/>
              <w:ind w:right="543"/>
              <w:rPr>
                <w:rFonts w:ascii="Arial" w:hAnsi="Arial" w:cs="Arial"/>
                <w:b/>
                <w:iCs/>
                <w:sz w:val="20"/>
                <w:szCs w:val="20"/>
              </w:rPr>
            </w:pPr>
            <w:r w:rsidRPr="00D47828">
              <w:rPr>
                <w:rFonts w:ascii="Arial" w:hAnsi="Arial" w:cs="Arial"/>
                <w:b/>
                <w:iCs/>
                <w:sz w:val="20"/>
                <w:szCs w:val="20"/>
              </w:rPr>
              <w:t>Date approved</w:t>
            </w:r>
          </w:p>
        </w:tc>
        <w:tc>
          <w:tcPr>
            <w:tcW w:w="2120" w:type="dxa"/>
            <w:shd w:val="clear" w:color="auto" w:fill="D9D9D9" w:themeFill="background1" w:themeFillShade="D9"/>
          </w:tcPr>
          <w:p w14:paraId="20052D6D" w14:textId="45447318" w:rsidR="001C59A0" w:rsidRPr="00D47828" w:rsidRDefault="001C59A0" w:rsidP="00F06E34">
            <w:pPr>
              <w:spacing w:after="120"/>
              <w:ind w:right="543"/>
              <w:rPr>
                <w:rFonts w:ascii="Arial" w:hAnsi="Arial" w:cs="Arial"/>
                <w:b/>
                <w:iCs/>
                <w:sz w:val="20"/>
                <w:szCs w:val="20"/>
              </w:rPr>
            </w:pPr>
            <w:r w:rsidRPr="00D47828">
              <w:rPr>
                <w:rFonts w:ascii="Arial" w:hAnsi="Arial" w:cs="Arial"/>
                <w:b/>
                <w:iCs/>
                <w:sz w:val="20"/>
                <w:szCs w:val="20"/>
              </w:rPr>
              <w:t>New/</w:t>
            </w:r>
            <w:r w:rsidR="00B865AE" w:rsidRPr="00D47828">
              <w:rPr>
                <w:rFonts w:ascii="Arial" w:hAnsi="Arial" w:cs="Arial"/>
                <w:b/>
                <w:iCs/>
                <w:sz w:val="20"/>
                <w:szCs w:val="20"/>
              </w:rPr>
              <w:t xml:space="preserve"> </w:t>
            </w:r>
            <w:r w:rsidRPr="00D47828">
              <w:rPr>
                <w:rFonts w:ascii="Arial" w:hAnsi="Arial" w:cs="Arial"/>
                <w:b/>
                <w:iCs/>
                <w:sz w:val="20"/>
                <w:szCs w:val="20"/>
              </w:rPr>
              <w:t>Material/</w:t>
            </w:r>
            <w:r w:rsidR="00B865AE" w:rsidRPr="00D47828">
              <w:rPr>
                <w:rFonts w:ascii="Arial" w:hAnsi="Arial" w:cs="Arial"/>
                <w:b/>
                <w:iCs/>
                <w:sz w:val="20"/>
                <w:szCs w:val="20"/>
              </w:rPr>
              <w:t xml:space="preserve"> </w:t>
            </w:r>
            <w:r w:rsidRPr="00D47828">
              <w:rPr>
                <w:rFonts w:ascii="Arial" w:hAnsi="Arial" w:cs="Arial"/>
                <w:b/>
                <w:iCs/>
                <w:sz w:val="20"/>
                <w:szCs w:val="20"/>
              </w:rPr>
              <w:t>Major/</w:t>
            </w:r>
            <w:r w:rsidR="00B865AE" w:rsidRPr="00D47828">
              <w:rPr>
                <w:rFonts w:ascii="Arial" w:hAnsi="Arial" w:cs="Arial"/>
                <w:b/>
                <w:iCs/>
                <w:sz w:val="20"/>
                <w:szCs w:val="20"/>
              </w:rPr>
              <w:t xml:space="preserve"> </w:t>
            </w:r>
            <w:r w:rsidRPr="00D47828">
              <w:rPr>
                <w:rFonts w:ascii="Arial" w:hAnsi="Arial" w:cs="Arial"/>
                <w:b/>
                <w:iCs/>
                <w:sz w:val="20"/>
                <w:szCs w:val="20"/>
              </w:rPr>
              <w:t>Minor</w:t>
            </w:r>
            <w:r w:rsidR="0051595C" w:rsidRPr="00D47828">
              <w:rPr>
                <w:rFonts w:ascii="Arial" w:hAnsi="Arial" w:cs="Arial"/>
                <w:b/>
                <w:iCs/>
                <w:sz w:val="20"/>
                <w:szCs w:val="20"/>
              </w:rPr>
              <w:t xml:space="preserve"> revision</w:t>
            </w:r>
          </w:p>
        </w:tc>
        <w:tc>
          <w:tcPr>
            <w:tcW w:w="1958" w:type="dxa"/>
            <w:shd w:val="clear" w:color="auto" w:fill="D9D9D9" w:themeFill="background1" w:themeFillShade="D9"/>
          </w:tcPr>
          <w:p w14:paraId="01AC7D6E" w14:textId="385B59CA" w:rsidR="001C59A0" w:rsidRPr="00D47828" w:rsidRDefault="0051595C" w:rsidP="00F06E34">
            <w:pPr>
              <w:spacing w:after="120"/>
              <w:ind w:right="543"/>
              <w:rPr>
                <w:rFonts w:ascii="Arial" w:hAnsi="Arial" w:cs="Arial"/>
                <w:b/>
                <w:iCs/>
                <w:sz w:val="20"/>
                <w:szCs w:val="20"/>
              </w:rPr>
            </w:pPr>
            <w:r w:rsidRPr="00D47828">
              <w:rPr>
                <w:rFonts w:ascii="Arial" w:hAnsi="Arial" w:cs="Arial"/>
                <w:b/>
                <w:iCs/>
                <w:sz w:val="20"/>
                <w:szCs w:val="20"/>
              </w:rPr>
              <w:t>Start date of delivery of this version</w:t>
            </w:r>
          </w:p>
        </w:tc>
        <w:tc>
          <w:tcPr>
            <w:tcW w:w="3046" w:type="dxa"/>
            <w:shd w:val="clear" w:color="auto" w:fill="D9D9D9" w:themeFill="background1" w:themeFillShade="D9"/>
          </w:tcPr>
          <w:p w14:paraId="51548C5F" w14:textId="2B16C910" w:rsidR="003D2376" w:rsidRPr="00D47828" w:rsidRDefault="003D2376" w:rsidP="00F06E34">
            <w:pPr>
              <w:spacing w:after="120"/>
              <w:ind w:right="543"/>
              <w:rPr>
                <w:rFonts w:ascii="Arial" w:hAnsi="Arial" w:cs="Arial"/>
                <w:b/>
                <w:iCs/>
                <w:sz w:val="20"/>
                <w:szCs w:val="20"/>
              </w:rPr>
            </w:pPr>
            <w:r w:rsidRPr="00D47828">
              <w:rPr>
                <w:rFonts w:ascii="Arial" w:hAnsi="Arial" w:cs="Arial"/>
                <w:b/>
                <w:iCs/>
                <w:sz w:val="20"/>
                <w:szCs w:val="20"/>
              </w:rPr>
              <w:t>Sections revised (if applicable)</w:t>
            </w:r>
          </w:p>
        </w:tc>
        <w:tc>
          <w:tcPr>
            <w:tcW w:w="1843" w:type="dxa"/>
            <w:shd w:val="clear" w:color="auto" w:fill="D9D9D9" w:themeFill="background1" w:themeFillShade="D9"/>
          </w:tcPr>
          <w:p w14:paraId="30132B77" w14:textId="77777777" w:rsidR="003D2376" w:rsidRDefault="003D2376" w:rsidP="003D2376">
            <w:pPr>
              <w:spacing w:after="120"/>
              <w:ind w:right="543"/>
              <w:rPr>
                <w:rFonts w:ascii="Arial" w:hAnsi="Arial" w:cs="Arial"/>
                <w:b/>
                <w:iCs/>
                <w:sz w:val="20"/>
                <w:szCs w:val="20"/>
              </w:rPr>
            </w:pPr>
            <w:r w:rsidRPr="00D47828">
              <w:rPr>
                <w:rFonts w:ascii="Arial" w:hAnsi="Arial" w:cs="Arial"/>
                <w:b/>
                <w:iCs/>
                <w:sz w:val="20"/>
                <w:szCs w:val="20"/>
              </w:rPr>
              <w:t xml:space="preserve">Applies to new cohorts and/ or existing students </w:t>
            </w:r>
          </w:p>
          <w:p w14:paraId="339A072F" w14:textId="479A43E8" w:rsidR="001C59A0" w:rsidRPr="00D47828" w:rsidRDefault="001C59A0" w:rsidP="00F06E34">
            <w:pPr>
              <w:spacing w:after="120"/>
              <w:ind w:right="543"/>
              <w:rPr>
                <w:rFonts w:ascii="Arial" w:hAnsi="Arial" w:cs="Arial"/>
                <w:b/>
                <w:iCs/>
                <w:sz w:val="20"/>
                <w:szCs w:val="20"/>
              </w:rPr>
            </w:pPr>
          </w:p>
        </w:tc>
      </w:tr>
      <w:tr w:rsidR="00940159" w:rsidRPr="00D47828" w14:paraId="098B0F92" w14:textId="77777777" w:rsidTr="00F06E34">
        <w:tc>
          <w:tcPr>
            <w:tcW w:w="1660" w:type="dxa"/>
          </w:tcPr>
          <w:p w14:paraId="285F43F3" w14:textId="06DCB651" w:rsidR="00940159" w:rsidRPr="00D47828" w:rsidRDefault="00D65239" w:rsidP="009D52D0">
            <w:pPr>
              <w:spacing w:after="120"/>
              <w:ind w:right="543"/>
              <w:rPr>
                <w:rFonts w:ascii="Arial" w:hAnsi="Arial" w:cs="Arial"/>
                <w:bCs/>
                <w:iCs/>
                <w:sz w:val="20"/>
                <w:szCs w:val="20"/>
              </w:rPr>
            </w:pPr>
            <w:r w:rsidRPr="00D47828">
              <w:rPr>
                <w:rFonts w:ascii="Arial" w:hAnsi="Arial" w:cs="Arial"/>
                <w:bCs/>
                <w:iCs/>
                <w:sz w:val="20"/>
                <w:szCs w:val="20"/>
              </w:rPr>
              <w:t xml:space="preserve">13.11.22 </w:t>
            </w:r>
          </w:p>
        </w:tc>
        <w:tc>
          <w:tcPr>
            <w:tcW w:w="2120" w:type="dxa"/>
          </w:tcPr>
          <w:p w14:paraId="69BE88AF" w14:textId="08177217" w:rsidR="00940159" w:rsidRPr="00D47828" w:rsidRDefault="00D65239" w:rsidP="009D52D0">
            <w:pPr>
              <w:spacing w:after="120"/>
              <w:ind w:right="543"/>
              <w:rPr>
                <w:rFonts w:ascii="Arial" w:hAnsi="Arial" w:cs="Arial"/>
                <w:bCs/>
                <w:iCs/>
                <w:sz w:val="20"/>
                <w:szCs w:val="20"/>
              </w:rPr>
            </w:pPr>
            <w:r w:rsidRPr="00D47828">
              <w:rPr>
                <w:rFonts w:ascii="Arial" w:hAnsi="Arial" w:cs="Arial"/>
                <w:bCs/>
                <w:iCs/>
                <w:sz w:val="20"/>
                <w:szCs w:val="20"/>
              </w:rPr>
              <w:t>Minor</w:t>
            </w:r>
          </w:p>
        </w:tc>
        <w:tc>
          <w:tcPr>
            <w:tcW w:w="1958" w:type="dxa"/>
          </w:tcPr>
          <w:p w14:paraId="4D8E7F62" w14:textId="277D7B9D" w:rsidR="00940159" w:rsidRPr="00D47828" w:rsidRDefault="00D65239" w:rsidP="009D52D0">
            <w:pPr>
              <w:spacing w:after="120"/>
              <w:ind w:right="543"/>
              <w:rPr>
                <w:rFonts w:ascii="Arial" w:hAnsi="Arial" w:cs="Arial"/>
                <w:bCs/>
                <w:iCs/>
                <w:sz w:val="20"/>
                <w:szCs w:val="20"/>
              </w:rPr>
            </w:pPr>
            <w:r w:rsidRPr="00D47828">
              <w:rPr>
                <w:rFonts w:ascii="Arial" w:hAnsi="Arial" w:cs="Arial"/>
                <w:bCs/>
                <w:iCs/>
                <w:sz w:val="20"/>
                <w:szCs w:val="20"/>
              </w:rPr>
              <w:t>September 2023</w:t>
            </w:r>
          </w:p>
        </w:tc>
        <w:tc>
          <w:tcPr>
            <w:tcW w:w="3046" w:type="dxa"/>
          </w:tcPr>
          <w:p w14:paraId="6EB9BC53" w14:textId="22D5D484" w:rsidR="00940159" w:rsidRPr="00D47828" w:rsidRDefault="00D65239" w:rsidP="009D52D0">
            <w:pPr>
              <w:spacing w:after="120"/>
              <w:ind w:right="543"/>
              <w:rPr>
                <w:rFonts w:ascii="Arial" w:hAnsi="Arial" w:cs="Arial"/>
                <w:bCs/>
                <w:iCs/>
                <w:sz w:val="20"/>
                <w:szCs w:val="20"/>
              </w:rPr>
            </w:pPr>
            <w:r w:rsidRPr="00D47828">
              <w:rPr>
                <w:rFonts w:ascii="Arial" w:hAnsi="Arial" w:cs="Arial"/>
                <w:bCs/>
                <w:iCs/>
                <w:sz w:val="20"/>
                <w:szCs w:val="20"/>
              </w:rPr>
              <w:t>13,14</w:t>
            </w:r>
          </w:p>
        </w:tc>
        <w:tc>
          <w:tcPr>
            <w:tcW w:w="1843" w:type="dxa"/>
          </w:tcPr>
          <w:p w14:paraId="667AA14E" w14:textId="338E1F55" w:rsidR="00940159" w:rsidRPr="00D47828" w:rsidRDefault="00940159" w:rsidP="009D52D0">
            <w:pPr>
              <w:spacing w:after="120"/>
              <w:ind w:right="543"/>
              <w:rPr>
                <w:rFonts w:ascii="Arial" w:hAnsi="Arial" w:cs="Arial"/>
                <w:bCs/>
                <w:iCs/>
                <w:sz w:val="20"/>
                <w:szCs w:val="20"/>
              </w:rPr>
            </w:pPr>
          </w:p>
        </w:tc>
      </w:tr>
      <w:tr w:rsidR="00940159" w:rsidRPr="00D47828" w14:paraId="25471D9C" w14:textId="77777777" w:rsidTr="00F06E34">
        <w:tc>
          <w:tcPr>
            <w:tcW w:w="1660" w:type="dxa"/>
          </w:tcPr>
          <w:p w14:paraId="7FB05D16" w14:textId="1A9E60FF" w:rsidR="00940159" w:rsidRPr="00D47828" w:rsidRDefault="003D2376" w:rsidP="009D52D0">
            <w:pPr>
              <w:spacing w:after="120"/>
              <w:ind w:right="543"/>
              <w:rPr>
                <w:rFonts w:ascii="Arial" w:hAnsi="Arial" w:cs="Arial"/>
                <w:bCs/>
                <w:iCs/>
                <w:sz w:val="20"/>
                <w:szCs w:val="20"/>
              </w:rPr>
            </w:pPr>
            <w:r>
              <w:rPr>
                <w:rFonts w:ascii="Arial" w:hAnsi="Arial" w:cs="Arial"/>
                <w:bCs/>
                <w:iCs/>
                <w:sz w:val="20"/>
                <w:szCs w:val="20"/>
              </w:rPr>
              <w:t>18.08.23</w:t>
            </w:r>
          </w:p>
        </w:tc>
        <w:tc>
          <w:tcPr>
            <w:tcW w:w="2120" w:type="dxa"/>
          </w:tcPr>
          <w:p w14:paraId="2BF00E3A" w14:textId="1F7191D2" w:rsidR="00940159" w:rsidRPr="00D47828" w:rsidRDefault="003D2376" w:rsidP="009D52D0">
            <w:pPr>
              <w:spacing w:after="120"/>
              <w:ind w:right="543"/>
              <w:rPr>
                <w:rFonts w:ascii="Arial" w:hAnsi="Arial" w:cs="Arial"/>
                <w:bCs/>
                <w:iCs/>
                <w:sz w:val="20"/>
                <w:szCs w:val="20"/>
              </w:rPr>
            </w:pPr>
            <w:r>
              <w:rPr>
                <w:rFonts w:ascii="Arial" w:hAnsi="Arial" w:cs="Arial"/>
                <w:bCs/>
                <w:iCs/>
                <w:sz w:val="20"/>
                <w:szCs w:val="20"/>
              </w:rPr>
              <w:t>Major</w:t>
            </w:r>
          </w:p>
        </w:tc>
        <w:tc>
          <w:tcPr>
            <w:tcW w:w="1958" w:type="dxa"/>
          </w:tcPr>
          <w:p w14:paraId="335E9D04" w14:textId="197E587B" w:rsidR="00940159" w:rsidRPr="00D47828" w:rsidRDefault="003D2376" w:rsidP="009D52D0">
            <w:pPr>
              <w:spacing w:after="120"/>
              <w:ind w:right="543"/>
              <w:rPr>
                <w:rFonts w:ascii="Arial" w:hAnsi="Arial" w:cs="Arial"/>
                <w:bCs/>
                <w:iCs/>
                <w:sz w:val="20"/>
                <w:szCs w:val="20"/>
              </w:rPr>
            </w:pPr>
            <w:r>
              <w:rPr>
                <w:rFonts w:ascii="Arial" w:hAnsi="Arial" w:cs="Arial"/>
                <w:bCs/>
                <w:iCs/>
                <w:sz w:val="20"/>
                <w:szCs w:val="20"/>
              </w:rPr>
              <w:t>September 23</w:t>
            </w:r>
          </w:p>
        </w:tc>
        <w:tc>
          <w:tcPr>
            <w:tcW w:w="3046" w:type="dxa"/>
          </w:tcPr>
          <w:p w14:paraId="4FBA630A" w14:textId="7A560148" w:rsidR="00940159" w:rsidRPr="00D47828" w:rsidRDefault="003D2376" w:rsidP="009D52D0">
            <w:pPr>
              <w:spacing w:after="120"/>
              <w:ind w:right="543"/>
              <w:rPr>
                <w:rFonts w:ascii="Arial" w:hAnsi="Arial" w:cs="Arial"/>
                <w:bCs/>
                <w:iCs/>
                <w:sz w:val="20"/>
                <w:szCs w:val="20"/>
              </w:rPr>
            </w:pPr>
            <w:r>
              <w:rPr>
                <w:rFonts w:ascii="Arial" w:hAnsi="Arial" w:cs="Arial"/>
                <w:bCs/>
                <w:iCs/>
                <w:sz w:val="20"/>
                <w:szCs w:val="20"/>
              </w:rPr>
              <w:t>13.15.2. pass-comp element removed</w:t>
            </w:r>
          </w:p>
        </w:tc>
        <w:tc>
          <w:tcPr>
            <w:tcW w:w="1843" w:type="dxa"/>
          </w:tcPr>
          <w:p w14:paraId="3C766680" w14:textId="472A6811" w:rsidR="00940159" w:rsidRPr="00D47828" w:rsidRDefault="003D2376" w:rsidP="009D52D0">
            <w:pPr>
              <w:spacing w:after="120"/>
              <w:ind w:right="543"/>
              <w:rPr>
                <w:rFonts w:ascii="Arial" w:hAnsi="Arial" w:cs="Arial"/>
                <w:bCs/>
                <w:iCs/>
                <w:sz w:val="20"/>
                <w:szCs w:val="20"/>
              </w:rPr>
            </w:pPr>
            <w:r>
              <w:rPr>
                <w:rFonts w:ascii="Arial" w:hAnsi="Arial" w:cs="Arial"/>
                <w:bCs/>
                <w:iCs/>
                <w:sz w:val="20"/>
                <w:szCs w:val="20"/>
              </w:rPr>
              <w:t>Existing</w:t>
            </w:r>
          </w:p>
        </w:tc>
      </w:tr>
      <w:tr w:rsidR="00940159" w:rsidRPr="00D47828" w14:paraId="1A7622B4" w14:textId="77777777" w:rsidTr="00F06E34">
        <w:tc>
          <w:tcPr>
            <w:tcW w:w="1660" w:type="dxa"/>
          </w:tcPr>
          <w:p w14:paraId="23FAB5BA" w14:textId="77777777" w:rsidR="00940159" w:rsidRPr="00D47828" w:rsidRDefault="00940159" w:rsidP="009D52D0">
            <w:pPr>
              <w:spacing w:after="120"/>
              <w:ind w:right="543"/>
              <w:rPr>
                <w:rFonts w:ascii="Arial" w:hAnsi="Arial" w:cs="Arial"/>
                <w:bCs/>
                <w:iCs/>
                <w:sz w:val="20"/>
                <w:szCs w:val="20"/>
              </w:rPr>
            </w:pPr>
          </w:p>
        </w:tc>
        <w:tc>
          <w:tcPr>
            <w:tcW w:w="2120" w:type="dxa"/>
          </w:tcPr>
          <w:p w14:paraId="641A6115" w14:textId="77777777" w:rsidR="00940159" w:rsidRPr="00D47828" w:rsidRDefault="00940159" w:rsidP="009D52D0">
            <w:pPr>
              <w:spacing w:after="120"/>
              <w:ind w:right="543"/>
              <w:rPr>
                <w:rFonts w:ascii="Arial" w:hAnsi="Arial" w:cs="Arial"/>
                <w:bCs/>
                <w:iCs/>
                <w:sz w:val="20"/>
                <w:szCs w:val="20"/>
              </w:rPr>
            </w:pPr>
          </w:p>
        </w:tc>
        <w:tc>
          <w:tcPr>
            <w:tcW w:w="1958" w:type="dxa"/>
          </w:tcPr>
          <w:p w14:paraId="630B4B87" w14:textId="77777777" w:rsidR="00940159" w:rsidRPr="00D47828" w:rsidRDefault="00940159" w:rsidP="009D52D0">
            <w:pPr>
              <w:spacing w:after="120"/>
              <w:ind w:right="543"/>
              <w:rPr>
                <w:rFonts w:ascii="Arial" w:hAnsi="Arial" w:cs="Arial"/>
                <w:bCs/>
                <w:iCs/>
                <w:sz w:val="20"/>
                <w:szCs w:val="20"/>
              </w:rPr>
            </w:pPr>
          </w:p>
        </w:tc>
        <w:tc>
          <w:tcPr>
            <w:tcW w:w="3046" w:type="dxa"/>
          </w:tcPr>
          <w:p w14:paraId="435D5F45" w14:textId="77777777" w:rsidR="00940159" w:rsidRPr="00D47828" w:rsidRDefault="00940159" w:rsidP="009D52D0">
            <w:pPr>
              <w:spacing w:after="120"/>
              <w:ind w:right="543"/>
              <w:rPr>
                <w:rFonts w:ascii="Arial" w:hAnsi="Arial" w:cs="Arial"/>
                <w:bCs/>
                <w:iCs/>
                <w:sz w:val="20"/>
                <w:szCs w:val="20"/>
              </w:rPr>
            </w:pPr>
          </w:p>
        </w:tc>
        <w:tc>
          <w:tcPr>
            <w:tcW w:w="1843" w:type="dxa"/>
          </w:tcPr>
          <w:p w14:paraId="701CC31D" w14:textId="77777777" w:rsidR="00940159" w:rsidRPr="00D47828" w:rsidRDefault="00940159" w:rsidP="009D52D0">
            <w:pPr>
              <w:spacing w:after="120"/>
              <w:ind w:right="543"/>
              <w:rPr>
                <w:rFonts w:ascii="Arial" w:hAnsi="Arial" w:cs="Arial"/>
                <w:bCs/>
                <w:iCs/>
                <w:sz w:val="20"/>
                <w:szCs w:val="20"/>
              </w:rPr>
            </w:pPr>
          </w:p>
        </w:tc>
      </w:tr>
    </w:tbl>
    <w:p w14:paraId="2EB548D9" w14:textId="77777777" w:rsidR="00422B69" w:rsidRPr="00D47828" w:rsidRDefault="00422B69" w:rsidP="009D52D0">
      <w:pPr>
        <w:spacing w:after="120" w:line="240" w:lineRule="auto"/>
        <w:ind w:right="543"/>
        <w:rPr>
          <w:rFonts w:ascii="Arial" w:hAnsi="Arial" w:cs="Arial"/>
          <w:b/>
          <w:iCs/>
          <w:sz w:val="24"/>
          <w:szCs w:val="24"/>
        </w:rPr>
      </w:pPr>
    </w:p>
    <w:p w14:paraId="441610ED" w14:textId="77777777" w:rsidR="00FC217A" w:rsidRPr="00D47828" w:rsidRDefault="00FC217A" w:rsidP="00FC217A">
      <w:pPr>
        <w:jc w:val="center"/>
        <w:rPr>
          <w:rFonts w:ascii="Arial" w:hAnsi="Arial" w:cs="Arial"/>
          <w:iCs/>
          <w:sz w:val="24"/>
          <w:szCs w:val="24"/>
        </w:rPr>
      </w:pPr>
    </w:p>
    <w:p w14:paraId="04BB8511" w14:textId="19399856" w:rsidR="009467AB" w:rsidRPr="00D47828" w:rsidRDefault="009467AB" w:rsidP="009467AB">
      <w:pPr>
        <w:tabs>
          <w:tab w:val="left" w:pos="3405"/>
          <w:tab w:val="center" w:pos="5233"/>
        </w:tabs>
        <w:rPr>
          <w:rFonts w:ascii="Arial" w:hAnsi="Arial" w:cs="Arial"/>
          <w:iCs/>
          <w:sz w:val="24"/>
          <w:szCs w:val="24"/>
        </w:rPr>
      </w:pPr>
      <w:r w:rsidRPr="00D47828">
        <w:rPr>
          <w:rFonts w:ascii="Arial" w:hAnsi="Arial" w:cs="Arial"/>
          <w:iCs/>
          <w:sz w:val="24"/>
          <w:szCs w:val="24"/>
        </w:rPr>
        <w:tab/>
      </w:r>
      <w:r w:rsidRPr="00D47828">
        <w:rPr>
          <w:rFonts w:ascii="Arial" w:hAnsi="Arial" w:cs="Arial"/>
          <w:iCs/>
          <w:sz w:val="24"/>
          <w:szCs w:val="24"/>
        </w:rPr>
        <w:tab/>
      </w:r>
    </w:p>
    <w:sectPr w:rsidR="009467AB" w:rsidRPr="00D47828"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101A" w14:textId="77777777" w:rsidR="00EF5209" w:rsidRDefault="00EF5209" w:rsidP="009A2D37">
      <w:pPr>
        <w:spacing w:after="0" w:line="240" w:lineRule="auto"/>
      </w:pPr>
      <w:r>
        <w:separator/>
      </w:r>
    </w:p>
  </w:endnote>
  <w:endnote w:type="continuationSeparator" w:id="0">
    <w:p w14:paraId="6C8CA494" w14:textId="77777777" w:rsidR="00EF5209" w:rsidRDefault="00EF5209" w:rsidP="009A2D37">
      <w:pPr>
        <w:spacing w:after="0" w:line="240" w:lineRule="auto"/>
      </w:pPr>
      <w:r>
        <w:continuationSeparator/>
      </w:r>
    </w:p>
  </w:endnote>
  <w:endnote w:type="continuationNotice" w:id="1">
    <w:p w14:paraId="19D7DEFA" w14:textId="77777777" w:rsidR="00EF5209" w:rsidRDefault="00EF5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FBD6" w14:textId="77777777" w:rsidR="00EF5209" w:rsidRDefault="00EF5209" w:rsidP="009A2D37">
      <w:pPr>
        <w:spacing w:after="0" w:line="240" w:lineRule="auto"/>
      </w:pPr>
      <w:r>
        <w:separator/>
      </w:r>
    </w:p>
  </w:footnote>
  <w:footnote w:type="continuationSeparator" w:id="0">
    <w:p w14:paraId="0B6D5AD6" w14:textId="77777777" w:rsidR="00EF5209" w:rsidRDefault="00EF5209" w:rsidP="009A2D37">
      <w:pPr>
        <w:spacing w:after="0" w:line="240" w:lineRule="auto"/>
      </w:pPr>
      <w:r>
        <w:continuationSeparator/>
      </w:r>
    </w:p>
  </w:footnote>
  <w:footnote w:type="continuationNotice" w:id="1">
    <w:p w14:paraId="7C93721A" w14:textId="77777777" w:rsidR="00EF5209" w:rsidRDefault="00EF5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3D2376">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3D2376"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3179"/>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39BE"/>
    <w:rsid w:val="0021578E"/>
    <w:rsid w:val="0022570F"/>
    <w:rsid w:val="00227582"/>
    <w:rsid w:val="002302FD"/>
    <w:rsid w:val="002308BE"/>
    <w:rsid w:val="00234920"/>
    <w:rsid w:val="002407C0"/>
    <w:rsid w:val="002461AF"/>
    <w:rsid w:val="002465A1"/>
    <w:rsid w:val="00264576"/>
    <w:rsid w:val="0026585A"/>
    <w:rsid w:val="00266735"/>
    <w:rsid w:val="00273CF0"/>
    <w:rsid w:val="002748D4"/>
    <w:rsid w:val="00274ED7"/>
    <w:rsid w:val="00277814"/>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2B71"/>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2B68"/>
    <w:rsid w:val="003C3E0C"/>
    <w:rsid w:val="003C776B"/>
    <w:rsid w:val="003D2376"/>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E7487"/>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227F"/>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23E"/>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16B73"/>
    <w:rsid w:val="00720270"/>
    <w:rsid w:val="00723ECF"/>
    <w:rsid w:val="00724362"/>
    <w:rsid w:val="00727780"/>
    <w:rsid w:val="007313ED"/>
    <w:rsid w:val="00732599"/>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06B00"/>
    <w:rsid w:val="008102E5"/>
    <w:rsid w:val="008111B4"/>
    <w:rsid w:val="008133F0"/>
    <w:rsid w:val="00815880"/>
    <w:rsid w:val="0082322C"/>
    <w:rsid w:val="00823942"/>
    <w:rsid w:val="00827FFD"/>
    <w:rsid w:val="008408D8"/>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0A38"/>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6886"/>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441"/>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01C"/>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2169"/>
    <w:rsid w:val="00CE4574"/>
    <w:rsid w:val="00CE70E6"/>
    <w:rsid w:val="00CF0BCA"/>
    <w:rsid w:val="00CF2E1E"/>
    <w:rsid w:val="00D02E99"/>
    <w:rsid w:val="00D13357"/>
    <w:rsid w:val="00D13A13"/>
    <w:rsid w:val="00D176AD"/>
    <w:rsid w:val="00D2689A"/>
    <w:rsid w:val="00D47828"/>
    <w:rsid w:val="00D47A03"/>
    <w:rsid w:val="00D54080"/>
    <w:rsid w:val="00D65239"/>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66814"/>
    <w:rsid w:val="00E71F2F"/>
    <w:rsid w:val="00E7202A"/>
    <w:rsid w:val="00E77786"/>
    <w:rsid w:val="00E806FB"/>
    <w:rsid w:val="00EB0365"/>
    <w:rsid w:val="00EB1C2D"/>
    <w:rsid w:val="00EB41D1"/>
    <w:rsid w:val="00EC1810"/>
    <w:rsid w:val="00EC3FCC"/>
    <w:rsid w:val="00ED32FF"/>
    <w:rsid w:val="00EF039B"/>
    <w:rsid w:val="00EF4933"/>
    <w:rsid w:val="00EF5044"/>
    <w:rsid w:val="00EF5209"/>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C3A52"/>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407268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58806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C271-CB76-45CC-9E6D-A3B7C4EF1EFF}"/>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2023-08-18T12:59:00Z</dcterms:created>
  <dcterms:modified xsi:type="dcterms:W3CDTF">2023-08-18T12:59:00Z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