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6AC0" w14:textId="7A351CE5" w:rsidR="009A2D37" w:rsidRPr="0075157D" w:rsidRDefault="0075157D" w:rsidP="002D1E56">
      <w:pPr>
        <w:pStyle w:val="Heading2"/>
        <w:spacing w:before="0"/>
      </w:pPr>
      <w:r w:rsidRPr="0075157D">
        <w:t xml:space="preserve">KentVision </w:t>
      </w:r>
      <w:r w:rsidR="002D1E56">
        <w:t>C</w:t>
      </w:r>
      <w:r w:rsidRPr="0075157D">
        <w:t>ode and t</w:t>
      </w:r>
      <w:r w:rsidR="009A2D37" w:rsidRPr="0075157D">
        <w:t>itle of the module</w:t>
      </w:r>
    </w:p>
    <w:p w14:paraId="3BBE02CB" w14:textId="6048857B" w:rsidR="008645EA" w:rsidRPr="0075157D" w:rsidRDefault="007D53EC" w:rsidP="002D1E56">
      <w:pPr>
        <w:pStyle w:val="BodyText"/>
      </w:pPr>
      <w:r w:rsidRPr="0075157D">
        <w:t>ECON</w:t>
      </w:r>
      <w:r w:rsidR="007D494C" w:rsidRPr="0075157D">
        <w:t xml:space="preserve">8440 </w:t>
      </w:r>
      <w:r w:rsidR="00564AF4" w:rsidRPr="0075157D">
        <w:t>Development Economics</w:t>
      </w:r>
      <w:r w:rsidR="00564AF4" w:rsidRPr="0075157D" w:rsidDel="00564AF4">
        <w:t xml:space="preserve"> </w:t>
      </w:r>
    </w:p>
    <w:p w14:paraId="037E04AF" w14:textId="5F7BA486" w:rsidR="009A2D37" w:rsidRPr="0075157D" w:rsidRDefault="0075157D" w:rsidP="002D1E56">
      <w:pPr>
        <w:pStyle w:val="Heading2"/>
      </w:pPr>
      <w:r w:rsidRPr="0075157D">
        <w:t xml:space="preserve">Division and School/Department </w:t>
      </w:r>
      <w:r w:rsidR="009A2D37" w:rsidRPr="0075157D">
        <w:t>or partner institution which will be responsible for management of the module</w:t>
      </w:r>
    </w:p>
    <w:p w14:paraId="1486665F" w14:textId="5CAC4DA1" w:rsidR="008645EA" w:rsidRPr="0075157D" w:rsidRDefault="0075157D" w:rsidP="002D1E56">
      <w:pPr>
        <w:pStyle w:val="BodyText"/>
      </w:pPr>
      <w:r w:rsidRPr="0075157D">
        <w:t xml:space="preserve">Division of Human and Social Sciences, </w:t>
      </w:r>
      <w:r w:rsidR="008645EA" w:rsidRPr="0075157D">
        <w:t>School of Economics</w:t>
      </w:r>
    </w:p>
    <w:p w14:paraId="6837B751" w14:textId="77777777" w:rsidR="009A2D37" w:rsidRPr="0075157D" w:rsidRDefault="00883204" w:rsidP="002D1E56">
      <w:pPr>
        <w:pStyle w:val="Heading2"/>
      </w:pPr>
      <w:r w:rsidRPr="0075157D">
        <w:t>The level of the module (</w:t>
      </w:r>
      <w:r w:rsidR="00D83563" w:rsidRPr="0075157D">
        <w:t>Level</w:t>
      </w:r>
      <w:r w:rsidR="00441E76" w:rsidRPr="0075157D">
        <w:t xml:space="preserve"> 4</w:t>
      </w:r>
      <w:r w:rsidR="001D0C7D" w:rsidRPr="0075157D">
        <w:t xml:space="preserve">, </w:t>
      </w:r>
      <w:r w:rsidR="00441E76" w:rsidRPr="0075157D">
        <w:t>Level 5</w:t>
      </w:r>
      <w:r w:rsidR="001D0C7D" w:rsidRPr="0075157D">
        <w:t xml:space="preserve">, </w:t>
      </w:r>
      <w:r w:rsidR="00441E76" w:rsidRPr="0075157D">
        <w:t>Level 6</w:t>
      </w:r>
      <w:r w:rsidR="001D0C7D" w:rsidRPr="0075157D">
        <w:t xml:space="preserve"> or </w:t>
      </w:r>
      <w:r w:rsidR="00C612A8" w:rsidRPr="0075157D">
        <w:t>L</w:t>
      </w:r>
      <w:r w:rsidR="00441E76" w:rsidRPr="0075157D">
        <w:t>evel 7</w:t>
      </w:r>
      <w:r w:rsidR="009A2D37" w:rsidRPr="0075157D">
        <w:t>)</w:t>
      </w:r>
    </w:p>
    <w:p w14:paraId="3C808741" w14:textId="592B0E60" w:rsidR="008645EA" w:rsidRPr="0075157D" w:rsidRDefault="008645EA" w:rsidP="002D1E56">
      <w:pPr>
        <w:pStyle w:val="BodyText"/>
      </w:pPr>
      <w:r w:rsidRPr="0075157D">
        <w:t>Level 7</w:t>
      </w:r>
    </w:p>
    <w:p w14:paraId="68AE60B1" w14:textId="77777777" w:rsidR="009A2D37" w:rsidRPr="0075157D" w:rsidRDefault="009A2D37" w:rsidP="002D1E56">
      <w:pPr>
        <w:pStyle w:val="Heading2"/>
      </w:pPr>
      <w:r w:rsidRPr="0075157D">
        <w:t xml:space="preserve">The number of credits and the ECTS value which the module represents </w:t>
      </w:r>
    </w:p>
    <w:p w14:paraId="04C059EB" w14:textId="019B767D" w:rsidR="008645EA" w:rsidRPr="0075157D" w:rsidRDefault="008645EA" w:rsidP="002D1E56">
      <w:pPr>
        <w:pStyle w:val="BodyText"/>
      </w:pPr>
      <w:r w:rsidRPr="0075157D">
        <w:t>15 credits</w:t>
      </w:r>
      <w:r w:rsidR="0075157D" w:rsidRPr="0075157D">
        <w:t xml:space="preserve"> (</w:t>
      </w:r>
      <w:r w:rsidRPr="0075157D">
        <w:t>7.5 ECTS</w:t>
      </w:r>
      <w:r w:rsidR="0075157D" w:rsidRPr="0075157D">
        <w:t>)</w:t>
      </w:r>
    </w:p>
    <w:p w14:paraId="3D9BC787" w14:textId="77777777" w:rsidR="009A2D37" w:rsidRPr="0075157D" w:rsidRDefault="009A2D37" w:rsidP="002D1E56">
      <w:pPr>
        <w:pStyle w:val="Heading2"/>
      </w:pPr>
      <w:r w:rsidRPr="0075157D">
        <w:t>Which term(s) the module is to be taught in (or other teaching pattern)</w:t>
      </w:r>
    </w:p>
    <w:p w14:paraId="1C42620F" w14:textId="441D42FF" w:rsidR="009A2D37" w:rsidRPr="0075157D" w:rsidRDefault="008645EA" w:rsidP="002D1E56">
      <w:pPr>
        <w:pStyle w:val="BodyText"/>
      </w:pPr>
      <w:r w:rsidRPr="0075157D">
        <w:t>Autumn</w:t>
      </w:r>
    </w:p>
    <w:p w14:paraId="39B88F06" w14:textId="4F398FF2" w:rsidR="009A2D37" w:rsidRPr="0075157D" w:rsidRDefault="009A2D37" w:rsidP="002D1E56">
      <w:pPr>
        <w:pStyle w:val="Heading2"/>
      </w:pPr>
      <w:r w:rsidRPr="0075157D">
        <w:t>Prerequisite and co-requisite modules</w:t>
      </w:r>
      <w:r w:rsidR="0075157D" w:rsidRPr="0075157D">
        <w:t xml:space="preserve"> and/or any module restrictions</w:t>
      </w:r>
    </w:p>
    <w:p w14:paraId="7853AE25" w14:textId="3DABE07D" w:rsidR="008645EA" w:rsidRPr="0075157D" w:rsidRDefault="00184E5D" w:rsidP="002D1E56">
      <w:pPr>
        <w:pStyle w:val="BodyText"/>
      </w:pPr>
      <w:r w:rsidRPr="0075157D">
        <w:t>None</w:t>
      </w:r>
    </w:p>
    <w:p w14:paraId="4490E9FB" w14:textId="6C40C1BD" w:rsidR="009A2D37" w:rsidRPr="0075157D" w:rsidRDefault="009A2D37" w:rsidP="002D1E56">
      <w:pPr>
        <w:pStyle w:val="Heading2"/>
      </w:pPr>
      <w:r w:rsidRPr="0075157D">
        <w:t xml:space="preserve">The </w:t>
      </w:r>
      <w:r w:rsidR="0075157D" w:rsidRPr="0075157D">
        <w:t>course</w:t>
      </w:r>
      <w:r w:rsidR="002D1E56">
        <w:t>(</w:t>
      </w:r>
      <w:r w:rsidR="0075157D" w:rsidRPr="0075157D">
        <w:t>s</w:t>
      </w:r>
      <w:r w:rsidR="002D1E56">
        <w:t>)</w:t>
      </w:r>
      <w:r w:rsidRPr="0075157D">
        <w:t xml:space="preserve"> of study to which the module contributes</w:t>
      </w:r>
    </w:p>
    <w:p w14:paraId="066D2564" w14:textId="012DD3BD" w:rsidR="008645EA" w:rsidRPr="002D1E56" w:rsidRDefault="0075157D" w:rsidP="002D1E56">
      <w:pPr>
        <w:pStyle w:val="BodyText"/>
        <w:rPr>
          <w:b/>
          <w:bCs/>
          <w:i/>
          <w:iCs/>
        </w:rPr>
      </w:pPr>
      <w:r w:rsidRPr="002D1E56">
        <w:rPr>
          <w:b/>
          <w:bCs/>
          <w:i/>
          <w:iCs/>
        </w:rPr>
        <w:t>C</w:t>
      </w:r>
      <w:r w:rsidR="008645EA" w:rsidRPr="002D1E56">
        <w:rPr>
          <w:b/>
          <w:bCs/>
          <w:i/>
          <w:iCs/>
        </w:rPr>
        <w:t xml:space="preserve">ompulsory </w:t>
      </w:r>
      <w:r w:rsidRPr="002D1E56">
        <w:rPr>
          <w:b/>
          <w:bCs/>
          <w:i/>
          <w:iCs/>
        </w:rPr>
        <w:t>to the following courses:</w:t>
      </w:r>
    </w:p>
    <w:p w14:paraId="244033B0" w14:textId="7FDB0976" w:rsidR="008645EA" w:rsidRPr="0075157D" w:rsidRDefault="008645EA" w:rsidP="002D1E56">
      <w:pPr>
        <w:pStyle w:val="ListBullet"/>
      </w:pPr>
      <w:r w:rsidRPr="0075157D">
        <w:t>MSc Development Economics</w:t>
      </w:r>
    </w:p>
    <w:p w14:paraId="1106F160" w14:textId="464423F1" w:rsidR="0075157D" w:rsidRPr="0075157D" w:rsidRDefault="0075157D" w:rsidP="002D1E56">
      <w:pPr>
        <w:pStyle w:val="ListBullet"/>
      </w:pPr>
      <w:r w:rsidRPr="0075157D">
        <w:t>MSc Economics</w:t>
      </w:r>
    </w:p>
    <w:p w14:paraId="3168A110" w14:textId="54632ECC" w:rsidR="008645EA" w:rsidRPr="002D1E56" w:rsidRDefault="0075157D" w:rsidP="002D1E56">
      <w:pPr>
        <w:pStyle w:val="BodyText"/>
        <w:spacing w:before="360"/>
        <w:rPr>
          <w:b/>
          <w:bCs/>
          <w:i/>
          <w:iCs/>
        </w:rPr>
      </w:pPr>
      <w:r w:rsidRPr="002D1E56">
        <w:rPr>
          <w:b/>
          <w:bCs/>
          <w:i/>
          <w:iCs/>
        </w:rPr>
        <w:t>O</w:t>
      </w:r>
      <w:r w:rsidR="008645EA" w:rsidRPr="002D1E56">
        <w:rPr>
          <w:b/>
          <w:bCs/>
          <w:i/>
          <w:iCs/>
        </w:rPr>
        <w:t xml:space="preserve">ptional </w:t>
      </w:r>
      <w:r w:rsidRPr="002D1E56">
        <w:rPr>
          <w:b/>
          <w:bCs/>
          <w:i/>
          <w:iCs/>
        </w:rPr>
        <w:t>to the following courses:</w:t>
      </w:r>
    </w:p>
    <w:p w14:paraId="5CF5F9DD" w14:textId="77777777" w:rsidR="008645EA" w:rsidRPr="0075157D" w:rsidRDefault="008645EA" w:rsidP="002D1E56">
      <w:pPr>
        <w:pStyle w:val="ListBullet"/>
      </w:pPr>
      <w:r w:rsidRPr="0075157D">
        <w:t>MSc Economics and Econometrics</w:t>
      </w:r>
    </w:p>
    <w:p w14:paraId="637F7823" w14:textId="77777777" w:rsidR="009A2D37" w:rsidRPr="0075157D" w:rsidRDefault="009A2D37" w:rsidP="00302082">
      <w:pPr>
        <w:ind w:left="426" w:right="260"/>
        <w:rPr>
          <w:rFonts w:ascii="Arial" w:hAnsi="Arial" w:cs="Arial"/>
          <w:i/>
          <w:iCs/>
          <w:sz w:val="24"/>
          <w:szCs w:val="24"/>
        </w:rPr>
      </w:pPr>
    </w:p>
    <w:p w14:paraId="2A769A15" w14:textId="77777777" w:rsidR="00506D38" w:rsidRPr="0075157D" w:rsidRDefault="009A2D37" w:rsidP="00506D38">
      <w:pPr>
        <w:numPr>
          <w:ilvl w:val="0"/>
          <w:numId w:val="1"/>
        </w:numPr>
        <w:ind w:left="567" w:right="260" w:hanging="567"/>
        <w:rPr>
          <w:rFonts w:ascii="Arial" w:hAnsi="Arial" w:cs="Arial"/>
          <w:b/>
          <w:sz w:val="24"/>
          <w:szCs w:val="24"/>
        </w:rPr>
      </w:pPr>
      <w:r w:rsidRPr="002D1E56">
        <w:rPr>
          <w:rStyle w:val="Heading2Char"/>
        </w:rPr>
        <w:t>The intended subject specific learning outcomes</w:t>
      </w:r>
      <w:r w:rsidR="00C729D7" w:rsidRPr="002D1E56">
        <w:rPr>
          <w:rStyle w:val="Heading2Char"/>
        </w:rPr>
        <w:t>.</w:t>
      </w:r>
      <w:r w:rsidR="00C729D7" w:rsidRPr="0075157D">
        <w:rPr>
          <w:rFonts w:ascii="Arial" w:hAnsi="Arial" w:cs="Arial"/>
          <w:b/>
          <w:sz w:val="24"/>
          <w:szCs w:val="24"/>
        </w:rPr>
        <w:br/>
      </w:r>
      <w:r w:rsidR="00506D38" w:rsidRPr="0075157D">
        <w:rPr>
          <w:rFonts w:ascii="Arial" w:hAnsi="Arial" w:cs="Arial"/>
          <w:b/>
          <w:sz w:val="24"/>
          <w:szCs w:val="24"/>
        </w:rPr>
        <w:t>On successfully completing the module students will be able to:</w:t>
      </w:r>
    </w:p>
    <w:p w14:paraId="2301D7FF" w14:textId="700A425E" w:rsidR="00506D38" w:rsidRPr="0075157D" w:rsidRDefault="00506D38" w:rsidP="002D1E56">
      <w:pPr>
        <w:pStyle w:val="ListNumber2"/>
      </w:pPr>
      <w:r w:rsidRPr="0075157D">
        <w:t>8.1</w:t>
      </w:r>
      <w:r w:rsidR="002D1E56">
        <w:tab/>
      </w:r>
      <w:r w:rsidRPr="0075157D">
        <w:t xml:space="preserve">Systematically and comprehensively understand how concepts related to </w:t>
      </w:r>
      <w:r w:rsidR="009C2925" w:rsidRPr="0075157D">
        <w:t>economic development</w:t>
      </w:r>
      <w:r w:rsidRPr="0075157D">
        <w:t xml:space="preserve">, </w:t>
      </w:r>
      <w:r w:rsidR="009C2925" w:rsidRPr="0075157D">
        <w:t>industrialization, structural change and growth</w:t>
      </w:r>
      <w:r w:rsidRPr="0075157D">
        <w:t xml:space="preserve"> can account for </w:t>
      </w:r>
      <w:r w:rsidR="009C2925" w:rsidRPr="0075157D">
        <w:t>inequality</w:t>
      </w:r>
      <w:r w:rsidRPr="0075157D">
        <w:t xml:space="preserve"> and poverty</w:t>
      </w:r>
    </w:p>
    <w:p w14:paraId="18C8063D" w14:textId="40D22BE4" w:rsidR="00506D38" w:rsidRPr="0075157D" w:rsidRDefault="00506D38" w:rsidP="002D1E56">
      <w:pPr>
        <w:pStyle w:val="ListNumber2"/>
      </w:pPr>
      <w:r w:rsidRPr="0075157D">
        <w:t>8.2</w:t>
      </w:r>
      <w:r w:rsidR="002D1E56">
        <w:tab/>
      </w:r>
      <w:r w:rsidRPr="0075157D">
        <w:t xml:space="preserve">Systematically and comprehensively understand how modern theoretical methods can be used to study </w:t>
      </w:r>
      <w:r w:rsidR="009C2925" w:rsidRPr="0075157D">
        <w:t>institutional transformation and growth of nations</w:t>
      </w:r>
    </w:p>
    <w:p w14:paraId="4CA41944" w14:textId="12BBD96D" w:rsidR="00506D38" w:rsidRPr="0075157D" w:rsidRDefault="00506D38" w:rsidP="002D1E56">
      <w:pPr>
        <w:pStyle w:val="ListNumber2"/>
      </w:pPr>
      <w:r w:rsidRPr="0075157D">
        <w:t>8.3</w:t>
      </w:r>
      <w:r w:rsidR="002D1E56">
        <w:tab/>
      </w:r>
      <w:r w:rsidRPr="0075157D">
        <w:t>Use economic models to think about problems in development at the high level of abstraction and generality</w:t>
      </w:r>
    </w:p>
    <w:p w14:paraId="4E6A2E01" w14:textId="7604B8DD" w:rsidR="00506D38" w:rsidRPr="0075157D" w:rsidRDefault="00506D38" w:rsidP="002D1E56">
      <w:pPr>
        <w:pStyle w:val="ListNumber2"/>
      </w:pPr>
      <w:r w:rsidRPr="0075157D">
        <w:lastRenderedPageBreak/>
        <w:t>8.4</w:t>
      </w:r>
      <w:r w:rsidR="002D1E56">
        <w:tab/>
      </w:r>
      <w:r w:rsidRPr="0075157D">
        <w:t xml:space="preserve">Comprehensively understand how </w:t>
      </w:r>
      <w:r w:rsidR="003B431C" w:rsidRPr="0075157D">
        <w:t>to</w:t>
      </w:r>
      <w:r w:rsidRPr="0075157D">
        <w:t xml:space="preserve"> use </w:t>
      </w:r>
      <w:r w:rsidR="003B431C" w:rsidRPr="0075157D">
        <w:t xml:space="preserve">old and new </w:t>
      </w:r>
      <w:r w:rsidR="009C2925" w:rsidRPr="0075157D">
        <w:t>theories to understand</w:t>
      </w:r>
      <w:r w:rsidRPr="0075157D">
        <w:t xml:space="preserve"> causal relationships in development economics</w:t>
      </w:r>
      <w:r w:rsidR="002D1E56">
        <w:t>.</w:t>
      </w:r>
    </w:p>
    <w:p w14:paraId="233BC4E9" w14:textId="77777777" w:rsidR="00506D38" w:rsidRPr="0075157D" w:rsidRDefault="00506D38" w:rsidP="002D1E56">
      <w:pPr>
        <w:numPr>
          <w:ilvl w:val="0"/>
          <w:numId w:val="1"/>
        </w:numPr>
        <w:spacing w:before="600"/>
        <w:ind w:left="567" w:right="261" w:hanging="567"/>
        <w:rPr>
          <w:rFonts w:ascii="Arial" w:hAnsi="Arial" w:cs="Arial"/>
          <w:b/>
          <w:sz w:val="24"/>
          <w:szCs w:val="24"/>
        </w:rPr>
      </w:pPr>
      <w:r w:rsidRPr="002D1E56">
        <w:rPr>
          <w:rStyle w:val="Heading2Char"/>
        </w:rPr>
        <w:t>The intended generic learning outcomes.</w:t>
      </w:r>
      <w:r w:rsidRPr="0075157D">
        <w:rPr>
          <w:rFonts w:ascii="Arial" w:hAnsi="Arial" w:cs="Arial"/>
          <w:b/>
          <w:sz w:val="24"/>
          <w:szCs w:val="24"/>
        </w:rPr>
        <w:br/>
        <w:t>On successfully completing the module students will be able to:</w:t>
      </w:r>
    </w:p>
    <w:p w14:paraId="46FDE873" w14:textId="62CBB934" w:rsidR="00506D38" w:rsidRPr="0075157D" w:rsidRDefault="00506D38" w:rsidP="002D1E56">
      <w:pPr>
        <w:pStyle w:val="ListNumber2"/>
      </w:pPr>
      <w:r w:rsidRPr="0075157D">
        <w:t>9.1</w:t>
      </w:r>
      <w:r w:rsidR="002D1E56">
        <w:tab/>
      </w:r>
      <w:r w:rsidRPr="0075157D">
        <w:t>Articulate informed opinions on</w:t>
      </w:r>
      <w:r w:rsidR="009C2925" w:rsidRPr="0075157D">
        <w:t xml:space="preserve"> advanced </w:t>
      </w:r>
      <w:r w:rsidRPr="0075157D">
        <w:t>topics with high level of abstraction and build convincing argumentation in seminar debates on controversial matters</w:t>
      </w:r>
      <w:r w:rsidRPr="0075157D" w:rsidDel="00A95106">
        <w:t xml:space="preserve"> </w:t>
      </w:r>
    </w:p>
    <w:p w14:paraId="15CB5A66" w14:textId="0305470C" w:rsidR="00506D38" w:rsidRPr="0075157D" w:rsidRDefault="00506D38" w:rsidP="002D1E56">
      <w:pPr>
        <w:pStyle w:val="ListNumber2"/>
      </w:pPr>
      <w:r w:rsidRPr="0075157D">
        <w:t>9.2</w:t>
      </w:r>
      <w:r w:rsidR="002D1E56">
        <w:tab/>
      </w:r>
      <w:r w:rsidRPr="0075157D">
        <w:t>Solve complex analytical problems through the use of the different models studied within the curriculum</w:t>
      </w:r>
    </w:p>
    <w:p w14:paraId="3557ADA2" w14:textId="00609067" w:rsidR="00506D38" w:rsidRPr="0075157D" w:rsidRDefault="00506D38" w:rsidP="002D1E56">
      <w:pPr>
        <w:pStyle w:val="ListNumber2"/>
      </w:pPr>
      <w:r w:rsidRPr="0075157D">
        <w:t>9.3</w:t>
      </w:r>
      <w:r w:rsidR="002D1E56">
        <w:tab/>
      </w:r>
      <w:r w:rsidR="005F0E20" w:rsidRPr="0075157D">
        <w:t xml:space="preserve">Link different </w:t>
      </w:r>
      <w:r w:rsidR="009F6A70" w:rsidRPr="0075157D">
        <w:t xml:space="preserve">and contradictory </w:t>
      </w:r>
      <w:r w:rsidR="005F0E20" w:rsidRPr="0075157D">
        <w:t xml:space="preserve">theories and identify </w:t>
      </w:r>
      <w:r w:rsidR="009F6A70" w:rsidRPr="0075157D">
        <w:t xml:space="preserve">their </w:t>
      </w:r>
      <w:r w:rsidR="005F0E20" w:rsidRPr="0075157D">
        <w:t>strengths and shortcomings describ</w:t>
      </w:r>
      <w:r w:rsidR="009F6A70" w:rsidRPr="0075157D">
        <w:t xml:space="preserve">ing </w:t>
      </w:r>
      <w:r w:rsidR="005F0E20" w:rsidRPr="0075157D">
        <w:t>complex socio-economic phenomena</w:t>
      </w:r>
      <w:r w:rsidR="002D1E56">
        <w:t>.</w:t>
      </w:r>
    </w:p>
    <w:p w14:paraId="269F506E" w14:textId="2EA175B8" w:rsidR="009A2D37" w:rsidRPr="0075157D" w:rsidRDefault="00506D38" w:rsidP="002D1E56">
      <w:pPr>
        <w:pStyle w:val="Heading2"/>
      </w:pPr>
      <w:r w:rsidRPr="0075157D">
        <w:t xml:space="preserve">A synopsis </w:t>
      </w:r>
      <w:r w:rsidR="009A2D37" w:rsidRPr="0075157D">
        <w:t>of the curriculum</w:t>
      </w:r>
    </w:p>
    <w:p w14:paraId="0869F3E0" w14:textId="77777777" w:rsidR="00A75B74" w:rsidRPr="0075157D" w:rsidRDefault="00A75B74" w:rsidP="002D1E56">
      <w:pPr>
        <w:pStyle w:val="BodyText"/>
      </w:pPr>
      <w:r w:rsidRPr="0075157D">
        <w:t>As a field of study, Development Economics has both a long history and a rapidly expanding set of issues that is considered to be within its domain today. The Foundation of Development Economics will provide a long-term perspective to the field, covering topics such as the meaning of development, the measurement of poverty and inequality, economic growth, structural transformation, industrialisation, institutions and trade. Students will be exposed to classical texts to gain an understanding of how the economic approach to these topics have evolved over time; as well as rigorous mathematical models and modern economic approaches to empirical analysis for an introduction to current methods and practices in the study of Development Economics.</w:t>
      </w:r>
    </w:p>
    <w:p w14:paraId="6DD13B16" w14:textId="77777777" w:rsidR="009A2D37" w:rsidRPr="0075157D" w:rsidRDefault="009A2D37" w:rsidP="00302082">
      <w:pPr>
        <w:ind w:left="426" w:right="260"/>
        <w:rPr>
          <w:rFonts w:ascii="Arial" w:hAnsi="Arial" w:cs="Arial"/>
          <w:i/>
          <w:iCs/>
          <w:sz w:val="24"/>
          <w:szCs w:val="24"/>
        </w:rPr>
      </w:pPr>
    </w:p>
    <w:p w14:paraId="2BB77C08" w14:textId="2954F8B1" w:rsidR="0064013D" w:rsidRPr="0075157D" w:rsidRDefault="00883204" w:rsidP="0064013D">
      <w:pPr>
        <w:numPr>
          <w:ilvl w:val="0"/>
          <w:numId w:val="1"/>
        </w:numPr>
        <w:ind w:left="567" w:right="260" w:hanging="567"/>
        <w:jc w:val="both"/>
        <w:rPr>
          <w:rFonts w:ascii="Arial" w:hAnsi="Arial" w:cs="Arial"/>
          <w:b/>
          <w:sz w:val="24"/>
          <w:szCs w:val="24"/>
        </w:rPr>
      </w:pPr>
      <w:r w:rsidRPr="002D1E56">
        <w:rPr>
          <w:rStyle w:val="Heading2Char"/>
        </w:rPr>
        <w:t>Reading l</w:t>
      </w:r>
      <w:r w:rsidR="009A2D37" w:rsidRPr="002D1E56">
        <w:rPr>
          <w:rStyle w:val="Heading2Char"/>
        </w:rPr>
        <w:t>ist</w:t>
      </w:r>
    </w:p>
    <w:p w14:paraId="59DA1DE1" w14:textId="77777777" w:rsidR="0075157D" w:rsidRPr="0075157D" w:rsidRDefault="0075157D" w:rsidP="002D1E56">
      <w:pPr>
        <w:pStyle w:val="BodyText"/>
        <w:rPr>
          <w:b/>
        </w:rPr>
      </w:pPr>
      <w:r w:rsidRPr="0075157D">
        <w:t xml:space="preserve">The University is committed to ensuring that core reading materials are in accessible electronic format in line with the Kent Inclusive Practices. </w:t>
      </w:r>
    </w:p>
    <w:p w14:paraId="1FB930D5" w14:textId="77777777" w:rsidR="0075157D" w:rsidRPr="0075157D" w:rsidRDefault="0075157D" w:rsidP="002D1E56">
      <w:pPr>
        <w:pStyle w:val="BodyText"/>
        <w:rPr>
          <w:b/>
        </w:rPr>
      </w:pPr>
      <w:r w:rsidRPr="0075157D">
        <w:t xml:space="preserve">The most up to date reading list for each module can be found on the university's </w:t>
      </w:r>
      <w:hyperlink r:id="rId11" w:history="1">
        <w:r w:rsidRPr="0075157D">
          <w:rPr>
            <w:rStyle w:val="Hyperlink"/>
            <w:rFonts w:cs="Arial"/>
            <w:bCs/>
            <w:szCs w:val="24"/>
          </w:rPr>
          <w:t>reading list pages</w:t>
        </w:r>
      </w:hyperlink>
      <w:r w:rsidRPr="0075157D">
        <w:t xml:space="preserve">. </w:t>
      </w:r>
    </w:p>
    <w:p w14:paraId="294E05AF" w14:textId="03DAE5AE" w:rsidR="00883204" w:rsidRPr="0075157D" w:rsidRDefault="002D1E56" w:rsidP="002D1E56">
      <w:pPr>
        <w:pStyle w:val="Heading2"/>
        <w:rPr>
          <w:i/>
          <w:iCs/>
        </w:rPr>
      </w:pPr>
      <w:r>
        <w:t>Contact Hour</w:t>
      </w:r>
      <w:r w:rsidR="009A2D37" w:rsidRPr="0075157D">
        <w:t>s</w:t>
      </w:r>
    </w:p>
    <w:p w14:paraId="0325A0F5" w14:textId="36AD0E94" w:rsidR="00C57028" w:rsidRDefault="00C57028" w:rsidP="002D1E56">
      <w:pPr>
        <w:pStyle w:val="BodyText"/>
      </w:pPr>
      <w:r w:rsidRPr="0075157D">
        <w:t xml:space="preserve">Private </w:t>
      </w:r>
      <w:r w:rsidR="002D1E56">
        <w:t>S</w:t>
      </w:r>
      <w:r w:rsidRPr="0075157D">
        <w:t>tudy:</w:t>
      </w:r>
      <w:r w:rsidR="002D1E56">
        <w:tab/>
      </w:r>
      <w:r w:rsidR="002D1E56">
        <w:tab/>
      </w:r>
      <w:r w:rsidR="00492CBB" w:rsidRPr="0075157D">
        <w:t>120</w:t>
      </w:r>
    </w:p>
    <w:p w14:paraId="743338EE" w14:textId="05E26BAB" w:rsidR="002D1E56" w:rsidRPr="0075157D" w:rsidRDefault="002D1E56" w:rsidP="002D1E56">
      <w:pPr>
        <w:pStyle w:val="BodyText"/>
      </w:pPr>
      <w:r>
        <w:t>C</w:t>
      </w:r>
      <w:r w:rsidRPr="0075157D">
        <w:t xml:space="preserve">ontact </w:t>
      </w:r>
      <w:r>
        <w:t>H</w:t>
      </w:r>
      <w:r w:rsidRPr="0075157D">
        <w:t>ours:</w:t>
      </w:r>
      <w:r>
        <w:tab/>
        <w:t xml:space="preserve">  </w:t>
      </w:r>
      <w:r w:rsidRPr="0075157D">
        <w:t>30</w:t>
      </w:r>
    </w:p>
    <w:p w14:paraId="559C9019" w14:textId="0342B150" w:rsidR="00C57028" w:rsidRPr="0075157D" w:rsidRDefault="00C57028" w:rsidP="002D1E56">
      <w:pPr>
        <w:pStyle w:val="BodyText"/>
      </w:pPr>
      <w:r w:rsidRPr="0075157D">
        <w:t>Total:</w:t>
      </w:r>
      <w:r w:rsidR="002D1E56">
        <w:tab/>
      </w:r>
      <w:r w:rsidR="002D1E56">
        <w:tab/>
      </w:r>
      <w:r w:rsidR="002D1E56">
        <w:tab/>
      </w:r>
      <w:r w:rsidR="00492CBB" w:rsidRPr="0075157D">
        <w:t>150</w:t>
      </w:r>
    </w:p>
    <w:p w14:paraId="65F90C05" w14:textId="77777777" w:rsidR="00883204" w:rsidRPr="0075157D" w:rsidRDefault="00EF4933" w:rsidP="002D1E56">
      <w:pPr>
        <w:pStyle w:val="Heading2"/>
        <w:rPr>
          <w:i/>
          <w:iCs/>
        </w:rPr>
      </w:pPr>
      <w:r w:rsidRPr="0075157D">
        <w:t>Assessment methods</w:t>
      </w:r>
    </w:p>
    <w:p w14:paraId="1E4EFD86" w14:textId="5BFFD41F" w:rsidR="00696FF5" w:rsidRPr="0075157D" w:rsidRDefault="002D1E56" w:rsidP="002D1E56">
      <w:pPr>
        <w:pStyle w:val="BodyText"/>
        <w:ind w:hanging="567"/>
      </w:pPr>
      <w:r>
        <w:t>13.1</w:t>
      </w:r>
      <w:r>
        <w:tab/>
      </w:r>
      <w:r w:rsidR="00696FF5" w:rsidRPr="0075157D">
        <w:t>Main assessment methods</w:t>
      </w:r>
    </w:p>
    <w:p w14:paraId="3C222D3E" w14:textId="620501DE" w:rsidR="00A1409D" w:rsidRPr="0075157D" w:rsidRDefault="00C65344" w:rsidP="002D1E56">
      <w:pPr>
        <w:pStyle w:val="BodyText"/>
      </w:pPr>
      <w:r w:rsidRPr="0075157D">
        <w:t>P</w:t>
      </w:r>
      <w:r w:rsidR="00A22416" w:rsidRPr="0075157D">
        <w:t>roblem sets</w:t>
      </w:r>
      <w:r w:rsidR="00A1409D" w:rsidRPr="0075157D">
        <w:t>: 10%</w:t>
      </w:r>
    </w:p>
    <w:p w14:paraId="062E74D3" w14:textId="75257C29" w:rsidR="00A1409D" w:rsidRPr="0075157D" w:rsidRDefault="00A1409D" w:rsidP="002D1E56">
      <w:pPr>
        <w:pStyle w:val="BodyText"/>
      </w:pPr>
      <w:r w:rsidRPr="0075157D">
        <w:t>In Course Test (</w:t>
      </w:r>
      <w:r w:rsidR="00C65344" w:rsidRPr="0075157D">
        <w:t>45</w:t>
      </w:r>
      <w:r w:rsidRPr="0075157D">
        <w:t xml:space="preserve"> minutes): 10%</w:t>
      </w:r>
    </w:p>
    <w:p w14:paraId="3F447933" w14:textId="77777777" w:rsidR="00A1409D" w:rsidRPr="0075157D" w:rsidRDefault="00A1409D" w:rsidP="002D1E56">
      <w:pPr>
        <w:pStyle w:val="BodyText"/>
      </w:pPr>
      <w:r w:rsidRPr="0075157D">
        <w:t>Examination (2 hours): 80%</w:t>
      </w:r>
    </w:p>
    <w:p w14:paraId="39A7191D" w14:textId="77777777" w:rsidR="00696FF5" w:rsidRPr="0075157D" w:rsidRDefault="00696FF5" w:rsidP="00696FF5">
      <w:pPr>
        <w:ind w:left="567" w:hanging="567"/>
        <w:rPr>
          <w:rFonts w:ascii="Arial" w:hAnsi="Arial" w:cs="Arial"/>
          <w:iCs/>
          <w:sz w:val="24"/>
          <w:szCs w:val="24"/>
        </w:rPr>
      </w:pPr>
      <w:r w:rsidRPr="0075157D">
        <w:rPr>
          <w:rFonts w:ascii="Arial" w:hAnsi="Arial" w:cs="Arial"/>
          <w:iCs/>
          <w:sz w:val="24"/>
          <w:szCs w:val="24"/>
        </w:rPr>
        <w:lastRenderedPageBreak/>
        <w:t>13.2</w:t>
      </w:r>
      <w:r w:rsidRPr="0075157D">
        <w:rPr>
          <w:rFonts w:ascii="Arial" w:hAnsi="Arial" w:cs="Arial"/>
          <w:iCs/>
          <w:sz w:val="24"/>
          <w:szCs w:val="24"/>
        </w:rPr>
        <w:tab/>
        <w:t xml:space="preserve">Reassessment methods </w:t>
      </w:r>
    </w:p>
    <w:p w14:paraId="5A7B43DA" w14:textId="612952DC" w:rsidR="00C57028" w:rsidRPr="0075157D" w:rsidRDefault="00492CBB" w:rsidP="002D1E56">
      <w:pPr>
        <w:pStyle w:val="BodyText"/>
        <w:rPr>
          <w:b/>
        </w:rPr>
      </w:pPr>
      <w:r w:rsidRPr="0075157D">
        <w:t>Reassessment Method 100% exam</w:t>
      </w:r>
    </w:p>
    <w:p w14:paraId="46040663" w14:textId="6572CFCE" w:rsidR="00274ED7" w:rsidRPr="0075157D" w:rsidRDefault="006F3F8B" w:rsidP="002D1E56">
      <w:pPr>
        <w:pStyle w:val="Heading2"/>
      </w:pPr>
      <w:r w:rsidRPr="0075157D">
        <w:t xml:space="preserve">Map of </w:t>
      </w:r>
      <w:r w:rsidR="002D1E56" w:rsidRPr="009D52D0">
        <w:t xml:space="preserve">module learning outcomes (sections </w:t>
      </w:r>
      <w:r w:rsidR="002D1E56">
        <w:t>8</w:t>
      </w:r>
      <w:r w:rsidR="002D1E56" w:rsidRPr="009D52D0">
        <w:t xml:space="preserve"> &amp; </w:t>
      </w:r>
      <w:r w:rsidR="002D1E56">
        <w:t>9</w:t>
      </w:r>
      <w:r w:rsidR="002D1E56" w:rsidRPr="009D52D0">
        <w:t>) to learning and teaching methods and methods of assessment (section 1</w:t>
      </w:r>
      <w:r w:rsidR="002D1E56">
        <w:t>3</w:t>
      </w:r>
      <w:r w:rsidR="002D1E56" w:rsidRPr="009D52D0">
        <w:t>)</w:t>
      </w:r>
    </w:p>
    <w:p w14:paraId="741E57EF" w14:textId="77777777" w:rsidR="00F3522F" w:rsidRPr="00F3522F" w:rsidRDefault="00F3522F" w:rsidP="00F3522F">
      <w:pPr>
        <w:pStyle w:val="BodyText"/>
        <w:spacing w:before="480" w:after="360"/>
        <w:rPr>
          <w:b/>
          <w:bCs/>
        </w:rPr>
      </w:pPr>
      <w:bookmarkStart w:id="0" w:name="_Hlk110349908"/>
      <w:bookmarkStart w:id="1" w:name="_Hlk110346818"/>
      <w:bookmarkStart w:id="2" w:name="_Hlk94692352"/>
      <w:r w:rsidRPr="00F3522F">
        <w:rPr>
          <w:b/>
          <w:bCs/>
        </w:rPr>
        <w:t>Module learning outcomes against learning and teaching methods:</w:t>
      </w:r>
    </w:p>
    <w:p w14:paraId="4B20577F" w14:textId="77777777" w:rsidR="00F3522F" w:rsidRPr="00636058" w:rsidRDefault="00F3522F" w:rsidP="00F3522F">
      <w:pPr>
        <w:pStyle w:val="BodyText"/>
      </w:pP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F3522F" w:rsidRPr="009D52D0" w14:paraId="364FA75D" w14:textId="77777777" w:rsidTr="00F3522F">
        <w:trPr>
          <w:cantSplit/>
          <w:tblHeader/>
        </w:trPr>
        <w:tc>
          <w:tcPr>
            <w:tcW w:w="2439" w:type="dxa"/>
            <w:shd w:val="clear" w:color="auto" w:fill="D9D9D9" w:themeFill="background1" w:themeFillShade="D9"/>
          </w:tcPr>
          <w:p w14:paraId="32C97DBA" w14:textId="77777777" w:rsidR="00F3522F" w:rsidRPr="00F3522F" w:rsidRDefault="00F3522F" w:rsidP="00F3522F">
            <w:pPr>
              <w:pStyle w:val="Tableoutcomesideheadings"/>
              <w:ind w:left="0"/>
            </w:pPr>
            <w:bookmarkStart w:id="3" w:name="_Hlk121226359"/>
            <w:r w:rsidRPr="00F3522F">
              <w:t>Module learning outcome</w:t>
            </w:r>
          </w:p>
        </w:tc>
        <w:tc>
          <w:tcPr>
            <w:tcW w:w="567" w:type="dxa"/>
          </w:tcPr>
          <w:p w14:paraId="76E91332" w14:textId="77777777" w:rsidR="00F3522F" w:rsidRPr="00F3522F" w:rsidRDefault="00F3522F" w:rsidP="00F3522F">
            <w:pPr>
              <w:pStyle w:val="BodyText"/>
              <w:spacing w:before="60" w:after="60"/>
              <w:ind w:left="0"/>
              <w:jc w:val="center"/>
              <w:rPr>
                <w:b/>
                <w:bCs/>
                <w:sz w:val="20"/>
                <w:szCs w:val="20"/>
              </w:rPr>
            </w:pPr>
            <w:r w:rsidRPr="00F3522F">
              <w:rPr>
                <w:b/>
                <w:bCs/>
                <w:sz w:val="20"/>
                <w:szCs w:val="20"/>
              </w:rPr>
              <w:t>8.1</w:t>
            </w:r>
          </w:p>
        </w:tc>
        <w:tc>
          <w:tcPr>
            <w:tcW w:w="567" w:type="dxa"/>
          </w:tcPr>
          <w:p w14:paraId="66926211" w14:textId="77777777" w:rsidR="00F3522F" w:rsidRPr="00F3522F" w:rsidRDefault="00F3522F" w:rsidP="00F3522F">
            <w:pPr>
              <w:pStyle w:val="BodyText"/>
              <w:spacing w:before="60" w:after="60"/>
              <w:ind w:left="0"/>
              <w:jc w:val="center"/>
              <w:rPr>
                <w:b/>
                <w:bCs/>
                <w:sz w:val="20"/>
                <w:szCs w:val="20"/>
              </w:rPr>
            </w:pPr>
            <w:r w:rsidRPr="00F3522F">
              <w:rPr>
                <w:b/>
                <w:bCs/>
                <w:sz w:val="20"/>
                <w:szCs w:val="20"/>
              </w:rPr>
              <w:t>8.2</w:t>
            </w:r>
          </w:p>
        </w:tc>
        <w:tc>
          <w:tcPr>
            <w:tcW w:w="567" w:type="dxa"/>
          </w:tcPr>
          <w:p w14:paraId="18C91E97" w14:textId="77777777" w:rsidR="00F3522F" w:rsidRPr="00F3522F" w:rsidRDefault="00F3522F" w:rsidP="00F3522F">
            <w:pPr>
              <w:pStyle w:val="BodyText"/>
              <w:spacing w:before="60" w:after="60"/>
              <w:ind w:left="0"/>
              <w:jc w:val="center"/>
              <w:rPr>
                <w:b/>
                <w:bCs/>
                <w:sz w:val="20"/>
                <w:szCs w:val="20"/>
              </w:rPr>
            </w:pPr>
            <w:r w:rsidRPr="00F3522F">
              <w:rPr>
                <w:b/>
                <w:bCs/>
                <w:sz w:val="20"/>
                <w:szCs w:val="20"/>
              </w:rPr>
              <w:t>8.3</w:t>
            </w:r>
          </w:p>
        </w:tc>
        <w:tc>
          <w:tcPr>
            <w:tcW w:w="567" w:type="dxa"/>
          </w:tcPr>
          <w:p w14:paraId="76A7365B" w14:textId="77777777" w:rsidR="00F3522F" w:rsidRPr="00F3522F" w:rsidRDefault="00F3522F" w:rsidP="00F3522F">
            <w:pPr>
              <w:pStyle w:val="BodyText"/>
              <w:spacing w:before="60" w:after="60"/>
              <w:ind w:left="0"/>
              <w:jc w:val="center"/>
              <w:rPr>
                <w:b/>
                <w:bCs/>
                <w:sz w:val="20"/>
                <w:szCs w:val="20"/>
              </w:rPr>
            </w:pPr>
            <w:r w:rsidRPr="00F3522F">
              <w:rPr>
                <w:b/>
                <w:bCs/>
                <w:sz w:val="20"/>
                <w:szCs w:val="20"/>
              </w:rPr>
              <w:t>8.4</w:t>
            </w:r>
          </w:p>
        </w:tc>
        <w:tc>
          <w:tcPr>
            <w:tcW w:w="567" w:type="dxa"/>
          </w:tcPr>
          <w:p w14:paraId="4F092E7B" w14:textId="77777777" w:rsidR="00F3522F" w:rsidRPr="00F3522F" w:rsidRDefault="00F3522F" w:rsidP="00F3522F">
            <w:pPr>
              <w:pStyle w:val="BodyText"/>
              <w:spacing w:before="60" w:after="60"/>
              <w:ind w:left="0"/>
              <w:jc w:val="center"/>
              <w:rPr>
                <w:b/>
                <w:bCs/>
                <w:sz w:val="20"/>
                <w:szCs w:val="20"/>
              </w:rPr>
            </w:pPr>
            <w:r w:rsidRPr="00F3522F">
              <w:rPr>
                <w:b/>
                <w:bCs/>
                <w:sz w:val="20"/>
                <w:szCs w:val="20"/>
              </w:rPr>
              <w:t>9.1</w:t>
            </w:r>
          </w:p>
        </w:tc>
        <w:tc>
          <w:tcPr>
            <w:tcW w:w="567" w:type="dxa"/>
          </w:tcPr>
          <w:p w14:paraId="2E490C63" w14:textId="77777777" w:rsidR="00F3522F" w:rsidRPr="00F3522F" w:rsidRDefault="00F3522F" w:rsidP="00F3522F">
            <w:pPr>
              <w:pStyle w:val="BodyText"/>
              <w:spacing w:before="60" w:after="60"/>
              <w:ind w:left="0"/>
              <w:jc w:val="center"/>
              <w:rPr>
                <w:b/>
                <w:bCs/>
                <w:sz w:val="20"/>
                <w:szCs w:val="20"/>
              </w:rPr>
            </w:pPr>
            <w:r w:rsidRPr="00F3522F">
              <w:rPr>
                <w:b/>
                <w:bCs/>
                <w:sz w:val="20"/>
                <w:szCs w:val="20"/>
              </w:rPr>
              <w:t>9.2</w:t>
            </w:r>
          </w:p>
        </w:tc>
        <w:tc>
          <w:tcPr>
            <w:tcW w:w="567" w:type="dxa"/>
          </w:tcPr>
          <w:p w14:paraId="436CF46D" w14:textId="77777777" w:rsidR="00F3522F" w:rsidRPr="00F3522F" w:rsidRDefault="00F3522F" w:rsidP="00F3522F">
            <w:pPr>
              <w:pStyle w:val="BodyText"/>
              <w:spacing w:before="60" w:after="60"/>
              <w:ind w:left="0"/>
              <w:jc w:val="center"/>
              <w:rPr>
                <w:b/>
                <w:bCs/>
                <w:sz w:val="20"/>
                <w:szCs w:val="20"/>
              </w:rPr>
            </w:pPr>
            <w:r w:rsidRPr="00F3522F">
              <w:rPr>
                <w:b/>
                <w:bCs/>
                <w:sz w:val="20"/>
                <w:szCs w:val="20"/>
              </w:rPr>
              <w:t>9.3</w:t>
            </w:r>
          </w:p>
        </w:tc>
      </w:tr>
      <w:tr w:rsidR="00F3522F" w:rsidRPr="009D52D0" w14:paraId="61334A3F" w14:textId="77777777" w:rsidTr="00F3522F">
        <w:tc>
          <w:tcPr>
            <w:tcW w:w="2439" w:type="dxa"/>
          </w:tcPr>
          <w:p w14:paraId="28D458C1" w14:textId="4C3653E5" w:rsidR="00F3522F" w:rsidRPr="00F3522F" w:rsidRDefault="00F3522F" w:rsidP="00F3522F">
            <w:pPr>
              <w:pStyle w:val="Tableoutcomesideheadings"/>
              <w:ind w:left="0"/>
            </w:pPr>
            <w:r w:rsidRPr="007D6E64">
              <w:t>Private Study</w:t>
            </w:r>
          </w:p>
        </w:tc>
        <w:tc>
          <w:tcPr>
            <w:tcW w:w="567" w:type="dxa"/>
          </w:tcPr>
          <w:p w14:paraId="755D9FE7" w14:textId="5B3D4E48" w:rsidR="00F3522F" w:rsidRPr="00F3522F" w:rsidRDefault="00F3522F" w:rsidP="00F3522F">
            <w:pPr>
              <w:pStyle w:val="Tableoutcomesideheadings"/>
              <w:ind w:left="0"/>
              <w:jc w:val="center"/>
            </w:pPr>
            <w:r w:rsidRPr="007D6E64">
              <w:t>x</w:t>
            </w:r>
          </w:p>
        </w:tc>
        <w:tc>
          <w:tcPr>
            <w:tcW w:w="567" w:type="dxa"/>
          </w:tcPr>
          <w:p w14:paraId="23CC5F2D" w14:textId="59F1150B" w:rsidR="00F3522F" w:rsidRPr="00F3522F" w:rsidRDefault="00F3522F" w:rsidP="00F3522F">
            <w:pPr>
              <w:pStyle w:val="Tableoutcomesideheadings"/>
              <w:ind w:left="0"/>
              <w:jc w:val="center"/>
            </w:pPr>
            <w:r w:rsidRPr="007D6E64">
              <w:t>x</w:t>
            </w:r>
          </w:p>
        </w:tc>
        <w:tc>
          <w:tcPr>
            <w:tcW w:w="567" w:type="dxa"/>
          </w:tcPr>
          <w:p w14:paraId="726BF75E" w14:textId="10C12EA0" w:rsidR="00F3522F" w:rsidRPr="00F3522F" w:rsidRDefault="00F3522F" w:rsidP="00F3522F">
            <w:pPr>
              <w:pStyle w:val="Tableoutcomesideheadings"/>
              <w:ind w:left="0"/>
              <w:jc w:val="center"/>
            </w:pPr>
            <w:r w:rsidRPr="007D6E64">
              <w:t>x</w:t>
            </w:r>
          </w:p>
        </w:tc>
        <w:tc>
          <w:tcPr>
            <w:tcW w:w="567" w:type="dxa"/>
          </w:tcPr>
          <w:p w14:paraId="32FDCFEE" w14:textId="5E266B9E" w:rsidR="00F3522F" w:rsidRPr="00F3522F" w:rsidRDefault="00F3522F" w:rsidP="00F3522F">
            <w:pPr>
              <w:pStyle w:val="Tableoutcomesideheadings"/>
              <w:ind w:left="0"/>
              <w:jc w:val="center"/>
            </w:pPr>
            <w:r w:rsidRPr="007D6E64">
              <w:t>x</w:t>
            </w:r>
          </w:p>
        </w:tc>
        <w:tc>
          <w:tcPr>
            <w:tcW w:w="567" w:type="dxa"/>
          </w:tcPr>
          <w:p w14:paraId="0799829E" w14:textId="77777777" w:rsidR="00F3522F" w:rsidRPr="00F3522F" w:rsidRDefault="00F3522F" w:rsidP="00F3522F">
            <w:pPr>
              <w:pStyle w:val="Tableoutcomesideheadings"/>
              <w:ind w:left="0"/>
              <w:jc w:val="center"/>
            </w:pPr>
          </w:p>
        </w:tc>
        <w:tc>
          <w:tcPr>
            <w:tcW w:w="567" w:type="dxa"/>
          </w:tcPr>
          <w:p w14:paraId="2734AE82" w14:textId="02FB6EC9" w:rsidR="00F3522F" w:rsidRPr="00F3522F" w:rsidRDefault="00F3522F" w:rsidP="00F3522F">
            <w:pPr>
              <w:pStyle w:val="Tableoutcomesideheadings"/>
              <w:ind w:left="0"/>
              <w:jc w:val="center"/>
            </w:pPr>
            <w:r w:rsidRPr="007D6E64">
              <w:t>x</w:t>
            </w:r>
          </w:p>
        </w:tc>
        <w:tc>
          <w:tcPr>
            <w:tcW w:w="567" w:type="dxa"/>
          </w:tcPr>
          <w:p w14:paraId="2B17732A" w14:textId="02D5B518" w:rsidR="00F3522F" w:rsidRPr="00F3522F" w:rsidRDefault="00F3522F" w:rsidP="00F3522F">
            <w:pPr>
              <w:pStyle w:val="Tableoutcomesideheadings"/>
              <w:ind w:left="0"/>
              <w:jc w:val="center"/>
            </w:pPr>
            <w:r w:rsidRPr="007D6E64">
              <w:t>x</w:t>
            </w:r>
          </w:p>
        </w:tc>
      </w:tr>
      <w:tr w:rsidR="00F3522F" w:rsidRPr="009D52D0" w14:paraId="5B5A5EF4" w14:textId="77777777" w:rsidTr="00F3522F">
        <w:tc>
          <w:tcPr>
            <w:tcW w:w="2439" w:type="dxa"/>
          </w:tcPr>
          <w:p w14:paraId="07B44FDF" w14:textId="6538B0E7" w:rsidR="00F3522F" w:rsidRPr="00F3522F" w:rsidRDefault="00F3522F" w:rsidP="00F3522F">
            <w:pPr>
              <w:pStyle w:val="Tableoutcomesideheadings"/>
              <w:ind w:left="0"/>
            </w:pPr>
            <w:r w:rsidRPr="007D6E64">
              <w:t>Lectures</w:t>
            </w:r>
          </w:p>
        </w:tc>
        <w:tc>
          <w:tcPr>
            <w:tcW w:w="567" w:type="dxa"/>
          </w:tcPr>
          <w:p w14:paraId="2B68D097" w14:textId="4AE783DB" w:rsidR="00F3522F" w:rsidRPr="00F3522F" w:rsidRDefault="00F3522F" w:rsidP="00F3522F">
            <w:pPr>
              <w:pStyle w:val="Tableoutcomesideheadings"/>
              <w:ind w:left="0"/>
              <w:jc w:val="center"/>
            </w:pPr>
            <w:r w:rsidRPr="007D6E64">
              <w:t>x</w:t>
            </w:r>
          </w:p>
        </w:tc>
        <w:tc>
          <w:tcPr>
            <w:tcW w:w="567" w:type="dxa"/>
          </w:tcPr>
          <w:p w14:paraId="6F16FBA2" w14:textId="2EBA3EA7" w:rsidR="00F3522F" w:rsidRPr="00F3522F" w:rsidRDefault="00F3522F" w:rsidP="00F3522F">
            <w:pPr>
              <w:pStyle w:val="Tableoutcomesideheadings"/>
              <w:ind w:left="0"/>
              <w:jc w:val="center"/>
            </w:pPr>
            <w:r w:rsidRPr="007D6E64">
              <w:t>x</w:t>
            </w:r>
          </w:p>
        </w:tc>
        <w:tc>
          <w:tcPr>
            <w:tcW w:w="567" w:type="dxa"/>
          </w:tcPr>
          <w:p w14:paraId="5FC05A54" w14:textId="3A025B32" w:rsidR="00F3522F" w:rsidRPr="00F3522F" w:rsidRDefault="00F3522F" w:rsidP="00F3522F">
            <w:pPr>
              <w:pStyle w:val="Tableoutcomesideheadings"/>
              <w:ind w:left="0"/>
              <w:jc w:val="center"/>
            </w:pPr>
            <w:r w:rsidRPr="007D6E64">
              <w:t>x</w:t>
            </w:r>
          </w:p>
        </w:tc>
        <w:tc>
          <w:tcPr>
            <w:tcW w:w="567" w:type="dxa"/>
          </w:tcPr>
          <w:p w14:paraId="715638AE" w14:textId="07714E6E" w:rsidR="00F3522F" w:rsidRPr="00F3522F" w:rsidRDefault="00F3522F" w:rsidP="00F3522F">
            <w:pPr>
              <w:pStyle w:val="Tableoutcomesideheadings"/>
              <w:ind w:left="0"/>
              <w:jc w:val="center"/>
            </w:pPr>
            <w:r w:rsidRPr="007D6E64">
              <w:t>x</w:t>
            </w:r>
          </w:p>
        </w:tc>
        <w:tc>
          <w:tcPr>
            <w:tcW w:w="567" w:type="dxa"/>
          </w:tcPr>
          <w:p w14:paraId="30AEF8BE" w14:textId="77777777" w:rsidR="00F3522F" w:rsidRPr="00F3522F" w:rsidRDefault="00F3522F" w:rsidP="00F3522F">
            <w:pPr>
              <w:pStyle w:val="Tableoutcomesideheadings"/>
              <w:ind w:left="0"/>
              <w:jc w:val="center"/>
            </w:pPr>
          </w:p>
        </w:tc>
        <w:tc>
          <w:tcPr>
            <w:tcW w:w="567" w:type="dxa"/>
          </w:tcPr>
          <w:p w14:paraId="43895BCD" w14:textId="77777777" w:rsidR="00F3522F" w:rsidRPr="00F3522F" w:rsidRDefault="00F3522F" w:rsidP="00F3522F">
            <w:pPr>
              <w:pStyle w:val="Tableoutcomesideheadings"/>
              <w:ind w:left="0"/>
              <w:jc w:val="center"/>
            </w:pPr>
          </w:p>
        </w:tc>
        <w:tc>
          <w:tcPr>
            <w:tcW w:w="567" w:type="dxa"/>
          </w:tcPr>
          <w:p w14:paraId="0793ABF5" w14:textId="6DEAB79D" w:rsidR="00F3522F" w:rsidRPr="00F3522F" w:rsidRDefault="00F3522F" w:rsidP="00F3522F">
            <w:pPr>
              <w:pStyle w:val="Tableoutcomesideheadings"/>
              <w:ind w:left="0"/>
              <w:jc w:val="center"/>
            </w:pPr>
            <w:r w:rsidRPr="007D6E64">
              <w:t>x</w:t>
            </w:r>
          </w:p>
        </w:tc>
      </w:tr>
      <w:tr w:rsidR="00F3522F" w:rsidRPr="009D52D0" w14:paraId="0C9BD937" w14:textId="77777777" w:rsidTr="00F3522F">
        <w:tc>
          <w:tcPr>
            <w:tcW w:w="2439" w:type="dxa"/>
          </w:tcPr>
          <w:p w14:paraId="34F9A769" w14:textId="4BE9441D" w:rsidR="00F3522F" w:rsidRPr="00F3522F" w:rsidRDefault="00F3522F" w:rsidP="00F3522F">
            <w:pPr>
              <w:pStyle w:val="Tableoutcomesideheadings"/>
              <w:ind w:left="0"/>
            </w:pPr>
            <w:r w:rsidRPr="007D6E64">
              <w:t>Seminars</w:t>
            </w:r>
          </w:p>
        </w:tc>
        <w:tc>
          <w:tcPr>
            <w:tcW w:w="567" w:type="dxa"/>
          </w:tcPr>
          <w:p w14:paraId="689828C8" w14:textId="4EE6DC7C" w:rsidR="00F3522F" w:rsidRPr="00F3522F" w:rsidRDefault="00F3522F" w:rsidP="00F3522F">
            <w:pPr>
              <w:pStyle w:val="Tableoutcomesideheadings"/>
              <w:ind w:left="0"/>
              <w:jc w:val="center"/>
            </w:pPr>
            <w:r w:rsidRPr="007D6E64">
              <w:t>x</w:t>
            </w:r>
          </w:p>
        </w:tc>
        <w:tc>
          <w:tcPr>
            <w:tcW w:w="567" w:type="dxa"/>
          </w:tcPr>
          <w:p w14:paraId="30615EFE" w14:textId="09A5539F" w:rsidR="00F3522F" w:rsidRPr="00F3522F" w:rsidRDefault="00F3522F" w:rsidP="00F3522F">
            <w:pPr>
              <w:pStyle w:val="Tableoutcomesideheadings"/>
              <w:ind w:left="0"/>
              <w:jc w:val="center"/>
            </w:pPr>
            <w:r w:rsidRPr="007D6E64">
              <w:t>x</w:t>
            </w:r>
          </w:p>
        </w:tc>
        <w:tc>
          <w:tcPr>
            <w:tcW w:w="567" w:type="dxa"/>
          </w:tcPr>
          <w:p w14:paraId="2286040D" w14:textId="2685B4AF" w:rsidR="00F3522F" w:rsidRPr="00F3522F" w:rsidRDefault="00F3522F" w:rsidP="00F3522F">
            <w:pPr>
              <w:pStyle w:val="Tableoutcomesideheadings"/>
              <w:ind w:left="0"/>
              <w:jc w:val="center"/>
            </w:pPr>
            <w:r w:rsidRPr="007D6E64">
              <w:t>x</w:t>
            </w:r>
          </w:p>
        </w:tc>
        <w:tc>
          <w:tcPr>
            <w:tcW w:w="567" w:type="dxa"/>
          </w:tcPr>
          <w:p w14:paraId="0A562F08" w14:textId="727160B5" w:rsidR="00F3522F" w:rsidRPr="00F3522F" w:rsidRDefault="00F3522F" w:rsidP="00F3522F">
            <w:pPr>
              <w:pStyle w:val="Tableoutcomesideheadings"/>
              <w:ind w:left="0"/>
              <w:jc w:val="center"/>
            </w:pPr>
            <w:r w:rsidRPr="007D6E64">
              <w:t>x</w:t>
            </w:r>
          </w:p>
        </w:tc>
        <w:tc>
          <w:tcPr>
            <w:tcW w:w="567" w:type="dxa"/>
          </w:tcPr>
          <w:p w14:paraId="504AC385" w14:textId="0297F65F" w:rsidR="00F3522F" w:rsidRPr="00F3522F" w:rsidRDefault="00F3522F" w:rsidP="00F3522F">
            <w:pPr>
              <w:pStyle w:val="Tableoutcomesideheadings"/>
              <w:ind w:left="0"/>
              <w:jc w:val="center"/>
            </w:pPr>
            <w:r w:rsidRPr="007D6E64">
              <w:t>x</w:t>
            </w:r>
          </w:p>
        </w:tc>
        <w:tc>
          <w:tcPr>
            <w:tcW w:w="567" w:type="dxa"/>
          </w:tcPr>
          <w:p w14:paraId="5F3BAEF7" w14:textId="1AD33C4F" w:rsidR="00F3522F" w:rsidRPr="00F3522F" w:rsidRDefault="00F3522F" w:rsidP="00F3522F">
            <w:pPr>
              <w:pStyle w:val="Tableoutcomesideheadings"/>
              <w:ind w:left="0"/>
              <w:jc w:val="center"/>
            </w:pPr>
            <w:r w:rsidRPr="007D6E64">
              <w:t>x</w:t>
            </w:r>
          </w:p>
        </w:tc>
        <w:tc>
          <w:tcPr>
            <w:tcW w:w="567" w:type="dxa"/>
          </w:tcPr>
          <w:p w14:paraId="0FB417EB" w14:textId="7E126638" w:rsidR="00F3522F" w:rsidRPr="00F3522F" w:rsidRDefault="00F3522F" w:rsidP="00F3522F">
            <w:pPr>
              <w:pStyle w:val="Tableoutcomesideheadings"/>
              <w:ind w:left="0"/>
              <w:jc w:val="center"/>
            </w:pPr>
            <w:r w:rsidRPr="007D6E64">
              <w:t>x</w:t>
            </w:r>
          </w:p>
        </w:tc>
      </w:tr>
    </w:tbl>
    <w:p w14:paraId="06B791DB" w14:textId="77777777" w:rsidR="00F3522F" w:rsidRPr="00F3522F" w:rsidRDefault="00F3522F" w:rsidP="00F3522F">
      <w:pPr>
        <w:pStyle w:val="BodyText"/>
        <w:spacing w:before="480" w:after="360"/>
        <w:rPr>
          <w:b/>
          <w:bCs/>
        </w:rPr>
      </w:pPr>
      <w:bookmarkStart w:id="4" w:name="_Hlk94692647"/>
      <w:bookmarkEnd w:id="2"/>
      <w:bookmarkEnd w:id="3"/>
      <w:r w:rsidRPr="00F3522F">
        <w:rPr>
          <w:b/>
          <w:bCs/>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F3522F" w:rsidRPr="009D52D0" w14:paraId="0CFA0880" w14:textId="77777777" w:rsidTr="00F3522F">
        <w:trPr>
          <w:tblHeader/>
        </w:trPr>
        <w:tc>
          <w:tcPr>
            <w:tcW w:w="2405" w:type="dxa"/>
            <w:shd w:val="clear" w:color="auto" w:fill="D9D9D9" w:themeFill="background1" w:themeFillShade="D9"/>
          </w:tcPr>
          <w:bookmarkEnd w:id="4"/>
          <w:p w14:paraId="4B63376E" w14:textId="77777777" w:rsidR="00F3522F" w:rsidRPr="009D52D0" w:rsidRDefault="00F3522F" w:rsidP="00F3522F">
            <w:pPr>
              <w:pStyle w:val="Tableoutcomesideheadings"/>
              <w:ind w:left="0"/>
            </w:pPr>
            <w:r w:rsidRPr="009D52D0">
              <w:t>Module learning outcome</w:t>
            </w:r>
          </w:p>
        </w:tc>
        <w:tc>
          <w:tcPr>
            <w:tcW w:w="567" w:type="dxa"/>
          </w:tcPr>
          <w:p w14:paraId="38524BA1" w14:textId="77777777" w:rsidR="00F3522F" w:rsidRPr="009D52D0" w:rsidRDefault="00F3522F" w:rsidP="00F3522F">
            <w:pPr>
              <w:pStyle w:val="Tableoutcomesideheadings"/>
              <w:ind w:left="0"/>
              <w:jc w:val="center"/>
            </w:pPr>
            <w:r w:rsidRPr="009D52D0">
              <w:t>8.1</w:t>
            </w:r>
          </w:p>
        </w:tc>
        <w:tc>
          <w:tcPr>
            <w:tcW w:w="567" w:type="dxa"/>
          </w:tcPr>
          <w:p w14:paraId="482C4311" w14:textId="77777777" w:rsidR="00F3522F" w:rsidRPr="009D52D0" w:rsidRDefault="00F3522F" w:rsidP="00F3522F">
            <w:pPr>
              <w:pStyle w:val="Tableoutcomesideheadings"/>
              <w:ind w:left="0"/>
              <w:jc w:val="center"/>
            </w:pPr>
            <w:r w:rsidRPr="009D52D0">
              <w:t>8.2</w:t>
            </w:r>
          </w:p>
        </w:tc>
        <w:tc>
          <w:tcPr>
            <w:tcW w:w="709" w:type="dxa"/>
          </w:tcPr>
          <w:p w14:paraId="6515CC60" w14:textId="77777777" w:rsidR="00F3522F" w:rsidRPr="009D52D0" w:rsidRDefault="00F3522F" w:rsidP="00F3522F">
            <w:pPr>
              <w:pStyle w:val="Tableoutcomesideheadings"/>
              <w:ind w:left="0"/>
              <w:jc w:val="center"/>
            </w:pPr>
            <w:r w:rsidRPr="009D52D0">
              <w:t>8.3</w:t>
            </w:r>
          </w:p>
        </w:tc>
        <w:tc>
          <w:tcPr>
            <w:tcW w:w="567" w:type="dxa"/>
          </w:tcPr>
          <w:p w14:paraId="104E599E" w14:textId="77777777" w:rsidR="00F3522F" w:rsidRPr="009D52D0" w:rsidRDefault="00F3522F" w:rsidP="00F3522F">
            <w:pPr>
              <w:pStyle w:val="Tableoutcomesideheadings"/>
              <w:ind w:left="0"/>
              <w:jc w:val="center"/>
            </w:pPr>
            <w:r w:rsidRPr="009D52D0">
              <w:t>8.4</w:t>
            </w:r>
          </w:p>
        </w:tc>
        <w:tc>
          <w:tcPr>
            <w:tcW w:w="567" w:type="dxa"/>
          </w:tcPr>
          <w:p w14:paraId="69AD463E" w14:textId="77777777" w:rsidR="00F3522F" w:rsidRPr="009D52D0" w:rsidRDefault="00F3522F" w:rsidP="00F3522F">
            <w:pPr>
              <w:pStyle w:val="Tableoutcomesideheadings"/>
              <w:ind w:left="0"/>
              <w:jc w:val="center"/>
            </w:pPr>
            <w:r w:rsidRPr="009D52D0">
              <w:t>9.1</w:t>
            </w:r>
          </w:p>
        </w:tc>
        <w:tc>
          <w:tcPr>
            <w:tcW w:w="567" w:type="dxa"/>
          </w:tcPr>
          <w:p w14:paraId="376CB19C" w14:textId="77777777" w:rsidR="00F3522F" w:rsidRPr="009D52D0" w:rsidRDefault="00F3522F" w:rsidP="00F3522F">
            <w:pPr>
              <w:pStyle w:val="Tableoutcomesideheadings"/>
              <w:ind w:left="0"/>
              <w:jc w:val="center"/>
            </w:pPr>
            <w:r w:rsidRPr="009D52D0">
              <w:t>9.2</w:t>
            </w:r>
          </w:p>
        </w:tc>
        <w:tc>
          <w:tcPr>
            <w:tcW w:w="567" w:type="dxa"/>
          </w:tcPr>
          <w:p w14:paraId="5FE67587" w14:textId="77777777" w:rsidR="00F3522F" w:rsidRPr="009D52D0" w:rsidRDefault="00F3522F" w:rsidP="00F3522F">
            <w:pPr>
              <w:pStyle w:val="Tableoutcomesideheadings"/>
              <w:ind w:left="0"/>
              <w:jc w:val="center"/>
            </w:pPr>
            <w:r w:rsidRPr="009D52D0">
              <w:t>9.3</w:t>
            </w:r>
          </w:p>
        </w:tc>
      </w:tr>
      <w:tr w:rsidR="00F3522F" w:rsidRPr="009D52D0" w14:paraId="0BF3972A" w14:textId="77777777" w:rsidTr="00F3522F">
        <w:trPr>
          <w:tblHeader/>
        </w:trPr>
        <w:tc>
          <w:tcPr>
            <w:tcW w:w="2405" w:type="dxa"/>
          </w:tcPr>
          <w:p w14:paraId="6F24BD16" w14:textId="274D9D9E" w:rsidR="00F3522F" w:rsidRPr="00F3522F" w:rsidRDefault="00F3522F" w:rsidP="00F3522F">
            <w:pPr>
              <w:pStyle w:val="Tableoutcomesideheadings"/>
              <w:ind w:left="0"/>
            </w:pPr>
            <w:r w:rsidRPr="00026499">
              <w:t>Problem Sets</w:t>
            </w:r>
          </w:p>
        </w:tc>
        <w:tc>
          <w:tcPr>
            <w:tcW w:w="567" w:type="dxa"/>
          </w:tcPr>
          <w:p w14:paraId="6F76E3BC" w14:textId="67A4732A" w:rsidR="00F3522F" w:rsidRPr="00F3522F" w:rsidRDefault="00F3522F" w:rsidP="00F3522F">
            <w:pPr>
              <w:pStyle w:val="Tableoutcomesideheadings"/>
              <w:ind w:left="0"/>
              <w:jc w:val="center"/>
            </w:pPr>
            <w:r w:rsidRPr="00026499">
              <w:t>x</w:t>
            </w:r>
          </w:p>
        </w:tc>
        <w:tc>
          <w:tcPr>
            <w:tcW w:w="567" w:type="dxa"/>
          </w:tcPr>
          <w:p w14:paraId="3F0B8F1E" w14:textId="2AE2F803" w:rsidR="00F3522F" w:rsidRPr="00F3522F" w:rsidRDefault="00F3522F" w:rsidP="00F3522F">
            <w:pPr>
              <w:pStyle w:val="Tableoutcomesideheadings"/>
              <w:ind w:left="0"/>
              <w:jc w:val="center"/>
            </w:pPr>
            <w:r w:rsidRPr="00026499">
              <w:t>x</w:t>
            </w:r>
          </w:p>
        </w:tc>
        <w:tc>
          <w:tcPr>
            <w:tcW w:w="709" w:type="dxa"/>
          </w:tcPr>
          <w:p w14:paraId="397E5A6D" w14:textId="60515830" w:rsidR="00F3522F" w:rsidRPr="00F3522F" w:rsidRDefault="00F3522F" w:rsidP="00F3522F">
            <w:pPr>
              <w:pStyle w:val="Tableoutcomesideheadings"/>
              <w:ind w:left="0"/>
              <w:jc w:val="center"/>
            </w:pPr>
            <w:r w:rsidRPr="00026499">
              <w:t>x</w:t>
            </w:r>
          </w:p>
        </w:tc>
        <w:tc>
          <w:tcPr>
            <w:tcW w:w="567" w:type="dxa"/>
          </w:tcPr>
          <w:p w14:paraId="3F5FC9FC" w14:textId="2BB1261F" w:rsidR="00F3522F" w:rsidRPr="00F3522F" w:rsidRDefault="00F3522F" w:rsidP="00F3522F">
            <w:pPr>
              <w:pStyle w:val="Tableoutcomesideheadings"/>
              <w:ind w:left="0"/>
              <w:jc w:val="center"/>
            </w:pPr>
            <w:r w:rsidRPr="00026499">
              <w:t>x</w:t>
            </w:r>
          </w:p>
        </w:tc>
        <w:tc>
          <w:tcPr>
            <w:tcW w:w="567" w:type="dxa"/>
          </w:tcPr>
          <w:p w14:paraId="7004C608" w14:textId="46103054" w:rsidR="00F3522F" w:rsidRPr="00F3522F" w:rsidRDefault="00F3522F" w:rsidP="00F3522F">
            <w:pPr>
              <w:pStyle w:val="Tableoutcomesideheadings"/>
              <w:ind w:left="0"/>
              <w:jc w:val="center"/>
            </w:pPr>
            <w:r w:rsidRPr="00026499">
              <w:t>x</w:t>
            </w:r>
          </w:p>
        </w:tc>
        <w:tc>
          <w:tcPr>
            <w:tcW w:w="567" w:type="dxa"/>
          </w:tcPr>
          <w:p w14:paraId="022E1353" w14:textId="761AE1C6" w:rsidR="00F3522F" w:rsidRPr="00F3522F" w:rsidRDefault="00F3522F" w:rsidP="00F3522F">
            <w:pPr>
              <w:pStyle w:val="Tableoutcomesideheadings"/>
              <w:ind w:left="0"/>
              <w:jc w:val="center"/>
            </w:pPr>
            <w:r w:rsidRPr="00026499">
              <w:t>x</w:t>
            </w:r>
          </w:p>
        </w:tc>
        <w:tc>
          <w:tcPr>
            <w:tcW w:w="567" w:type="dxa"/>
          </w:tcPr>
          <w:p w14:paraId="3CA818B7" w14:textId="77777777" w:rsidR="00F3522F" w:rsidRPr="00F3522F" w:rsidRDefault="00F3522F" w:rsidP="00F3522F">
            <w:pPr>
              <w:pStyle w:val="Tableoutcomesideheadings"/>
              <w:ind w:left="0"/>
              <w:jc w:val="center"/>
            </w:pPr>
          </w:p>
        </w:tc>
      </w:tr>
      <w:tr w:rsidR="00F3522F" w:rsidRPr="009D52D0" w14:paraId="23408EB6" w14:textId="77777777" w:rsidTr="00F3522F">
        <w:trPr>
          <w:tblHeader/>
        </w:trPr>
        <w:tc>
          <w:tcPr>
            <w:tcW w:w="2405" w:type="dxa"/>
          </w:tcPr>
          <w:p w14:paraId="1AFAE8F2" w14:textId="42B0BF52" w:rsidR="00F3522F" w:rsidRPr="00F3522F" w:rsidRDefault="00F3522F" w:rsidP="00F3522F">
            <w:pPr>
              <w:pStyle w:val="Tableoutcomesideheadings"/>
              <w:ind w:left="0"/>
            </w:pPr>
            <w:r w:rsidRPr="00026499">
              <w:t>In-course test</w:t>
            </w:r>
          </w:p>
        </w:tc>
        <w:tc>
          <w:tcPr>
            <w:tcW w:w="567" w:type="dxa"/>
          </w:tcPr>
          <w:p w14:paraId="26C758B8" w14:textId="11A8891B" w:rsidR="00F3522F" w:rsidRPr="00F3522F" w:rsidRDefault="00F3522F" w:rsidP="00F3522F">
            <w:pPr>
              <w:pStyle w:val="Tableoutcomesideheadings"/>
              <w:ind w:left="0"/>
              <w:jc w:val="center"/>
            </w:pPr>
            <w:r w:rsidRPr="00026499">
              <w:t>x</w:t>
            </w:r>
          </w:p>
        </w:tc>
        <w:tc>
          <w:tcPr>
            <w:tcW w:w="567" w:type="dxa"/>
          </w:tcPr>
          <w:p w14:paraId="48A3454A" w14:textId="09A08A48" w:rsidR="00F3522F" w:rsidRPr="00F3522F" w:rsidRDefault="00F3522F" w:rsidP="00F3522F">
            <w:pPr>
              <w:pStyle w:val="Tableoutcomesideheadings"/>
              <w:ind w:left="0"/>
              <w:jc w:val="center"/>
            </w:pPr>
            <w:r w:rsidRPr="00026499">
              <w:t>x</w:t>
            </w:r>
          </w:p>
        </w:tc>
        <w:tc>
          <w:tcPr>
            <w:tcW w:w="709" w:type="dxa"/>
          </w:tcPr>
          <w:p w14:paraId="3AA5F56F" w14:textId="6EE5ABD8" w:rsidR="00F3522F" w:rsidRPr="00F3522F" w:rsidRDefault="00F3522F" w:rsidP="00F3522F">
            <w:pPr>
              <w:pStyle w:val="Tableoutcomesideheadings"/>
              <w:ind w:left="0"/>
              <w:jc w:val="center"/>
            </w:pPr>
            <w:r w:rsidRPr="00026499">
              <w:t>x</w:t>
            </w:r>
          </w:p>
        </w:tc>
        <w:tc>
          <w:tcPr>
            <w:tcW w:w="567" w:type="dxa"/>
          </w:tcPr>
          <w:p w14:paraId="0BC57D18" w14:textId="7BFE6671" w:rsidR="00F3522F" w:rsidRPr="00F3522F" w:rsidRDefault="00F3522F" w:rsidP="00F3522F">
            <w:pPr>
              <w:pStyle w:val="Tableoutcomesideheadings"/>
              <w:ind w:left="0"/>
              <w:jc w:val="center"/>
            </w:pPr>
            <w:r w:rsidRPr="00026499">
              <w:t>x</w:t>
            </w:r>
          </w:p>
        </w:tc>
        <w:tc>
          <w:tcPr>
            <w:tcW w:w="567" w:type="dxa"/>
          </w:tcPr>
          <w:p w14:paraId="275B6AF6" w14:textId="69ACE952" w:rsidR="00F3522F" w:rsidRPr="00F3522F" w:rsidRDefault="00F3522F" w:rsidP="00F3522F">
            <w:pPr>
              <w:pStyle w:val="Tableoutcomesideheadings"/>
              <w:ind w:left="0"/>
              <w:jc w:val="center"/>
            </w:pPr>
            <w:r w:rsidRPr="00026499">
              <w:t>x</w:t>
            </w:r>
          </w:p>
        </w:tc>
        <w:tc>
          <w:tcPr>
            <w:tcW w:w="567" w:type="dxa"/>
          </w:tcPr>
          <w:p w14:paraId="79232D37" w14:textId="297FDAC3" w:rsidR="00F3522F" w:rsidRPr="00F3522F" w:rsidRDefault="00F3522F" w:rsidP="00F3522F">
            <w:pPr>
              <w:pStyle w:val="Tableoutcomesideheadings"/>
              <w:ind w:left="0"/>
              <w:jc w:val="center"/>
            </w:pPr>
            <w:r w:rsidRPr="00026499">
              <w:t>x</w:t>
            </w:r>
          </w:p>
        </w:tc>
        <w:tc>
          <w:tcPr>
            <w:tcW w:w="567" w:type="dxa"/>
          </w:tcPr>
          <w:p w14:paraId="558A8C9E" w14:textId="622B75D6" w:rsidR="00F3522F" w:rsidRPr="00F3522F" w:rsidRDefault="00F3522F" w:rsidP="00F3522F">
            <w:pPr>
              <w:pStyle w:val="Tableoutcomesideheadings"/>
              <w:ind w:left="0"/>
              <w:jc w:val="center"/>
            </w:pPr>
            <w:r w:rsidRPr="00026499">
              <w:t>x</w:t>
            </w:r>
          </w:p>
        </w:tc>
      </w:tr>
      <w:tr w:rsidR="00F3522F" w:rsidRPr="009D52D0" w14:paraId="0D0F4A91" w14:textId="77777777" w:rsidTr="00F3522F">
        <w:trPr>
          <w:tblHeader/>
        </w:trPr>
        <w:tc>
          <w:tcPr>
            <w:tcW w:w="2405" w:type="dxa"/>
          </w:tcPr>
          <w:p w14:paraId="7EAFA671" w14:textId="0140BFD1" w:rsidR="00F3522F" w:rsidRPr="00F3522F" w:rsidRDefault="00F3522F" w:rsidP="00F3522F">
            <w:pPr>
              <w:pStyle w:val="Tableoutcomesideheadings"/>
              <w:ind w:left="0"/>
            </w:pPr>
            <w:r w:rsidRPr="00026499">
              <w:t>Examination</w:t>
            </w:r>
          </w:p>
        </w:tc>
        <w:tc>
          <w:tcPr>
            <w:tcW w:w="567" w:type="dxa"/>
          </w:tcPr>
          <w:p w14:paraId="33914473" w14:textId="2C0B7870" w:rsidR="00F3522F" w:rsidRPr="00F3522F" w:rsidRDefault="00F3522F" w:rsidP="00F3522F">
            <w:pPr>
              <w:pStyle w:val="Tableoutcomesideheadings"/>
              <w:ind w:left="0"/>
              <w:jc w:val="center"/>
            </w:pPr>
            <w:r w:rsidRPr="00026499">
              <w:t>x</w:t>
            </w:r>
          </w:p>
        </w:tc>
        <w:tc>
          <w:tcPr>
            <w:tcW w:w="567" w:type="dxa"/>
          </w:tcPr>
          <w:p w14:paraId="66FBABF1" w14:textId="4F182D6A" w:rsidR="00F3522F" w:rsidRPr="00F3522F" w:rsidRDefault="00F3522F" w:rsidP="00F3522F">
            <w:pPr>
              <w:pStyle w:val="Tableoutcomesideheadings"/>
              <w:ind w:left="0"/>
              <w:jc w:val="center"/>
            </w:pPr>
            <w:r w:rsidRPr="00026499">
              <w:t>x</w:t>
            </w:r>
          </w:p>
        </w:tc>
        <w:tc>
          <w:tcPr>
            <w:tcW w:w="709" w:type="dxa"/>
          </w:tcPr>
          <w:p w14:paraId="60003748" w14:textId="6D9320D9" w:rsidR="00F3522F" w:rsidRPr="00F3522F" w:rsidRDefault="00F3522F" w:rsidP="00F3522F">
            <w:pPr>
              <w:pStyle w:val="Tableoutcomesideheadings"/>
              <w:ind w:left="0"/>
              <w:jc w:val="center"/>
            </w:pPr>
            <w:r w:rsidRPr="00026499">
              <w:t>x</w:t>
            </w:r>
          </w:p>
        </w:tc>
        <w:tc>
          <w:tcPr>
            <w:tcW w:w="567" w:type="dxa"/>
          </w:tcPr>
          <w:p w14:paraId="0355B33B" w14:textId="40600531" w:rsidR="00F3522F" w:rsidRPr="00F3522F" w:rsidRDefault="00F3522F" w:rsidP="00F3522F">
            <w:pPr>
              <w:pStyle w:val="Tableoutcomesideheadings"/>
              <w:ind w:left="0"/>
              <w:jc w:val="center"/>
            </w:pPr>
            <w:r w:rsidRPr="00026499">
              <w:t>x</w:t>
            </w:r>
          </w:p>
        </w:tc>
        <w:tc>
          <w:tcPr>
            <w:tcW w:w="567" w:type="dxa"/>
          </w:tcPr>
          <w:p w14:paraId="13F55492" w14:textId="3EB3F30E" w:rsidR="00F3522F" w:rsidRPr="00F3522F" w:rsidRDefault="00F3522F" w:rsidP="00F3522F">
            <w:pPr>
              <w:pStyle w:val="Tableoutcomesideheadings"/>
              <w:ind w:left="0"/>
              <w:jc w:val="center"/>
            </w:pPr>
            <w:r w:rsidRPr="00026499">
              <w:t>x</w:t>
            </w:r>
          </w:p>
        </w:tc>
        <w:tc>
          <w:tcPr>
            <w:tcW w:w="567" w:type="dxa"/>
          </w:tcPr>
          <w:p w14:paraId="45BA2554" w14:textId="18803A27" w:rsidR="00F3522F" w:rsidRPr="00F3522F" w:rsidRDefault="00F3522F" w:rsidP="00F3522F">
            <w:pPr>
              <w:pStyle w:val="Tableoutcomesideheadings"/>
              <w:ind w:left="0"/>
              <w:jc w:val="center"/>
            </w:pPr>
            <w:r w:rsidRPr="00026499">
              <w:t>x</w:t>
            </w:r>
          </w:p>
        </w:tc>
        <w:tc>
          <w:tcPr>
            <w:tcW w:w="567" w:type="dxa"/>
          </w:tcPr>
          <w:p w14:paraId="1136DB83" w14:textId="1BE46A23" w:rsidR="00F3522F" w:rsidRPr="00F3522F" w:rsidRDefault="00F3522F" w:rsidP="00F3522F">
            <w:pPr>
              <w:pStyle w:val="Tableoutcomesideheadings"/>
              <w:ind w:left="0"/>
              <w:jc w:val="center"/>
            </w:pPr>
            <w:r w:rsidRPr="00026499">
              <w:t>x</w:t>
            </w:r>
          </w:p>
        </w:tc>
      </w:tr>
    </w:tbl>
    <w:p w14:paraId="2F215770" w14:textId="77777777" w:rsidR="00F3522F" w:rsidRDefault="00F3522F" w:rsidP="00F3522F">
      <w:pPr>
        <w:pStyle w:val="BodyText"/>
      </w:pPr>
    </w:p>
    <w:p w14:paraId="2D2433F0" w14:textId="77777777" w:rsidR="00F3522F" w:rsidRDefault="00F3522F" w:rsidP="00F3522F">
      <w:pPr>
        <w:pStyle w:val="BodyText"/>
      </w:pPr>
    </w:p>
    <w:p w14:paraId="60E94644" w14:textId="77777777" w:rsidR="00F3522F" w:rsidRDefault="00F3522F" w:rsidP="00F3522F">
      <w:pPr>
        <w:pStyle w:val="BodyText"/>
      </w:pPr>
    </w:p>
    <w:p w14:paraId="703994DD" w14:textId="77777777" w:rsidR="00F3522F" w:rsidRDefault="00F3522F" w:rsidP="00F3522F">
      <w:pPr>
        <w:pStyle w:val="BodyText"/>
      </w:pPr>
    </w:p>
    <w:p w14:paraId="6C10CD48" w14:textId="77777777" w:rsidR="00F3522F" w:rsidRDefault="00F3522F" w:rsidP="00F3522F">
      <w:pPr>
        <w:pStyle w:val="BodyText"/>
      </w:pPr>
    </w:p>
    <w:bookmarkEnd w:id="0"/>
    <w:bookmarkEnd w:id="1"/>
    <w:p w14:paraId="39594EED" w14:textId="77777777" w:rsidR="00883204" w:rsidRPr="0075157D" w:rsidRDefault="00883204" w:rsidP="002D1E56">
      <w:pPr>
        <w:pStyle w:val="Heading2"/>
        <w:rPr>
          <w:iCs/>
        </w:rPr>
      </w:pPr>
      <w:r w:rsidRPr="0075157D">
        <w:t xml:space="preserve">Inclusive module design </w:t>
      </w:r>
    </w:p>
    <w:p w14:paraId="32359CEF" w14:textId="01D88392" w:rsidR="00883204" w:rsidRPr="0075157D" w:rsidRDefault="00883204" w:rsidP="002D1E56">
      <w:pPr>
        <w:pStyle w:val="BodyText"/>
      </w:pPr>
      <w:r w:rsidRPr="0075157D">
        <w:t xml:space="preserve">The </w:t>
      </w:r>
      <w:r w:rsidR="0075157D" w:rsidRPr="0075157D">
        <w:t>Division</w:t>
      </w:r>
      <w:r w:rsidRPr="0075157D">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D25790" w14:textId="77777777" w:rsidR="00883204" w:rsidRPr="0075157D" w:rsidRDefault="00883204" w:rsidP="002D1E56">
      <w:pPr>
        <w:pStyle w:val="BodyText"/>
      </w:pPr>
      <w:r w:rsidRPr="0075157D">
        <w:t>The inclusive practices in the guidance (see Annex B Appendix A) have been considered in order to support all students in the following areas:</w:t>
      </w:r>
    </w:p>
    <w:p w14:paraId="197607E1" w14:textId="77777777" w:rsidR="00883204" w:rsidRPr="0075157D" w:rsidRDefault="00883204" w:rsidP="002D1E56">
      <w:pPr>
        <w:pStyle w:val="BodyText"/>
        <w:rPr>
          <w:bCs/>
        </w:rPr>
      </w:pPr>
      <w:r w:rsidRPr="0075157D">
        <w:t xml:space="preserve">a) </w:t>
      </w:r>
      <w:r w:rsidRPr="0075157D">
        <w:rPr>
          <w:bCs/>
        </w:rPr>
        <w:t>Accessible resources and curriculum</w:t>
      </w:r>
    </w:p>
    <w:p w14:paraId="60191109" w14:textId="77777777" w:rsidR="00883204" w:rsidRPr="0075157D" w:rsidRDefault="00883204" w:rsidP="002D1E56">
      <w:pPr>
        <w:pStyle w:val="BodyText"/>
        <w:rPr>
          <w:color w:val="000000"/>
        </w:rPr>
      </w:pPr>
      <w:r w:rsidRPr="0075157D">
        <w:t xml:space="preserve">b) </w:t>
      </w:r>
      <w:r w:rsidRPr="0075157D">
        <w:rPr>
          <w:bCs/>
        </w:rPr>
        <w:t>Learning</w:t>
      </w:r>
      <w:r w:rsidR="00BB2045" w:rsidRPr="0075157D">
        <w:rPr>
          <w:bCs/>
        </w:rPr>
        <w:t>,</w:t>
      </w:r>
      <w:r w:rsidRPr="0075157D">
        <w:rPr>
          <w:bCs/>
        </w:rPr>
        <w:t xml:space="preserve"> teaching and assessment methods</w:t>
      </w:r>
    </w:p>
    <w:p w14:paraId="33B58DEA" w14:textId="77777777" w:rsidR="009A2D37" w:rsidRPr="0075157D" w:rsidRDefault="00883204" w:rsidP="002D1E56">
      <w:pPr>
        <w:pStyle w:val="Heading2"/>
      </w:pPr>
      <w:r w:rsidRPr="0075157D">
        <w:t>Campus(es) or c</w:t>
      </w:r>
      <w:r w:rsidR="009A2D37" w:rsidRPr="0075157D">
        <w:t>entre(s)</w:t>
      </w:r>
      <w:r w:rsidRPr="0075157D">
        <w:t xml:space="preserve"> where module will be delivered</w:t>
      </w:r>
    </w:p>
    <w:p w14:paraId="57122B43" w14:textId="77777777" w:rsidR="00A76692" w:rsidRPr="0075157D" w:rsidRDefault="00A76692" w:rsidP="002D1E56">
      <w:pPr>
        <w:pStyle w:val="BodyText"/>
      </w:pPr>
      <w:r w:rsidRPr="0075157D">
        <w:t>Canterbury</w:t>
      </w:r>
    </w:p>
    <w:p w14:paraId="6F12A0B3" w14:textId="77777777" w:rsidR="009A2D37" w:rsidRPr="0075157D" w:rsidRDefault="009A2D37" w:rsidP="00302082">
      <w:pPr>
        <w:ind w:left="426" w:right="260"/>
        <w:rPr>
          <w:rFonts w:ascii="Arial" w:hAnsi="Arial" w:cs="Arial"/>
          <w:i/>
          <w:iCs/>
          <w:sz w:val="24"/>
          <w:szCs w:val="24"/>
        </w:rPr>
      </w:pPr>
    </w:p>
    <w:p w14:paraId="38ABDA6E" w14:textId="77777777" w:rsidR="00883204" w:rsidRPr="0075157D" w:rsidRDefault="00883204" w:rsidP="002D1E56">
      <w:pPr>
        <w:pStyle w:val="Heading2"/>
      </w:pPr>
      <w:r w:rsidRPr="0075157D">
        <w:lastRenderedPageBreak/>
        <w:t xml:space="preserve">Internationalisation </w:t>
      </w:r>
    </w:p>
    <w:p w14:paraId="418460A3" w14:textId="66E831F2" w:rsidR="00883204" w:rsidRPr="0075157D" w:rsidRDefault="00AF263F" w:rsidP="002D1E56">
      <w:pPr>
        <w:pStyle w:val="BodyText"/>
      </w:pPr>
      <w:r w:rsidRPr="0075157D">
        <w:t>Students will be exposed to issues and research relating to developing countries across the world, which can serve as a stepping stone for professional careers in international development and/or in developing countries. As such, it is envisaged that alumni of the MSc programme can help establish and maintain links with institutions (both academic and non-academic) around the world with a focus on international development.</w:t>
      </w:r>
    </w:p>
    <w:p w14:paraId="1816BF20" w14:textId="3D5F3F47" w:rsidR="00883204" w:rsidRDefault="00883204" w:rsidP="00883204">
      <w:pPr>
        <w:ind w:right="260"/>
        <w:rPr>
          <w:rFonts w:ascii="Arial" w:hAnsi="Arial" w:cs="Arial"/>
          <w:b/>
          <w:sz w:val="24"/>
          <w:szCs w:val="24"/>
        </w:rPr>
      </w:pPr>
    </w:p>
    <w:p w14:paraId="0A0B6BBA" w14:textId="73306561" w:rsidR="00F3522F" w:rsidRDefault="00F3522F" w:rsidP="00883204">
      <w:pPr>
        <w:ind w:right="260"/>
        <w:rPr>
          <w:rFonts w:ascii="Arial" w:hAnsi="Arial" w:cs="Arial"/>
          <w:b/>
          <w:sz w:val="24"/>
          <w:szCs w:val="24"/>
        </w:rPr>
      </w:pPr>
    </w:p>
    <w:p w14:paraId="11890CDA" w14:textId="77777777" w:rsidR="00F3522F" w:rsidRDefault="00F3522F" w:rsidP="00F3522F">
      <w:pPr>
        <w:rPr>
          <w:rFonts w:ascii="Arial" w:hAnsi="Arial" w:cs="Arial"/>
          <w:sz w:val="24"/>
          <w:szCs w:val="24"/>
        </w:rPr>
      </w:pPr>
      <w:bookmarkStart w:id="5" w:name="_Hlk110347234"/>
    </w:p>
    <w:p w14:paraId="51BEC370" w14:textId="77777777" w:rsidR="00F3522F" w:rsidRPr="009D52D0" w:rsidRDefault="00F3522F" w:rsidP="00F3522F">
      <w:pPr>
        <w:pBdr>
          <w:bottom w:val="single" w:sz="6" w:space="1" w:color="auto"/>
        </w:pBdr>
        <w:ind w:right="543"/>
        <w:rPr>
          <w:rFonts w:ascii="Arial" w:hAnsi="Arial" w:cs="Arial"/>
          <w:sz w:val="24"/>
          <w:szCs w:val="24"/>
        </w:rPr>
      </w:pPr>
      <w:bookmarkStart w:id="6" w:name="_Hlk118801091"/>
    </w:p>
    <w:p w14:paraId="1E5C7B07" w14:textId="77777777" w:rsidR="00F3522F" w:rsidRPr="005E5282" w:rsidRDefault="00F3522F" w:rsidP="00F3522F">
      <w:pPr>
        <w:ind w:right="543"/>
        <w:rPr>
          <w:rFonts w:ascii="Arial" w:hAnsi="Arial" w:cs="Arial"/>
          <w:b/>
        </w:rPr>
      </w:pPr>
      <w:r w:rsidRPr="005E5282">
        <w:rPr>
          <w:rFonts w:ascii="Arial" w:hAnsi="Arial" w:cs="Arial"/>
          <w:b/>
        </w:rPr>
        <w:t xml:space="preserve">DIVISIONAL USE ONLY </w:t>
      </w:r>
    </w:p>
    <w:bookmarkEnd w:id="6"/>
    <w:p w14:paraId="5CE87F20" w14:textId="77777777" w:rsidR="00F3522F" w:rsidRPr="005E5282" w:rsidRDefault="00F3522F" w:rsidP="00F3522F">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5E61E8AF" w14:textId="77777777" w:rsidR="00F3522F" w:rsidRPr="005E5282" w:rsidRDefault="00F3522F" w:rsidP="00F3522F">
      <w:pPr>
        <w:ind w:right="543"/>
        <w:rPr>
          <w:rFonts w:ascii="Arial" w:hAnsi="Arial" w:cs="Arial"/>
          <w:b/>
        </w:rPr>
      </w:pPr>
    </w:p>
    <w:tbl>
      <w:tblPr>
        <w:tblStyle w:val="TableGrid"/>
        <w:tblW w:w="9918" w:type="dxa"/>
        <w:tblLook w:val="04A0" w:firstRow="1" w:lastRow="0" w:firstColumn="1" w:lastColumn="0" w:noHBand="0" w:noVBand="1"/>
      </w:tblPr>
      <w:tblGrid>
        <w:gridCol w:w="1592"/>
        <w:gridCol w:w="1817"/>
        <w:gridCol w:w="2256"/>
        <w:gridCol w:w="2077"/>
        <w:gridCol w:w="2176"/>
      </w:tblGrid>
      <w:tr w:rsidR="00F3522F" w:rsidRPr="009D52D0" w14:paraId="10401E3B" w14:textId="77777777" w:rsidTr="00F3522F">
        <w:trPr>
          <w:trHeight w:val="317"/>
          <w:tblHeader/>
        </w:trPr>
        <w:tc>
          <w:tcPr>
            <w:tcW w:w="1592" w:type="dxa"/>
            <w:shd w:val="clear" w:color="auto" w:fill="F2F2F2" w:themeFill="background1" w:themeFillShade="F2"/>
          </w:tcPr>
          <w:p w14:paraId="6D28574A" w14:textId="77777777" w:rsidR="00F3522F" w:rsidRPr="009D52D0" w:rsidRDefault="00F3522F" w:rsidP="00A201E9">
            <w:pPr>
              <w:pStyle w:val="Tableoutcomeshead"/>
            </w:pPr>
            <w:r w:rsidRPr="009D52D0">
              <w:t>Date approved</w:t>
            </w:r>
          </w:p>
        </w:tc>
        <w:tc>
          <w:tcPr>
            <w:tcW w:w="1817" w:type="dxa"/>
            <w:shd w:val="clear" w:color="auto" w:fill="F2F2F2" w:themeFill="background1" w:themeFillShade="F2"/>
          </w:tcPr>
          <w:p w14:paraId="3FA9AA4B" w14:textId="77777777" w:rsidR="00F3522F" w:rsidRPr="009D52D0" w:rsidRDefault="00F3522F" w:rsidP="00A201E9">
            <w:pPr>
              <w:pStyle w:val="Tableoutcomeshead"/>
            </w:pPr>
            <w:r>
              <w:t>New/</w:t>
            </w:r>
            <w:r w:rsidRPr="009D52D0">
              <w:t>Major/</w:t>
            </w:r>
            <w:r>
              <w:t>M</w:t>
            </w:r>
            <w:r w:rsidRPr="009D52D0">
              <w:t>inor revision</w:t>
            </w:r>
          </w:p>
        </w:tc>
        <w:tc>
          <w:tcPr>
            <w:tcW w:w="2256" w:type="dxa"/>
            <w:shd w:val="clear" w:color="auto" w:fill="F2F2F2" w:themeFill="background1" w:themeFillShade="F2"/>
          </w:tcPr>
          <w:p w14:paraId="6AF6D530" w14:textId="77777777" w:rsidR="00F3522F" w:rsidRPr="009D52D0" w:rsidRDefault="00F3522F" w:rsidP="00A201E9">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1A5D7964" w14:textId="77777777" w:rsidR="00F3522F" w:rsidRPr="009D52D0" w:rsidRDefault="00F3522F" w:rsidP="00A201E9">
            <w:pPr>
              <w:pStyle w:val="Tableoutcomeshead"/>
            </w:pPr>
            <w:r w:rsidRPr="009D52D0">
              <w:t>Section revised</w:t>
            </w:r>
            <w:r>
              <w:t xml:space="preserve"> (if applicable)</w:t>
            </w:r>
          </w:p>
        </w:tc>
        <w:tc>
          <w:tcPr>
            <w:tcW w:w="2176" w:type="dxa"/>
            <w:shd w:val="clear" w:color="auto" w:fill="F2F2F2" w:themeFill="background1" w:themeFillShade="F2"/>
          </w:tcPr>
          <w:p w14:paraId="0F06BAFC" w14:textId="77777777" w:rsidR="00F3522F" w:rsidRPr="009D52D0" w:rsidRDefault="00F3522F" w:rsidP="00A201E9">
            <w:pPr>
              <w:pStyle w:val="Tableoutcomeshead"/>
            </w:pPr>
            <w:r w:rsidRPr="009D52D0">
              <w:t>Impacts PLOs (Q6</w:t>
            </w:r>
            <w:r>
              <w:t xml:space="preserve"> </w:t>
            </w:r>
            <w:r w:rsidRPr="009D52D0">
              <w:t>&amp;</w:t>
            </w:r>
            <w:r>
              <w:t xml:space="preserve"> </w:t>
            </w:r>
            <w:r w:rsidRPr="009D52D0">
              <w:t>7 cover sheet)</w:t>
            </w:r>
          </w:p>
        </w:tc>
      </w:tr>
      <w:tr w:rsidR="00F3522F" w:rsidRPr="009D52D0" w14:paraId="5177358B" w14:textId="77777777" w:rsidTr="00F3522F">
        <w:trPr>
          <w:trHeight w:val="305"/>
        </w:trPr>
        <w:tc>
          <w:tcPr>
            <w:tcW w:w="1592" w:type="dxa"/>
          </w:tcPr>
          <w:p w14:paraId="06D47842" w14:textId="48186FB1" w:rsidR="00F3522F" w:rsidRPr="009D52D0" w:rsidRDefault="00F3522F" w:rsidP="00F3522F">
            <w:pPr>
              <w:pStyle w:val="Tabledivuseonly"/>
            </w:pPr>
            <w:r w:rsidRPr="007A638D">
              <w:t>09.11.22</w:t>
            </w:r>
          </w:p>
        </w:tc>
        <w:tc>
          <w:tcPr>
            <w:tcW w:w="1817" w:type="dxa"/>
          </w:tcPr>
          <w:p w14:paraId="20161FA5" w14:textId="6C81C186" w:rsidR="00F3522F" w:rsidRPr="009D52D0" w:rsidRDefault="00F3522F" w:rsidP="00F3522F">
            <w:pPr>
              <w:pStyle w:val="Tabledivuseonly"/>
            </w:pPr>
            <w:r w:rsidRPr="007A638D">
              <w:t>Minor</w:t>
            </w:r>
          </w:p>
        </w:tc>
        <w:tc>
          <w:tcPr>
            <w:tcW w:w="2256" w:type="dxa"/>
          </w:tcPr>
          <w:p w14:paraId="0BC8C21B" w14:textId="48EA24EB" w:rsidR="00F3522F" w:rsidRPr="009D52D0" w:rsidRDefault="00F3522F" w:rsidP="00F3522F">
            <w:pPr>
              <w:pStyle w:val="Tabledivuseonly"/>
            </w:pPr>
            <w:r w:rsidRPr="007A638D">
              <w:t>September 2023</w:t>
            </w:r>
          </w:p>
        </w:tc>
        <w:tc>
          <w:tcPr>
            <w:tcW w:w="2077" w:type="dxa"/>
          </w:tcPr>
          <w:p w14:paraId="2FCB2C06" w14:textId="5997334C" w:rsidR="00F3522F" w:rsidRPr="009D52D0" w:rsidRDefault="00F3522F" w:rsidP="00F3522F">
            <w:pPr>
              <w:pStyle w:val="Tabledivuseonly"/>
            </w:pPr>
            <w:r w:rsidRPr="007A638D">
              <w:t>7, 14</w:t>
            </w:r>
          </w:p>
        </w:tc>
        <w:tc>
          <w:tcPr>
            <w:tcW w:w="2176" w:type="dxa"/>
          </w:tcPr>
          <w:p w14:paraId="2064AE16" w14:textId="1897C1FA" w:rsidR="00F3522F" w:rsidRPr="009D52D0" w:rsidRDefault="00F3522F" w:rsidP="00F3522F">
            <w:pPr>
              <w:pStyle w:val="Tabledivuseonly"/>
            </w:pPr>
            <w:r w:rsidRPr="007A638D">
              <w:t>No</w:t>
            </w:r>
          </w:p>
        </w:tc>
      </w:tr>
      <w:tr w:rsidR="00F3522F" w:rsidRPr="009D52D0" w14:paraId="4C9BEB02" w14:textId="77777777" w:rsidTr="00F3522F">
        <w:trPr>
          <w:trHeight w:val="305"/>
        </w:trPr>
        <w:tc>
          <w:tcPr>
            <w:tcW w:w="1592" w:type="dxa"/>
          </w:tcPr>
          <w:p w14:paraId="654DEE22" w14:textId="77777777" w:rsidR="00F3522F" w:rsidRPr="009D52D0" w:rsidRDefault="00F3522F" w:rsidP="00A201E9">
            <w:pPr>
              <w:pStyle w:val="Tabledivuseonly"/>
            </w:pPr>
          </w:p>
        </w:tc>
        <w:tc>
          <w:tcPr>
            <w:tcW w:w="1817" w:type="dxa"/>
          </w:tcPr>
          <w:p w14:paraId="79B589FB" w14:textId="77777777" w:rsidR="00F3522F" w:rsidRPr="009D52D0" w:rsidRDefault="00F3522F" w:rsidP="00A201E9">
            <w:pPr>
              <w:pStyle w:val="Tabledivuseonly"/>
            </w:pPr>
          </w:p>
        </w:tc>
        <w:tc>
          <w:tcPr>
            <w:tcW w:w="2256" w:type="dxa"/>
          </w:tcPr>
          <w:p w14:paraId="447B5726" w14:textId="77777777" w:rsidR="00F3522F" w:rsidRPr="009D52D0" w:rsidRDefault="00F3522F" w:rsidP="00A201E9">
            <w:pPr>
              <w:pStyle w:val="Tabledivuseonly"/>
            </w:pPr>
          </w:p>
        </w:tc>
        <w:tc>
          <w:tcPr>
            <w:tcW w:w="2077" w:type="dxa"/>
          </w:tcPr>
          <w:p w14:paraId="4ACB151C" w14:textId="77777777" w:rsidR="00F3522F" w:rsidRPr="009D52D0" w:rsidRDefault="00F3522F" w:rsidP="00A201E9">
            <w:pPr>
              <w:pStyle w:val="Tabledivuseonly"/>
            </w:pPr>
          </w:p>
        </w:tc>
        <w:tc>
          <w:tcPr>
            <w:tcW w:w="2176" w:type="dxa"/>
          </w:tcPr>
          <w:p w14:paraId="6BF5B7E0" w14:textId="77777777" w:rsidR="00F3522F" w:rsidRPr="009D52D0" w:rsidRDefault="00F3522F" w:rsidP="00A201E9">
            <w:pPr>
              <w:pStyle w:val="Tabledivuseonly"/>
            </w:pPr>
          </w:p>
        </w:tc>
      </w:tr>
    </w:tbl>
    <w:p w14:paraId="14939574" w14:textId="77777777" w:rsidR="00F3522F" w:rsidRDefault="00F3522F" w:rsidP="00F3522F">
      <w:pPr>
        <w:ind w:right="543"/>
        <w:rPr>
          <w:rFonts w:ascii="Arial" w:hAnsi="Arial" w:cs="Arial"/>
          <w:sz w:val="24"/>
          <w:szCs w:val="24"/>
        </w:rPr>
      </w:pPr>
    </w:p>
    <w:bookmarkEnd w:id="5"/>
    <w:sectPr w:rsidR="00F3522F" w:rsidSect="002D1E56">
      <w:headerReference w:type="default" r:id="rId12"/>
      <w:footerReference w:type="default" r:id="rId13"/>
      <w:headerReference w:type="first" r:id="rId14"/>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85A3" w14:textId="77777777" w:rsidR="00A67570" w:rsidRDefault="00A67570" w:rsidP="009A2D37">
      <w:pPr>
        <w:spacing w:after="0"/>
      </w:pPr>
      <w:r>
        <w:separator/>
      </w:r>
    </w:p>
  </w:endnote>
  <w:endnote w:type="continuationSeparator" w:id="0">
    <w:p w14:paraId="3EEA60F3" w14:textId="77777777" w:rsidR="00A67570" w:rsidRDefault="00A67570" w:rsidP="009A2D37">
      <w:pPr>
        <w:spacing w:after="0"/>
      </w:pPr>
      <w:r>
        <w:continuationSeparator/>
      </w:r>
    </w:p>
  </w:endnote>
  <w:endnote w:type="continuationNotice" w:id="1">
    <w:p w14:paraId="57FD86B6" w14:textId="77777777" w:rsidR="00A67570" w:rsidRDefault="00A675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1CCC432" w14:textId="4E09A2A6" w:rsidR="008B2543" w:rsidRDefault="0019787E" w:rsidP="009A2D37">
        <w:pPr>
          <w:pStyle w:val="Footer"/>
          <w:jc w:val="center"/>
        </w:pPr>
        <w:r>
          <w:fldChar w:fldCharType="begin"/>
        </w:r>
        <w:r>
          <w:instrText xml:space="preserve"> PAGE   \* MERGEFORMAT </w:instrText>
        </w:r>
        <w:r>
          <w:fldChar w:fldCharType="separate"/>
        </w:r>
        <w:r w:rsidR="007D494C">
          <w:rPr>
            <w:noProof/>
          </w:rPr>
          <w:t>4</w:t>
        </w:r>
        <w:r>
          <w:rPr>
            <w:noProof/>
          </w:rPr>
          <w:fldChar w:fldCharType="end"/>
        </w:r>
      </w:p>
    </w:sdtContent>
  </w:sdt>
  <w:p w14:paraId="578FA1CE" w14:textId="1AA6B339" w:rsidR="008B2543" w:rsidRPr="007B7724" w:rsidRDefault="008B2543" w:rsidP="002D1E56">
    <w:pPr>
      <w:pStyle w:val="Footer"/>
      <w:spacing w:after="0"/>
      <w:ind w:right="-329"/>
      <w:rPr>
        <w:sz w:val="18"/>
      </w:rPr>
    </w:pPr>
    <w:r w:rsidRPr="007B7724">
      <w:rPr>
        <w:sz w:val="18"/>
      </w:rPr>
      <w:t>Module Specification</w:t>
    </w:r>
    <w:r w:rsidR="0075157D">
      <w:rPr>
        <w:sz w:val="18"/>
      </w:rPr>
      <w:t>: ECON8440 Development Economics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F649" w14:textId="77777777" w:rsidR="00A67570" w:rsidRDefault="00A67570" w:rsidP="009A2D37">
      <w:pPr>
        <w:spacing w:after="0"/>
      </w:pPr>
      <w:r>
        <w:separator/>
      </w:r>
    </w:p>
  </w:footnote>
  <w:footnote w:type="continuationSeparator" w:id="0">
    <w:p w14:paraId="3FDA3DFE" w14:textId="77777777" w:rsidR="00A67570" w:rsidRDefault="00A67570" w:rsidP="009A2D37">
      <w:pPr>
        <w:spacing w:after="0"/>
      </w:pPr>
      <w:r>
        <w:continuationSeparator/>
      </w:r>
    </w:p>
  </w:footnote>
  <w:footnote w:type="continuationNotice" w:id="1">
    <w:p w14:paraId="5197BB39" w14:textId="77777777" w:rsidR="00A67570" w:rsidRDefault="00A675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C1C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80771A" wp14:editId="4766096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27C4956" w14:textId="77777777" w:rsidR="008B2543" w:rsidRPr="008C00F8" w:rsidRDefault="008B2543" w:rsidP="005E6D38">
    <w:pPr>
      <w:pStyle w:val="Heading1"/>
      <w:spacing w:before="60" w:after="60"/>
      <w:rPr>
        <w:rFonts w:ascii="Arial" w:hAnsi="Arial" w:cs="Arial"/>
      </w:rPr>
    </w:pPr>
  </w:p>
  <w:p w14:paraId="651631B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549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843A12" wp14:editId="5BB4831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7ABE6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7E62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F0EB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C6AAEF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8292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40B6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659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180C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8C2D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A75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45B0158"/>
    <w:multiLevelType w:val="hybridMultilevel"/>
    <w:tmpl w:val="3F8C2726"/>
    <w:lvl w:ilvl="0" w:tplc="58A084B2">
      <w:numFmt w:val="bullet"/>
      <w:lvlText w:val="-"/>
      <w:lvlJc w:val="left"/>
      <w:pPr>
        <w:ind w:left="786" w:hanging="360"/>
      </w:pPr>
      <w:rPr>
        <w:rFonts w:ascii="Arial" w:eastAsiaTheme="minorEastAsia"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313062">
    <w:abstractNumId w:val="11"/>
  </w:num>
  <w:num w:numId="2" w16cid:durableId="1162160186">
    <w:abstractNumId w:val="9"/>
  </w:num>
  <w:num w:numId="3" w16cid:durableId="1465924549">
    <w:abstractNumId w:val="12"/>
  </w:num>
  <w:num w:numId="4" w16cid:durableId="1312951416">
    <w:abstractNumId w:val="10"/>
  </w:num>
  <w:num w:numId="5" w16cid:durableId="499125751">
    <w:abstractNumId w:val="17"/>
  </w:num>
  <w:num w:numId="6" w16cid:durableId="1664316210">
    <w:abstractNumId w:val="15"/>
  </w:num>
  <w:num w:numId="7" w16cid:durableId="751855707">
    <w:abstractNumId w:val="18"/>
  </w:num>
  <w:num w:numId="8" w16cid:durableId="932124583">
    <w:abstractNumId w:val="16"/>
  </w:num>
  <w:num w:numId="9" w16cid:durableId="669136623">
    <w:abstractNumId w:val="13"/>
  </w:num>
  <w:num w:numId="10" w16cid:durableId="2089689813">
    <w:abstractNumId w:val="14"/>
  </w:num>
  <w:num w:numId="11" w16cid:durableId="1735665577">
    <w:abstractNumId w:val="7"/>
  </w:num>
  <w:num w:numId="12" w16cid:durableId="1826554499">
    <w:abstractNumId w:val="6"/>
  </w:num>
  <w:num w:numId="13" w16cid:durableId="670643756">
    <w:abstractNumId w:val="5"/>
  </w:num>
  <w:num w:numId="14" w16cid:durableId="411393988">
    <w:abstractNumId w:val="4"/>
  </w:num>
  <w:num w:numId="15" w16cid:durableId="800997988">
    <w:abstractNumId w:val="8"/>
  </w:num>
  <w:num w:numId="16" w16cid:durableId="2023359834">
    <w:abstractNumId w:val="3"/>
  </w:num>
  <w:num w:numId="17" w16cid:durableId="1101029761">
    <w:abstractNumId w:val="2"/>
  </w:num>
  <w:num w:numId="18" w16cid:durableId="994262872">
    <w:abstractNumId w:val="1"/>
  </w:num>
  <w:num w:numId="19" w16cid:durableId="1358195298">
    <w:abstractNumId w:val="0"/>
  </w:num>
  <w:num w:numId="20" w16cid:durableId="1865630957">
    <w:abstractNumId w:val="11"/>
  </w:num>
  <w:num w:numId="21" w16cid:durableId="220605737">
    <w:abstractNumId w:val="11"/>
  </w:num>
  <w:num w:numId="22" w16cid:durableId="911499485">
    <w:abstractNumId w:val="9"/>
  </w:num>
  <w:num w:numId="23" w16cid:durableId="1460488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5EA"/>
    <w:rsid w:val="00000C8C"/>
    <w:rsid w:val="000017F2"/>
    <w:rsid w:val="0000456B"/>
    <w:rsid w:val="00005661"/>
    <w:rsid w:val="00010A16"/>
    <w:rsid w:val="0001243F"/>
    <w:rsid w:val="00021EA0"/>
    <w:rsid w:val="00025992"/>
    <w:rsid w:val="00027937"/>
    <w:rsid w:val="00030C9E"/>
    <w:rsid w:val="00031E67"/>
    <w:rsid w:val="000408CC"/>
    <w:rsid w:val="00045373"/>
    <w:rsid w:val="00055BE3"/>
    <w:rsid w:val="00063A2F"/>
    <w:rsid w:val="000678D3"/>
    <w:rsid w:val="00093C95"/>
    <w:rsid w:val="00094810"/>
    <w:rsid w:val="00096DA4"/>
    <w:rsid w:val="000C0294"/>
    <w:rsid w:val="000C61E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2C9"/>
    <w:rsid w:val="001402AD"/>
    <w:rsid w:val="001540CE"/>
    <w:rsid w:val="0015717B"/>
    <w:rsid w:val="00157ACA"/>
    <w:rsid w:val="00160427"/>
    <w:rsid w:val="00162D46"/>
    <w:rsid w:val="00172793"/>
    <w:rsid w:val="00180558"/>
    <w:rsid w:val="001811E5"/>
    <w:rsid w:val="001832C8"/>
    <w:rsid w:val="00183B34"/>
    <w:rsid w:val="00184E5D"/>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15989"/>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D1E56"/>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4088"/>
    <w:rsid w:val="003934D2"/>
    <w:rsid w:val="003973A1"/>
    <w:rsid w:val="003A5DA0"/>
    <w:rsid w:val="003A5EEB"/>
    <w:rsid w:val="003A6143"/>
    <w:rsid w:val="003B35F4"/>
    <w:rsid w:val="003B431C"/>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CBB"/>
    <w:rsid w:val="00492DA4"/>
    <w:rsid w:val="00496AA3"/>
    <w:rsid w:val="00497C98"/>
    <w:rsid w:val="004A39D7"/>
    <w:rsid w:val="004A55FA"/>
    <w:rsid w:val="004B5D03"/>
    <w:rsid w:val="004C1EC4"/>
    <w:rsid w:val="004D035C"/>
    <w:rsid w:val="004F3C18"/>
    <w:rsid w:val="004F4328"/>
    <w:rsid w:val="005005E4"/>
    <w:rsid w:val="00506D38"/>
    <w:rsid w:val="005102BF"/>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4AF4"/>
    <w:rsid w:val="00567EC9"/>
    <w:rsid w:val="00571630"/>
    <w:rsid w:val="005759F4"/>
    <w:rsid w:val="005779D1"/>
    <w:rsid w:val="0058041A"/>
    <w:rsid w:val="0058743D"/>
    <w:rsid w:val="00587BF7"/>
    <w:rsid w:val="00592034"/>
    <w:rsid w:val="0059477B"/>
    <w:rsid w:val="00596884"/>
    <w:rsid w:val="005A14B5"/>
    <w:rsid w:val="005A64F7"/>
    <w:rsid w:val="005B5A98"/>
    <w:rsid w:val="005C0273"/>
    <w:rsid w:val="005C1A4F"/>
    <w:rsid w:val="005C27D7"/>
    <w:rsid w:val="005D7CD0"/>
    <w:rsid w:val="005E1A3A"/>
    <w:rsid w:val="005E6ADC"/>
    <w:rsid w:val="005E6D10"/>
    <w:rsid w:val="005E6D38"/>
    <w:rsid w:val="005E7B3F"/>
    <w:rsid w:val="005F040F"/>
    <w:rsid w:val="005F0E20"/>
    <w:rsid w:val="005F2C42"/>
    <w:rsid w:val="006043FC"/>
    <w:rsid w:val="006050CF"/>
    <w:rsid w:val="00612B9D"/>
    <w:rsid w:val="006253AA"/>
    <w:rsid w:val="00626023"/>
    <w:rsid w:val="00631E27"/>
    <w:rsid w:val="00633150"/>
    <w:rsid w:val="00637A50"/>
    <w:rsid w:val="0064013D"/>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05BE"/>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157D"/>
    <w:rsid w:val="00754069"/>
    <w:rsid w:val="007667DF"/>
    <w:rsid w:val="0077080B"/>
    <w:rsid w:val="00787070"/>
    <w:rsid w:val="00787A4A"/>
    <w:rsid w:val="007906FD"/>
    <w:rsid w:val="00797197"/>
    <w:rsid w:val="007972A7"/>
    <w:rsid w:val="007A2BA2"/>
    <w:rsid w:val="007A4C4C"/>
    <w:rsid w:val="007A6245"/>
    <w:rsid w:val="007B1DB2"/>
    <w:rsid w:val="007B375B"/>
    <w:rsid w:val="007B412A"/>
    <w:rsid w:val="007B635E"/>
    <w:rsid w:val="007B7724"/>
    <w:rsid w:val="007B7CDC"/>
    <w:rsid w:val="007C74B4"/>
    <w:rsid w:val="007D494C"/>
    <w:rsid w:val="007D53EC"/>
    <w:rsid w:val="007E3412"/>
    <w:rsid w:val="007F393D"/>
    <w:rsid w:val="007F66BC"/>
    <w:rsid w:val="008029AF"/>
    <w:rsid w:val="00802FFA"/>
    <w:rsid w:val="008102E5"/>
    <w:rsid w:val="00811145"/>
    <w:rsid w:val="008111B4"/>
    <w:rsid w:val="008133F0"/>
    <w:rsid w:val="00815880"/>
    <w:rsid w:val="0082322C"/>
    <w:rsid w:val="00823942"/>
    <w:rsid w:val="00827FFD"/>
    <w:rsid w:val="0083074C"/>
    <w:rsid w:val="00854535"/>
    <w:rsid w:val="00856EB3"/>
    <w:rsid w:val="00863C96"/>
    <w:rsid w:val="008645EA"/>
    <w:rsid w:val="00864A72"/>
    <w:rsid w:val="00873E9F"/>
    <w:rsid w:val="00874047"/>
    <w:rsid w:val="008778CB"/>
    <w:rsid w:val="00881545"/>
    <w:rsid w:val="00883204"/>
    <w:rsid w:val="00883A3E"/>
    <w:rsid w:val="0089148D"/>
    <w:rsid w:val="00891E0D"/>
    <w:rsid w:val="008A0F36"/>
    <w:rsid w:val="008A4AA2"/>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5ED0"/>
    <w:rsid w:val="009A7587"/>
    <w:rsid w:val="009B0A69"/>
    <w:rsid w:val="009C2474"/>
    <w:rsid w:val="009C2925"/>
    <w:rsid w:val="009C2BC7"/>
    <w:rsid w:val="009C7082"/>
    <w:rsid w:val="009D0006"/>
    <w:rsid w:val="009D068C"/>
    <w:rsid w:val="009F3A2A"/>
    <w:rsid w:val="009F6A70"/>
    <w:rsid w:val="009F731F"/>
    <w:rsid w:val="009F7D33"/>
    <w:rsid w:val="00A021FE"/>
    <w:rsid w:val="00A1270E"/>
    <w:rsid w:val="00A1409D"/>
    <w:rsid w:val="00A15342"/>
    <w:rsid w:val="00A22416"/>
    <w:rsid w:val="00A3007E"/>
    <w:rsid w:val="00A32048"/>
    <w:rsid w:val="00A41F06"/>
    <w:rsid w:val="00A50FD4"/>
    <w:rsid w:val="00A52DB4"/>
    <w:rsid w:val="00A56066"/>
    <w:rsid w:val="00A618E1"/>
    <w:rsid w:val="00A629B9"/>
    <w:rsid w:val="00A64CFD"/>
    <w:rsid w:val="00A67570"/>
    <w:rsid w:val="00A70C20"/>
    <w:rsid w:val="00A74292"/>
    <w:rsid w:val="00A75B74"/>
    <w:rsid w:val="00A76692"/>
    <w:rsid w:val="00A776DE"/>
    <w:rsid w:val="00A80640"/>
    <w:rsid w:val="00A87FFD"/>
    <w:rsid w:val="00A97038"/>
    <w:rsid w:val="00AA3C15"/>
    <w:rsid w:val="00AA6330"/>
    <w:rsid w:val="00AA64F1"/>
    <w:rsid w:val="00AC7501"/>
    <w:rsid w:val="00AD748B"/>
    <w:rsid w:val="00AE4865"/>
    <w:rsid w:val="00AF263F"/>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6A8E"/>
    <w:rsid w:val="00BA453C"/>
    <w:rsid w:val="00BA4E02"/>
    <w:rsid w:val="00BB2045"/>
    <w:rsid w:val="00BB2A6D"/>
    <w:rsid w:val="00BB4189"/>
    <w:rsid w:val="00BC19F7"/>
    <w:rsid w:val="00BC41ED"/>
    <w:rsid w:val="00BD009E"/>
    <w:rsid w:val="00BD0EF8"/>
    <w:rsid w:val="00BD7A8C"/>
    <w:rsid w:val="00BE2126"/>
    <w:rsid w:val="00BE3B17"/>
    <w:rsid w:val="00BE4E0B"/>
    <w:rsid w:val="00BE5518"/>
    <w:rsid w:val="00BF51AB"/>
    <w:rsid w:val="00BF716B"/>
    <w:rsid w:val="00BF7233"/>
    <w:rsid w:val="00C02AA2"/>
    <w:rsid w:val="00C04C95"/>
    <w:rsid w:val="00C12613"/>
    <w:rsid w:val="00C16DEF"/>
    <w:rsid w:val="00C2492F"/>
    <w:rsid w:val="00C3744A"/>
    <w:rsid w:val="00C4002A"/>
    <w:rsid w:val="00C42755"/>
    <w:rsid w:val="00C46912"/>
    <w:rsid w:val="00C46974"/>
    <w:rsid w:val="00C57028"/>
    <w:rsid w:val="00C612A8"/>
    <w:rsid w:val="00C65344"/>
    <w:rsid w:val="00C67631"/>
    <w:rsid w:val="00C709C6"/>
    <w:rsid w:val="00C729D7"/>
    <w:rsid w:val="00C83354"/>
    <w:rsid w:val="00C84004"/>
    <w:rsid w:val="00C843F6"/>
    <w:rsid w:val="00C84507"/>
    <w:rsid w:val="00C862C7"/>
    <w:rsid w:val="00CA3254"/>
    <w:rsid w:val="00CB11CE"/>
    <w:rsid w:val="00CC25A2"/>
    <w:rsid w:val="00CD693F"/>
    <w:rsid w:val="00CD7F07"/>
    <w:rsid w:val="00CE04F3"/>
    <w:rsid w:val="00CE12D8"/>
    <w:rsid w:val="00CE4574"/>
    <w:rsid w:val="00CE70E6"/>
    <w:rsid w:val="00CF2E1E"/>
    <w:rsid w:val="00D02E99"/>
    <w:rsid w:val="00D13357"/>
    <w:rsid w:val="00D13A13"/>
    <w:rsid w:val="00D2689A"/>
    <w:rsid w:val="00D35C32"/>
    <w:rsid w:val="00D43F6B"/>
    <w:rsid w:val="00D52E53"/>
    <w:rsid w:val="00D65506"/>
    <w:rsid w:val="00D773CF"/>
    <w:rsid w:val="00D83563"/>
    <w:rsid w:val="00D8448F"/>
    <w:rsid w:val="00DA64B6"/>
    <w:rsid w:val="00DB5C9D"/>
    <w:rsid w:val="00DD02E6"/>
    <w:rsid w:val="00DD138F"/>
    <w:rsid w:val="00DF665B"/>
    <w:rsid w:val="00E0152A"/>
    <w:rsid w:val="00E03394"/>
    <w:rsid w:val="00E066E5"/>
    <w:rsid w:val="00E22F03"/>
    <w:rsid w:val="00E233C1"/>
    <w:rsid w:val="00E51404"/>
    <w:rsid w:val="00E574C9"/>
    <w:rsid w:val="00E610DE"/>
    <w:rsid w:val="00E618F9"/>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3522F"/>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2F3D4"/>
  <w15:docId w15:val="{FDDBF31F-D8F2-4021-A341-E5A3F4BF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E56"/>
    <w:pPr>
      <w:spacing w:after="120" w:line="240" w:lineRule="auto"/>
    </w:pPr>
    <w:rPr>
      <w:rFonts w:eastAsiaTheme="minorEastAsia"/>
      <w:lang w:eastAsia="en-GB"/>
    </w:rPr>
  </w:style>
  <w:style w:type="paragraph" w:styleId="Heading1">
    <w:name w:val="heading 1"/>
    <w:basedOn w:val="Normal"/>
    <w:next w:val="Normal"/>
    <w:link w:val="Heading1Char"/>
    <w:qFormat/>
    <w:rsid w:val="002D1E56"/>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2D1E56"/>
    <w:pPr>
      <w:ind w:left="567" w:hanging="567"/>
      <w:outlineLvl w:val="1"/>
    </w:pPr>
  </w:style>
  <w:style w:type="paragraph" w:styleId="Heading3">
    <w:name w:val="heading 3"/>
    <w:basedOn w:val="Normal"/>
    <w:next w:val="Normal"/>
    <w:link w:val="Heading3Char"/>
    <w:uiPriority w:val="9"/>
    <w:unhideWhenUsed/>
    <w:qFormat/>
    <w:rsid w:val="002D1E5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2D1E56"/>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2D1E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1E56"/>
  </w:style>
  <w:style w:type="character" w:styleId="Hyperlink">
    <w:name w:val="Hyperlink"/>
    <w:rsid w:val="002D1E56"/>
    <w:rPr>
      <w:color w:val="0000FF"/>
      <w:u w:val="single"/>
    </w:rPr>
  </w:style>
  <w:style w:type="paragraph" w:customStyle="1" w:styleId="Default">
    <w:name w:val="Default"/>
    <w:rsid w:val="002D1E56"/>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2D1E5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D1E56"/>
    <w:pPr>
      <w:ind w:left="720"/>
      <w:contextualSpacing/>
    </w:pPr>
  </w:style>
  <w:style w:type="paragraph" w:styleId="Header">
    <w:name w:val="header"/>
    <w:basedOn w:val="Normal"/>
    <w:link w:val="HeaderChar"/>
    <w:uiPriority w:val="99"/>
    <w:unhideWhenUsed/>
    <w:rsid w:val="002D1E56"/>
    <w:pPr>
      <w:tabs>
        <w:tab w:val="center" w:pos="4513"/>
        <w:tab w:val="right" w:pos="9026"/>
      </w:tabs>
      <w:spacing w:after="0"/>
    </w:pPr>
  </w:style>
  <w:style w:type="character" w:customStyle="1" w:styleId="HeaderChar">
    <w:name w:val="Header Char"/>
    <w:basedOn w:val="DefaultParagraphFont"/>
    <w:link w:val="Header"/>
    <w:uiPriority w:val="99"/>
    <w:rsid w:val="002D1E56"/>
    <w:rPr>
      <w:rFonts w:eastAsiaTheme="minorEastAsia"/>
      <w:lang w:eastAsia="en-GB"/>
    </w:rPr>
  </w:style>
  <w:style w:type="paragraph" w:styleId="Footer">
    <w:name w:val="footer"/>
    <w:basedOn w:val="Normal"/>
    <w:link w:val="FooterChar"/>
    <w:uiPriority w:val="99"/>
    <w:unhideWhenUsed/>
    <w:rsid w:val="002D1E56"/>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2D1E56"/>
    <w:rPr>
      <w:rFonts w:ascii="Arial" w:eastAsiaTheme="minorEastAsia" w:hAnsi="Arial"/>
      <w:sz w:val="20"/>
      <w:lang w:eastAsia="en-GB"/>
    </w:rPr>
  </w:style>
  <w:style w:type="character" w:customStyle="1" w:styleId="Heading1Char">
    <w:name w:val="Heading 1 Char"/>
    <w:basedOn w:val="DefaultParagraphFont"/>
    <w:link w:val="Heading1"/>
    <w:rsid w:val="002D1E56"/>
    <w:rPr>
      <w:rFonts w:ascii="Plantin" w:eastAsia="Times New Roman" w:hAnsi="Plantin" w:cs="Times New Roman"/>
      <w:b/>
      <w:sz w:val="24"/>
      <w:szCs w:val="20"/>
    </w:rPr>
  </w:style>
  <w:style w:type="paragraph" w:styleId="ListBullet">
    <w:name w:val="List Bullet"/>
    <w:basedOn w:val="Normal"/>
    <w:uiPriority w:val="99"/>
    <w:unhideWhenUsed/>
    <w:rsid w:val="002D1E56"/>
    <w:pPr>
      <w:numPr>
        <w:numId w:val="22"/>
      </w:numPr>
      <w:spacing w:before="120"/>
      <w:ind w:left="1066" w:hanging="357"/>
    </w:pPr>
    <w:rPr>
      <w:rFonts w:ascii="Arial" w:hAnsi="Arial"/>
      <w:sz w:val="24"/>
    </w:rPr>
  </w:style>
  <w:style w:type="table" w:styleId="TableGrid">
    <w:name w:val="Table Grid"/>
    <w:basedOn w:val="TableNormal"/>
    <w:uiPriority w:val="59"/>
    <w:rsid w:val="002D1E5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D1E56"/>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2D1E56"/>
    <w:rPr>
      <w:rFonts w:ascii="Plantin" w:eastAsia="Times New Roman" w:hAnsi="Plantin" w:cs="Times New Roman"/>
      <w:b/>
      <w:sz w:val="24"/>
      <w:szCs w:val="20"/>
    </w:rPr>
  </w:style>
  <w:style w:type="paragraph" w:styleId="FootnoteText">
    <w:name w:val="footnote text"/>
    <w:basedOn w:val="Normal"/>
    <w:link w:val="FootnoteTextChar"/>
    <w:semiHidden/>
    <w:rsid w:val="002D1E56"/>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2D1E56"/>
    <w:rPr>
      <w:rFonts w:ascii="Times New Roman" w:eastAsia="Times New Roman" w:hAnsi="Times New Roman" w:cs="Times New Roman"/>
      <w:sz w:val="20"/>
      <w:szCs w:val="20"/>
    </w:rPr>
  </w:style>
  <w:style w:type="character" w:styleId="FootnoteReference">
    <w:name w:val="footnote reference"/>
    <w:semiHidden/>
    <w:rsid w:val="002D1E56"/>
    <w:rPr>
      <w:vertAlign w:val="superscript"/>
    </w:rPr>
  </w:style>
  <w:style w:type="paragraph" w:styleId="BalloonText">
    <w:name w:val="Balloon Text"/>
    <w:basedOn w:val="Normal"/>
    <w:link w:val="BalloonTextChar"/>
    <w:uiPriority w:val="99"/>
    <w:semiHidden/>
    <w:unhideWhenUsed/>
    <w:rsid w:val="002D1E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E56"/>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2D1E56"/>
    <w:rPr>
      <w:color w:val="800080" w:themeColor="followedHyperlink"/>
      <w:u w:val="single"/>
    </w:rPr>
  </w:style>
  <w:style w:type="character" w:styleId="CommentReference">
    <w:name w:val="annotation reference"/>
    <w:basedOn w:val="DefaultParagraphFont"/>
    <w:uiPriority w:val="99"/>
    <w:semiHidden/>
    <w:unhideWhenUsed/>
    <w:rsid w:val="002D1E56"/>
    <w:rPr>
      <w:sz w:val="16"/>
      <w:szCs w:val="16"/>
    </w:rPr>
  </w:style>
  <w:style w:type="paragraph" w:styleId="CommentText">
    <w:name w:val="annotation text"/>
    <w:basedOn w:val="Normal"/>
    <w:link w:val="CommentTextChar"/>
    <w:uiPriority w:val="99"/>
    <w:semiHidden/>
    <w:unhideWhenUsed/>
    <w:rsid w:val="002D1E56"/>
    <w:rPr>
      <w:sz w:val="20"/>
      <w:szCs w:val="20"/>
    </w:rPr>
  </w:style>
  <w:style w:type="character" w:customStyle="1" w:styleId="CommentTextChar">
    <w:name w:val="Comment Text Char"/>
    <w:basedOn w:val="DefaultParagraphFont"/>
    <w:link w:val="CommentText"/>
    <w:uiPriority w:val="99"/>
    <w:semiHidden/>
    <w:rsid w:val="002D1E5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2D1E56"/>
    <w:rPr>
      <w:b/>
      <w:bCs/>
    </w:rPr>
  </w:style>
  <w:style w:type="character" w:customStyle="1" w:styleId="CommentSubjectChar">
    <w:name w:val="Comment Subject Char"/>
    <w:basedOn w:val="CommentTextChar"/>
    <w:link w:val="CommentSubject"/>
    <w:uiPriority w:val="99"/>
    <w:semiHidden/>
    <w:rsid w:val="002D1E56"/>
    <w:rPr>
      <w:rFonts w:eastAsiaTheme="minorEastAsia"/>
      <w:b/>
      <w:bCs/>
      <w:sz w:val="20"/>
      <w:szCs w:val="20"/>
      <w:lang w:eastAsia="en-GB"/>
    </w:rPr>
  </w:style>
  <w:style w:type="table" w:customStyle="1" w:styleId="TableGrid1">
    <w:name w:val="Table Grid1"/>
    <w:basedOn w:val="TableNormal"/>
    <w:next w:val="TableGrid"/>
    <w:uiPriority w:val="59"/>
    <w:rsid w:val="002D1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D1E56"/>
  </w:style>
  <w:style w:type="paragraph" w:styleId="PlainText">
    <w:name w:val="Plain Text"/>
    <w:basedOn w:val="Normal"/>
    <w:link w:val="PlainTextChar"/>
    <w:uiPriority w:val="99"/>
    <w:unhideWhenUsed/>
    <w:rsid w:val="002D1E56"/>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2D1E56"/>
    <w:rPr>
      <w:rFonts w:ascii="Calibri" w:hAnsi="Calibri"/>
      <w:szCs w:val="21"/>
    </w:rPr>
  </w:style>
  <w:style w:type="paragraph" w:customStyle="1" w:styleId="Normal1">
    <w:name w:val="Normal1"/>
    <w:rsid w:val="008645EA"/>
    <w:pPr>
      <w:pBdr>
        <w:top w:val="nil"/>
        <w:left w:val="nil"/>
        <w:bottom w:val="nil"/>
        <w:right w:val="nil"/>
        <w:between w:val="nil"/>
      </w:pBdr>
      <w:spacing w:after="0"/>
    </w:pPr>
    <w:rPr>
      <w:rFonts w:ascii="Arial" w:eastAsia="Arial" w:hAnsi="Arial" w:cs="Arial"/>
      <w:color w:val="000000"/>
      <w:lang w:eastAsia="de-DE"/>
    </w:rPr>
  </w:style>
  <w:style w:type="paragraph" w:styleId="NoSpacing">
    <w:name w:val="No Spacing"/>
    <w:uiPriority w:val="1"/>
    <w:qFormat/>
    <w:rsid w:val="00A76692"/>
    <w:pPr>
      <w:spacing w:after="0" w:line="240" w:lineRule="auto"/>
    </w:pPr>
    <w:rPr>
      <w:rFonts w:eastAsiaTheme="minorEastAsia"/>
      <w:lang w:eastAsia="en-GB"/>
    </w:rPr>
  </w:style>
  <w:style w:type="paragraph" w:styleId="Revision">
    <w:name w:val="Revision"/>
    <w:hidden/>
    <w:uiPriority w:val="99"/>
    <w:semiHidden/>
    <w:rsid w:val="00D52E53"/>
    <w:pPr>
      <w:spacing w:after="0" w:line="240" w:lineRule="auto"/>
    </w:pPr>
    <w:rPr>
      <w:rFonts w:eastAsiaTheme="minorEastAsia"/>
      <w:lang w:eastAsia="en-GB"/>
    </w:rPr>
  </w:style>
  <w:style w:type="character" w:customStyle="1" w:styleId="Heading2Char">
    <w:name w:val="Heading 2 Char"/>
    <w:basedOn w:val="DefaultParagraphFont"/>
    <w:link w:val="Heading2"/>
    <w:uiPriority w:val="9"/>
    <w:rsid w:val="002D1E56"/>
    <w:rPr>
      <w:rFonts w:ascii="Arial" w:eastAsiaTheme="minorEastAsia" w:hAnsi="Arial" w:cs="Arial"/>
      <w:b/>
      <w:sz w:val="24"/>
      <w:szCs w:val="24"/>
      <w:lang w:eastAsia="en-GB"/>
    </w:rPr>
  </w:style>
  <w:style w:type="paragraph" w:styleId="BodyText">
    <w:name w:val="Body Text"/>
    <w:basedOn w:val="Normal"/>
    <w:link w:val="BodyTextChar"/>
    <w:uiPriority w:val="99"/>
    <w:unhideWhenUsed/>
    <w:rsid w:val="002D1E56"/>
    <w:pPr>
      <w:ind w:left="567"/>
    </w:pPr>
    <w:rPr>
      <w:rFonts w:ascii="Arial" w:hAnsi="Arial"/>
      <w:sz w:val="24"/>
    </w:rPr>
  </w:style>
  <w:style w:type="character" w:customStyle="1" w:styleId="BodyTextChar">
    <w:name w:val="Body Text Char"/>
    <w:basedOn w:val="DefaultParagraphFont"/>
    <w:link w:val="BodyText"/>
    <w:uiPriority w:val="99"/>
    <w:rsid w:val="002D1E56"/>
    <w:rPr>
      <w:rFonts w:ascii="Arial" w:eastAsiaTheme="minorEastAsia" w:hAnsi="Arial"/>
      <w:sz w:val="24"/>
      <w:lang w:eastAsia="en-GB"/>
    </w:rPr>
  </w:style>
  <w:style w:type="paragraph" w:customStyle="1" w:styleId="header2">
    <w:name w:val="header 2"/>
    <w:basedOn w:val="Normal"/>
    <w:next w:val="BodyText"/>
    <w:link w:val="header2Char"/>
    <w:qFormat/>
    <w:rsid w:val="002D1E56"/>
    <w:pPr>
      <w:numPr>
        <w:numId w:val="21"/>
      </w:numPr>
      <w:spacing w:before="600"/>
    </w:pPr>
    <w:rPr>
      <w:rFonts w:ascii="Arial" w:hAnsi="Arial" w:cs="Arial"/>
      <w:b/>
      <w:sz w:val="24"/>
      <w:szCs w:val="24"/>
    </w:rPr>
  </w:style>
  <w:style w:type="character" w:customStyle="1" w:styleId="header2Char">
    <w:name w:val="header 2 Char"/>
    <w:basedOn w:val="DefaultParagraphFont"/>
    <w:link w:val="header2"/>
    <w:rsid w:val="002D1E56"/>
    <w:rPr>
      <w:rFonts w:ascii="Arial" w:eastAsiaTheme="minorEastAsia" w:hAnsi="Arial" w:cs="Arial"/>
      <w:b/>
      <w:sz w:val="24"/>
      <w:szCs w:val="24"/>
      <w:lang w:eastAsia="en-GB"/>
    </w:rPr>
  </w:style>
  <w:style w:type="character" w:customStyle="1" w:styleId="Heading3Char">
    <w:name w:val="Heading 3 Char"/>
    <w:basedOn w:val="DefaultParagraphFont"/>
    <w:link w:val="Heading3"/>
    <w:uiPriority w:val="9"/>
    <w:rsid w:val="002D1E56"/>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2D1E56"/>
    <w:rPr>
      <w:rFonts w:ascii="Arial" w:eastAsiaTheme="majorEastAsia" w:hAnsi="Arial" w:cstheme="majorBidi"/>
      <w:b/>
      <w:i/>
      <w:iCs/>
      <w:lang w:eastAsia="en-GB"/>
    </w:rPr>
  </w:style>
  <w:style w:type="table" w:styleId="LightList">
    <w:name w:val="Light List"/>
    <w:basedOn w:val="TableNormal"/>
    <w:uiPriority w:val="61"/>
    <w:rsid w:val="002D1E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Number2">
    <w:name w:val="List Number 2"/>
    <w:basedOn w:val="BodyText"/>
    <w:uiPriority w:val="99"/>
    <w:unhideWhenUsed/>
    <w:rsid w:val="002D1E56"/>
    <w:pPr>
      <w:ind w:left="1021" w:hanging="454"/>
    </w:pPr>
  </w:style>
  <w:style w:type="paragraph" w:styleId="ListNumber3">
    <w:name w:val="List Number 3"/>
    <w:basedOn w:val="Normal"/>
    <w:uiPriority w:val="99"/>
    <w:unhideWhenUsed/>
    <w:rsid w:val="002D1E56"/>
    <w:pPr>
      <w:numPr>
        <w:numId w:val="23"/>
      </w:numPr>
      <w:spacing w:before="120" w:after="240"/>
    </w:pPr>
    <w:rPr>
      <w:rFonts w:ascii="Arial" w:hAnsi="Arial"/>
      <w:sz w:val="24"/>
    </w:rPr>
  </w:style>
  <w:style w:type="character" w:styleId="Strong">
    <w:name w:val="Strong"/>
    <w:basedOn w:val="DefaultParagraphFont"/>
    <w:uiPriority w:val="22"/>
    <w:qFormat/>
    <w:rsid w:val="002D1E56"/>
    <w:rPr>
      <w:b/>
      <w:bCs/>
    </w:rPr>
  </w:style>
  <w:style w:type="paragraph" w:customStyle="1" w:styleId="Tableanswer">
    <w:name w:val="Table answer"/>
    <w:basedOn w:val="Normal"/>
    <w:qFormat/>
    <w:rsid w:val="002D1E56"/>
    <w:pPr>
      <w:spacing w:before="40" w:after="40"/>
    </w:pPr>
    <w:rPr>
      <w:rFonts w:ascii="Arial" w:eastAsiaTheme="minorHAnsi" w:hAnsi="Arial" w:cs="Arial"/>
      <w:bCs/>
      <w:lang w:eastAsia="en-US"/>
    </w:rPr>
  </w:style>
  <w:style w:type="paragraph" w:customStyle="1" w:styleId="Tabledivuseonly">
    <w:name w:val="Table div use only"/>
    <w:basedOn w:val="Normal"/>
    <w:qFormat/>
    <w:rsid w:val="002D1E56"/>
    <w:rPr>
      <w:rFonts w:ascii="Arial" w:hAnsi="Arial" w:cs="Arial"/>
      <w:sz w:val="20"/>
      <w:szCs w:val="20"/>
    </w:rPr>
  </w:style>
  <w:style w:type="table" w:customStyle="1" w:styleId="TableGrid11">
    <w:name w:val="Table Grid11"/>
    <w:basedOn w:val="TableNormal"/>
    <w:next w:val="TableGrid"/>
    <w:uiPriority w:val="59"/>
    <w:rsid w:val="002D1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utcomecrosses">
    <w:name w:val="Table outcome crosses"/>
    <w:basedOn w:val="Normal"/>
    <w:qFormat/>
    <w:rsid w:val="002D1E56"/>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2D1E56"/>
    <w:pPr>
      <w:spacing w:before="60" w:after="60"/>
      <w:ind w:left="34"/>
    </w:pPr>
    <w:rPr>
      <w:rFonts w:ascii="Arial" w:hAnsi="Arial" w:cs="Arial"/>
      <w:b/>
      <w:sz w:val="20"/>
      <w:szCs w:val="20"/>
    </w:rPr>
  </w:style>
  <w:style w:type="paragraph" w:customStyle="1" w:styleId="Tableoutcomeshead">
    <w:name w:val="Table outcomes head"/>
    <w:basedOn w:val="Normal"/>
    <w:qFormat/>
    <w:rsid w:val="002D1E56"/>
    <w:rPr>
      <w:rFonts w:ascii="Arial" w:hAnsi="Arial" w:cs="Arial"/>
      <w:b/>
      <w:sz w:val="20"/>
      <w:szCs w:val="20"/>
    </w:rPr>
  </w:style>
  <w:style w:type="character" w:styleId="UnresolvedMention">
    <w:name w:val="Unresolved Mention"/>
    <w:basedOn w:val="DefaultParagraphFont"/>
    <w:uiPriority w:val="99"/>
    <w:semiHidden/>
    <w:unhideWhenUsed/>
    <w:rsid w:val="002D1E56"/>
    <w:rPr>
      <w:color w:val="605E5C"/>
      <w:shd w:val="clear" w:color="auto" w:fill="E1DFDD"/>
    </w:rPr>
  </w:style>
  <w:style w:type="character" w:customStyle="1" w:styleId="UnresolvedMention1">
    <w:name w:val="Unresolved Mention1"/>
    <w:basedOn w:val="DefaultParagraphFont"/>
    <w:uiPriority w:val="99"/>
    <w:semiHidden/>
    <w:unhideWhenUsed/>
    <w:rsid w:val="002D1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1874929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6B348-AA3C-46DA-8A10-846D83F2BF34}">
  <ds:schemaRefs>
    <ds:schemaRef ds:uri="http://schemas.microsoft.com/office/2006/metadata/properties"/>
    <ds:schemaRef ds:uri="http://schemas.microsoft.com/office/infopath/2007/PartnerControls"/>
    <ds:schemaRef ds:uri="38c837cb-b56f-40c5-bbb0-effb01650ca7"/>
  </ds:schemaRefs>
</ds:datastoreItem>
</file>

<file path=customXml/itemProps2.xml><?xml version="1.0" encoding="utf-8"?>
<ds:datastoreItem xmlns:ds="http://schemas.openxmlformats.org/officeDocument/2006/customXml" ds:itemID="{A0E7F384-5B0C-4F8E-AF0E-7DBAD9261DCD}">
  <ds:schemaRefs>
    <ds:schemaRef ds:uri="http://schemas.openxmlformats.org/officeDocument/2006/bibliography"/>
  </ds:schemaRefs>
</ds:datastoreItem>
</file>

<file path=customXml/itemProps3.xml><?xml version="1.0" encoding="utf-8"?>
<ds:datastoreItem xmlns:ds="http://schemas.openxmlformats.org/officeDocument/2006/customXml" ds:itemID="{96357FA3-541E-400E-86D4-2803E9455D31}"/>
</file>

<file path=customXml/itemProps4.xml><?xml version="1.0" encoding="utf-8"?>
<ds:datastoreItem xmlns:ds="http://schemas.openxmlformats.org/officeDocument/2006/customXml" ds:itemID="{FAE4EDEE-B566-4B0A-99A8-B400D4DDD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Karen Khan</cp:lastModifiedBy>
  <cp:revision>3</cp:revision>
  <cp:lastPrinted>2015-09-09T08:37:00Z</cp:lastPrinted>
  <dcterms:created xsi:type="dcterms:W3CDTF">2022-11-11T14:47:00Z</dcterms:created>
  <dcterms:modified xsi:type="dcterms:W3CDTF">2023-01-13T16:38:00Z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