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995CA4">
      <w:pPr>
        <w:pStyle w:val="Heading2"/>
        <w:spacing w:before="0"/>
      </w:pPr>
      <w:r>
        <w:t>KentVision Code and t</w:t>
      </w:r>
      <w:r w:rsidR="009A2D37" w:rsidRPr="00072357">
        <w:t>itle of the module</w:t>
      </w:r>
    </w:p>
    <w:p w14:paraId="766E4417" w14:textId="2ED205EE" w:rsidR="00C30377" w:rsidRPr="00C30377" w:rsidRDefault="00C30377" w:rsidP="00995CA4">
      <w:pPr>
        <w:pStyle w:val="BodyText"/>
        <w:rPr>
          <w:b/>
        </w:rPr>
      </w:pPr>
      <w:r w:rsidRPr="00C30377">
        <w:t>ECON6030 Financial Crises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47263D7" w:rsidR="009A2D37" w:rsidRDefault="00C30377" w:rsidP="00995CA4">
      <w:pPr>
        <w:pStyle w:val="BodyText"/>
      </w:pPr>
      <w:r>
        <w:t>Division of Human and Social Sciences</w:t>
      </w:r>
      <w:r w:rsidR="00560B5F">
        <w:t>,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3BF2BD0" w:rsidR="009A2D37" w:rsidRDefault="00C30377" w:rsidP="00995CA4">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C411E8C" w:rsidR="009A2D37" w:rsidRDefault="00C30377" w:rsidP="00995CA4">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44E72A2" w:rsidR="009A2D37" w:rsidRDefault="00C30377" w:rsidP="00995CA4">
      <w:pPr>
        <w:pStyle w:val="BodyText"/>
      </w:pPr>
      <w:r>
        <w:t>Autumn or Spring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5FB3F94" w14:textId="77777777" w:rsidR="00C30377" w:rsidRPr="00995CA4" w:rsidRDefault="00C30377" w:rsidP="00995CA4">
      <w:pPr>
        <w:pStyle w:val="BodyText"/>
        <w:rPr>
          <w:b/>
          <w:bCs/>
          <w:i/>
          <w:iCs/>
        </w:rPr>
      </w:pPr>
      <w:r w:rsidRPr="00995CA4">
        <w:rPr>
          <w:b/>
          <w:bCs/>
          <w:i/>
          <w:iCs/>
        </w:rPr>
        <w:t>Prerequisites:</w:t>
      </w:r>
    </w:p>
    <w:p w14:paraId="72C2F372" w14:textId="77777777" w:rsidR="00C30377" w:rsidRPr="00C30377" w:rsidRDefault="00C30377" w:rsidP="00995CA4">
      <w:pPr>
        <w:pStyle w:val="BodyText"/>
        <w:rPr>
          <w:b/>
        </w:rPr>
      </w:pPr>
      <w:r w:rsidRPr="00C30377">
        <w:t>ECON5020 Macroeconomics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8B7E617" w14:textId="77777777" w:rsidR="00D32AE1" w:rsidRPr="00D32AE1" w:rsidRDefault="00E1736E" w:rsidP="00995CA4">
      <w:pPr>
        <w:pStyle w:val="BodyText"/>
        <w:rPr>
          <w:b/>
          <w:bCs/>
          <w:i/>
          <w:iCs/>
        </w:rPr>
      </w:pPr>
      <w:r w:rsidRPr="00D32AE1">
        <w:rPr>
          <w:b/>
          <w:bCs/>
          <w:i/>
          <w:iCs/>
        </w:rPr>
        <w:t>Optional to the following courses:</w:t>
      </w:r>
      <w:r w:rsidR="00C30377" w:rsidRPr="00D32AE1">
        <w:rPr>
          <w:b/>
          <w:bCs/>
          <w:i/>
          <w:iCs/>
        </w:rPr>
        <w:t xml:space="preserve"> </w:t>
      </w:r>
    </w:p>
    <w:p w14:paraId="04F5C0FA" w14:textId="75C81AC5" w:rsidR="00C30377" w:rsidRPr="00C30377" w:rsidRDefault="00C30377" w:rsidP="00995CA4">
      <w:pPr>
        <w:pStyle w:val="BodyText"/>
      </w:pPr>
      <w:r w:rsidRPr="00C30377">
        <w:t>This is an elective module for all Single Honours Economics Courses and Joint Honours Course</w:t>
      </w:r>
      <w:r w:rsidR="00F6279E">
        <w:t xml:space="preserve">s </w:t>
      </w:r>
    </w:p>
    <w:p w14:paraId="7F5B98A5" w14:textId="77777777" w:rsidR="00C30377" w:rsidRPr="00C30377" w:rsidRDefault="00C30377" w:rsidP="00D32AE1">
      <w:pPr>
        <w:pStyle w:val="BodyText"/>
        <w:spacing w:before="360"/>
        <w:rPr>
          <w:color w:val="000000" w:themeColor="text1"/>
        </w:rPr>
      </w:pPr>
      <w:r w:rsidRPr="00C30377">
        <w:rPr>
          <w:color w:val="000000" w:themeColor="text1"/>
        </w:rPr>
        <w:t xml:space="preserve">The module is </w:t>
      </w:r>
      <w:r w:rsidRPr="00C30377">
        <w:rPr>
          <w:b/>
          <w:color w:val="000000" w:themeColor="text1"/>
        </w:rPr>
        <w:t xml:space="preserve">NOT </w:t>
      </w:r>
      <w:r w:rsidRPr="00C30377">
        <w:rPr>
          <w:color w:val="000000" w:themeColor="text1"/>
        </w:rPr>
        <w:t>available to students across other degree courses in the University</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19E9785D" w14:textId="5412D0B7" w:rsidR="00035359" w:rsidRPr="000653B1" w:rsidRDefault="00035359" w:rsidP="00995CA4">
      <w:pPr>
        <w:pStyle w:val="ListNumber2"/>
      </w:pPr>
      <w:r w:rsidRPr="000653B1">
        <w:t>8.1</w:t>
      </w:r>
      <w:r w:rsidR="00CE0C47">
        <w:tab/>
      </w:r>
      <w:r w:rsidR="006A079F">
        <w:t>Demonstrate a thorough u</w:t>
      </w:r>
      <w:r w:rsidRPr="000653B1">
        <w:t>nderstand</w:t>
      </w:r>
      <w:r w:rsidR="006A079F">
        <w:t>ing of</w:t>
      </w:r>
      <w:r w:rsidRPr="000653B1">
        <w:t xml:space="preserve"> the evolution of financial crises over the past 300 years</w:t>
      </w:r>
    </w:p>
    <w:p w14:paraId="474481EF" w14:textId="0CFD50BA" w:rsidR="00035359" w:rsidRPr="000653B1" w:rsidRDefault="00035359" w:rsidP="00995CA4">
      <w:pPr>
        <w:pStyle w:val="ListNumber2"/>
      </w:pPr>
      <w:r w:rsidRPr="000653B1">
        <w:t>8.2</w:t>
      </w:r>
      <w:r w:rsidR="00CE0C47">
        <w:tab/>
      </w:r>
      <w:r w:rsidRPr="000653B1">
        <w:t>Identify causes of financial crises and the various sources of their origins</w:t>
      </w:r>
      <w:r w:rsidR="006A079F">
        <w:t xml:space="preserve"> and use these to describe or comment upon aspects of current research</w:t>
      </w:r>
    </w:p>
    <w:p w14:paraId="15C5D3C1" w14:textId="66720AF1" w:rsidR="00035359" w:rsidRPr="000653B1" w:rsidRDefault="00035359" w:rsidP="00995CA4">
      <w:pPr>
        <w:pStyle w:val="ListNumber2"/>
      </w:pPr>
      <w:r w:rsidRPr="000653B1">
        <w:t>8.3</w:t>
      </w:r>
      <w:r w:rsidR="00CE0C47">
        <w:tab/>
      </w:r>
      <w:r w:rsidRPr="000653B1">
        <w:t>Understand the nature of speculative booms and recurrent nature of financial crises</w:t>
      </w:r>
      <w:r w:rsidR="006A079F">
        <w:t xml:space="preserve"> and explain and evaluate relevant examples</w:t>
      </w:r>
    </w:p>
    <w:p w14:paraId="73F0F0D3" w14:textId="5AFC3AA6" w:rsidR="00035359" w:rsidRPr="000653B1" w:rsidRDefault="00035359" w:rsidP="00995CA4">
      <w:pPr>
        <w:pStyle w:val="ListNumber2"/>
      </w:pPr>
      <w:r w:rsidRPr="000653B1">
        <w:t>8.4</w:t>
      </w:r>
      <w:r w:rsidR="00CE0C47">
        <w:tab/>
      </w:r>
      <w:r w:rsidRPr="000653B1">
        <w:t>Critically analyse the connection among currency crises, banking crises, debt crises, and balance of payment crises</w:t>
      </w:r>
    </w:p>
    <w:p w14:paraId="1A219974" w14:textId="00F619D2" w:rsidR="00035359" w:rsidRPr="000653B1" w:rsidRDefault="00035359" w:rsidP="00995CA4">
      <w:pPr>
        <w:pStyle w:val="ListNumber2"/>
      </w:pPr>
      <w:r w:rsidRPr="000653B1">
        <w:t>8.5</w:t>
      </w:r>
      <w:r w:rsidR="00CE0C47">
        <w:tab/>
      </w:r>
      <w:r w:rsidRPr="000653B1">
        <w:t xml:space="preserve">Demonstrate </w:t>
      </w:r>
      <w:r w:rsidR="006A079F">
        <w:t>sy</w:t>
      </w:r>
      <w:r w:rsidR="00995CA4">
        <w:t>s</w:t>
      </w:r>
      <w:r w:rsidR="006A079F">
        <w:t>tematic</w:t>
      </w:r>
      <w:r w:rsidR="006A079F" w:rsidRPr="000653B1">
        <w:t xml:space="preserve"> </w:t>
      </w:r>
      <w:r w:rsidRPr="000653B1">
        <w:t>knowledge and understanding of the importance of the lender of last resort and the role of regulation</w:t>
      </w:r>
    </w:p>
    <w:p w14:paraId="41A9B160" w14:textId="213AF165" w:rsidR="00035359" w:rsidRPr="000653B1" w:rsidRDefault="00035359" w:rsidP="00995CA4">
      <w:pPr>
        <w:pStyle w:val="ListNumber2"/>
      </w:pPr>
      <w:r w:rsidRPr="000653B1">
        <w:lastRenderedPageBreak/>
        <w:t>8.6</w:t>
      </w:r>
      <w:r w:rsidR="00CE0C47">
        <w:tab/>
      </w:r>
      <w:r w:rsidRPr="000653B1">
        <w:t>Critically evaluate the costs of financial crises and efficacy of policy responses</w:t>
      </w:r>
      <w:r w:rsidR="00995CA4">
        <w:t>.</w:t>
      </w:r>
    </w:p>
    <w:p w14:paraId="38C12C74" w14:textId="77777777" w:rsidR="00134E37" w:rsidRPr="00134E37" w:rsidRDefault="00134E37" w:rsidP="00134E37">
      <w:pPr>
        <w:spacing w:after="120" w:line="240" w:lineRule="auto"/>
        <w:ind w:left="426" w:right="543"/>
        <w:rPr>
          <w:rFonts w:ascii="Arial" w:hAnsi="Arial" w:cs="Arial"/>
          <w:b/>
          <w:sz w:val="24"/>
          <w:szCs w:val="24"/>
        </w:rPr>
      </w:pPr>
    </w:p>
    <w:p w14:paraId="65D32CD0" w14:textId="77777777" w:rsidR="00134E37" w:rsidRPr="00134E37" w:rsidRDefault="00134E37" w:rsidP="00134E37">
      <w:pPr>
        <w:numPr>
          <w:ilvl w:val="0"/>
          <w:numId w:val="1"/>
        </w:numPr>
        <w:spacing w:after="120" w:line="240" w:lineRule="auto"/>
        <w:ind w:left="567" w:right="543" w:hanging="567"/>
        <w:outlineLvl w:val="1"/>
        <w:rPr>
          <w:rFonts w:ascii="Arial" w:hAnsi="Arial" w:cs="Arial"/>
          <w:b/>
          <w:sz w:val="24"/>
          <w:szCs w:val="24"/>
        </w:rPr>
      </w:pPr>
      <w:r w:rsidRPr="00D32AE1">
        <w:rPr>
          <w:rStyle w:val="Heading2Char"/>
        </w:rPr>
        <w:t>The intended generic learning outcomes</w:t>
      </w:r>
      <w:r w:rsidRPr="00134E37">
        <w:rPr>
          <w:rFonts w:ascii="Arial" w:hAnsi="Arial" w:cs="Arial"/>
          <w:b/>
          <w:sz w:val="24"/>
          <w:szCs w:val="24"/>
        </w:rPr>
        <w:t>.</w:t>
      </w:r>
      <w:r w:rsidRPr="00134E37">
        <w:rPr>
          <w:rFonts w:ascii="Arial" w:hAnsi="Arial" w:cs="Arial"/>
          <w:b/>
          <w:sz w:val="24"/>
          <w:szCs w:val="24"/>
        </w:rPr>
        <w:br/>
        <w:t>On successfully completing the module students will be able to:</w:t>
      </w:r>
    </w:p>
    <w:p w14:paraId="56E11F3C" w14:textId="2789608D" w:rsidR="005A6622" w:rsidRPr="000653B1" w:rsidRDefault="00D755DB" w:rsidP="00995CA4">
      <w:pPr>
        <w:pStyle w:val="ListNumber2"/>
      </w:pPr>
      <w:r w:rsidRPr="000653B1">
        <w:t>9.1</w:t>
      </w:r>
      <w:r w:rsidR="00CE0C47">
        <w:tab/>
      </w:r>
      <w:r w:rsidR="005A6622" w:rsidRPr="000653B1">
        <w:t>Retrieve information from a variety of</w:t>
      </w:r>
      <w:r w:rsidR="006A079F">
        <w:t xml:space="preserve"> relevant</w:t>
      </w:r>
      <w:r w:rsidR="00BE156B">
        <w:t xml:space="preserve"> and reliable</w:t>
      </w:r>
      <w:r w:rsidR="005A6622" w:rsidRPr="000653B1">
        <w:t xml:space="preserve"> sources</w:t>
      </w:r>
    </w:p>
    <w:p w14:paraId="1578182B" w14:textId="54CD25CA" w:rsidR="005A6622" w:rsidRPr="000653B1" w:rsidRDefault="00D755DB" w:rsidP="00995CA4">
      <w:pPr>
        <w:pStyle w:val="ListNumber2"/>
      </w:pPr>
      <w:r w:rsidRPr="000653B1">
        <w:t>9.2</w:t>
      </w:r>
      <w:r w:rsidR="00CE0C47">
        <w:tab/>
      </w:r>
      <w:r w:rsidR="005A6622" w:rsidRPr="000653B1">
        <w:t xml:space="preserve">Analyse historical data to </w:t>
      </w:r>
      <w:r w:rsidR="00BE156B">
        <w:t xml:space="preserve">consolidate and </w:t>
      </w:r>
      <w:r w:rsidR="005A6622" w:rsidRPr="000653B1">
        <w:t xml:space="preserve">support their understanding </w:t>
      </w:r>
    </w:p>
    <w:p w14:paraId="3B43D528" w14:textId="70C74060" w:rsidR="005A6622" w:rsidRPr="000653B1" w:rsidRDefault="00D755DB" w:rsidP="00995CA4">
      <w:pPr>
        <w:pStyle w:val="ListNumber2"/>
      </w:pPr>
      <w:r w:rsidRPr="000653B1">
        <w:t>9.3</w:t>
      </w:r>
      <w:r w:rsidR="00CE0C47">
        <w:tab/>
      </w:r>
      <w:r w:rsidR="005A6622" w:rsidRPr="000653B1">
        <w:t>Practice the application and scrutiny of quantitative techniques</w:t>
      </w:r>
    </w:p>
    <w:p w14:paraId="34552777" w14:textId="09A82746" w:rsidR="005A6622" w:rsidRPr="000653B1" w:rsidRDefault="00D755DB" w:rsidP="00995CA4">
      <w:pPr>
        <w:pStyle w:val="ListNumber2"/>
      </w:pPr>
      <w:r w:rsidRPr="000653B1">
        <w:t>9.4</w:t>
      </w:r>
      <w:r w:rsidR="00CE0C47">
        <w:tab/>
      </w:r>
      <w:r w:rsidR="005A6622" w:rsidRPr="000653B1">
        <w:t xml:space="preserve">Develop ideas and arguments </w:t>
      </w:r>
      <w:r w:rsidR="00560B5F">
        <w:t>by a variety of methods</w:t>
      </w:r>
      <w:r w:rsidR="00BE156B">
        <w:t xml:space="preserve"> and communicate information to bot</w:t>
      </w:r>
      <w:r w:rsidR="00995CA4">
        <w:t>h</w:t>
      </w:r>
      <w:r w:rsidR="00BE156B">
        <w:t xml:space="preserve"> specialist and non-specialist audiences</w:t>
      </w:r>
    </w:p>
    <w:p w14:paraId="41D7C218" w14:textId="7C65C160" w:rsidR="005A6622" w:rsidRPr="000653B1" w:rsidRDefault="00D755DB" w:rsidP="00995CA4">
      <w:pPr>
        <w:pStyle w:val="ListNumber2"/>
      </w:pPr>
      <w:r w:rsidRPr="000653B1">
        <w:t>9.5</w:t>
      </w:r>
      <w:r w:rsidR="00CE0C47">
        <w:tab/>
      </w:r>
      <w:r w:rsidR="005A6622" w:rsidRPr="000653B1">
        <w:t>Plan work and study independently</w:t>
      </w:r>
      <w:r w:rsidR="00BE156B">
        <w:t>, making use of relevant scholarship</w:t>
      </w:r>
      <w:r w:rsidR="00EC7D5A">
        <w:t>.</w:t>
      </w:r>
    </w:p>
    <w:p w14:paraId="537FBD4A" w14:textId="77777777" w:rsidR="00134E37" w:rsidRPr="00134E37" w:rsidRDefault="00134E37" w:rsidP="00D32AE1">
      <w:pPr>
        <w:pStyle w:val="Heading2"/>
      </w:pPr>
      <w:r w:rsidRPr="00134E37">
        <w:t>A synopsis of the curriculum</w:t>
      </w:r>
    </w:p>
    <w:p w14:paraId="0AFDA4D9" w14:textId="77777777" w:rsidR="00D755DB" w:rsidRPr="000653B1" w:rsidRDefault="00D755DB" w:rsidP="00995CA4">
      <w:pPr>
        <w:pStyle w:val="BodyText"/>
      </w:pPr>
      <w:r w:rsidRPr="000653B1">
        <w:t xml:space="preserve">The aim of the module is to introduce the students to the evolution of the financial crises from a historical perspective. Since financial crises are infrequent (though often occurring) events, a long-run perspective is necessary to understand their causes and consequences. This module will look at financial crises from the Tulip mania in 1636 to the financial crisis of 2008, and combine theoretical approaches to understanding financial crises with critical discussion of historical episodes.  </w:t>
      </w:r>
    </w:p>
    <w:p w14:paraId="3FA9D779" w14:textId="77777777" w:rsidR="00D755DB" w:rsidRPr="000653B1" w:rsidRDefault="00D755DB" w:rsidP="00995CA4">
      <w:pPr>
        <w:pStyle w:val="BodyText"/>
      </w:pPr>
      <w:r w:rsidRPr="000653B1">
        <w:t>The module will cover the following topics:</w:t>
      </w:r>
    </w:p>
    <w:p w14:paraId="71BC1119"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Financial crises in historical perspective: long-run facts</w:t>
      </w:r>
    </w:p>
    <w:p w14:paraId="56E8EB9C"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Theories of financial crises</w:t>
      </w:r>
    </w:p>
    <w:p w14:paraId="40A39F81"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severity of financial crises in historical perspective</w:t>
      </w:r>
    </w:p>
    <w:p w14:paraId="602AFDEA"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Financial crises in the 17</w:t>
      </w:r>
      <w:r w:rsidRPr="000653B1">
        <w:rPr>
          <w:rFonts w:ascii="Arial" w:hAnsi="Arial" w:cs="Arial"/>
          <w:sz w:val="24"/>
          <w:szCs w:val="24"/>
          <w:vertAlign w:val="superscript"/>
        </w:rPr>
        <w:t>th</w:t>
      </w:r>
      <w:r w:rsidRPr="000653B1">
        <w:rPr>
          <w:rFonts w:ascii="Arial" w:hAnsi="Arial" w:cs="Arial"/>
          <w:sz w:val="24"/>
          <w:szCs w:val="24"/>
        </w:rPr>
        <w:t xml:space="preserve"> and 18</w:t>
      </w:r>
      <w:r w:rsidRPr="000653B1">
        <w:rPr>
          <w:rFonts w:ascii="Arial" w:hAnsi="Arial" w:cs="Arial"/>
          <w:sz w:val="24"/>
          <w:szCs w:val="24"/>
          <w:vertAlign w:val="superscript"/>
        </w:rPr>
        <w:t>th</w:t>
      </w:r>
      <w:r w:rsidRPr="000653B1">
        <w:rPr>
          <w:rFonts w:ascii="Arial" w:hAnsi="Arial" w:cs="Arial"/>
          <w:sz w:val="24"/>
          <w:szCs w:val="24"/>
        </w:rPr>
        <w:t xml:space="preserve"> Centuries</w:t>
      </w:r>
    </w:p>
    <w:p w14:paraId="6C5BE2FB"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Early 19</w:t>
      </w:r>
      <w:r w:rsidRPr="000653B1">
        <w:rPr>
          <w:rFonts w:ascii="Arial" w:hAnsi="Arial" w:cs="Arial"/>
          <w:sz w:val="24"/>
          <w:szCs w:val="24"/>
          <w:vertAlign w:val="superscript"/>
        </w:rPr>
        <w:t>th</w:t>
      </w:r>
      <w:r w:rsidRPr="000653B1">
        <w:rPr>
          <w:rFonts w:ascii="Arial" w:hAnsi="Arial" w:cs="Arial"/>
          <w:sz w:val="24"/>
          <w:szCs w:val="24"/>
        </w:rPr>
        <w:t xml:space="preserve"> century financial crises</w:t>
      </w:r>
    </w:p>
    <w:p w14:paraId="1C1FA362"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1890s</w:t>
      </w:r>
    </w:p>
    <w:p w14:paraId="04CBA52C"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banking panic of 1907 and the emergence of Fed</w:t>
      </w:r>
    </w:p>
    <w:p w14:paraId="138C2FCD"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Great Depression I – Florida housing bubble, FED and 1931 banking crises</w:t>
      </w:r>
    </w:p>
    <w:p w14:paraId="04128266"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Great Depression II – US banking crisis</w:t>
      </w:r>
    </w:p>
    <w:p w14:paraId="55213C00"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Great Depression III – Germany, Eastern European crisis, sterling crisis</w:t>
      </w:r>
    </w:p>
    <w:p w14:paraId="7707A7A2" w14:textId="77777777" w:rsidR="00D755DB" w:rsidRPr="000653B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Financial crises in the 1990s</w:t>
      </w:r>
    </w:p>
    <w:p w14:paraId="668DA5A2" w14:textId="783F1078" w:rsidR="00D32AE1" w:rsidRDefault="00D755DB" w:rsidP="00D32AE1">
      <w:pPr>
        <w:pStyle w:val="ListParagraph"/>
        <w:numPr>
          <w:ilvl w:val="0"/>
          <w:numId w:val="14"/>
        </w:numPr>
        <w:spacing w:before="120" w:after="120" w:line="240" w:lineRule="auto"/>
        <w:ind w:left="1587" w:hanging="510"/>
        <w:contextualSpacing w:val="0"/>
        <w:rPr>
          <w:rFonts w:ascii="Arial" w:hAnsi="Arial" w:cs="Arial"/>
          <w:sz w:val="24"/>
          <w:szCs w:val="24"/>
        </w:rPr>
      </w:pPr>
      <w:r w:rsidRPr="000653B1">
        <w:rPr>
          <w:rFonts w:ascii="Arial" w:hAnsi="Arial" w:cs="Arial"/>
          <w:sz w:val="24"/>
          <w:szCs w:val="24"/>
        </w:rPr>
        <w:t>The Great Recessions – housing bubble, contagion, banking crisis</w:t>
      </w:r>
      <w:r w:rsidR="00D32AE1">
        <w:rPr>
          <w:rFonts w:ascii="Arial" w:hAnsi="Arial" w:cs="Arial"/>
          <w:sz w:val="24"/>
          <w:szCs w:val="24"/>
        </w:rPr>
        <w:t>.</w:t>
      </w:r>
    </w:p>
    <w:p w14:paraId="71417C00" w14:textId="77777777" w:rsidR="00D32AE1" w:rsidRDefault="00D32AE1">
      <w:pPr>
        <w:rPr>
          <w:rFonts w:ascii="Arial" w:hAnsi="Arial" w:cs="Arial"/>
          <w:sz w:val="24"/>
          <w:szCs w:val="24"/>
        </w:rPr>
      </w:pPr>
      <w:r>
        <w:rPr>
          <w:rFonts w:ascii="Arial" w:hAnsi="Arial" w:cs="Arial"/>
          <w:sz w:val="24"/>
          <w:szCs w:val="24"/>
        </w:rPr>
        <w:br w:type="page"/>
      </w:r>
    </w:p>
    <w:p w14:paraId="43F94D85" w14:textId="77777777" w:rsidR="00995CA4" w:rsidRDefault="00995CA4" w:rsidP="00995CA4">
      <w:pPr>
        <w:pStyle w:val="Heading2"/>
      </w:pPr>
      <w:r w:rsidRPr="009D52D0">
        <w:t xml:space="preserve">Reading list </w:t>
      </w:r>
    </w:p>
    <w:p w14:paraId="62EA9474" w14:textId="339EB5D4" w:rsidR="00134E37" w:rsidRPr="00134E37" w:rsidRDefault="00134E37" w:rsidP="00995CA4">
      <w:pPr>
        <w:pStyle w:val="BodyText"/>
      </w:pPr>
      <w:r w:rsidRPr="00134E37">
        <w:t xml:space="preserve">The University is committed to ensuring that core reading materials are in accessible electronic format in line with the Kent Inclusive Practices. </w:t>
      </w:r>
    </w:p>
    <w:p w14:paraId="3798AF66" w14:textId="2517D050" w:rsidR="00134E37" w:rsidRPr="00D32AE1" w:rsidRDefault="00134E37" w:rsidP="00D32AE1">
      <w:pPr>
        <w:pStyle w:val="BodyText"/>
      </w:pPr>
      <w:r w:rsidRPr="00134E37">
        <w:t xml:space="preserve">The most up to date reading list for each module can be found on the university's </w:t>
      </w:r>
      <w:hyperlink r:id="rId11" w:history="1">
        <w:r w:rsidRPr="00134E37">
          <w:rPr>
            <w:b/>
            <w:color w:val="0000FF"/>
            <w:u w:val="single"/>
          </w:rPr>
          <w:t>reading list pages</w:t>
        </w:r>
      </w:hyperlink>
      <w:r w:rsidRPr="00134E37">
        <w:t xml:space="preserve">. </w:t>
      </w:r>
    </w:p>
    <w:p w14:paraId="778DB3DE" w14:textId="77777777" w:rsidR="00134E37" w:rsidRPr="00134E37" w:rsidRDefault="00134E37" w:rsidP="00995CA4">
      <w:pPr>
        <w:pStyle w:val="Heading2"/>
      </w:pPr>
      <w:r w:rsidRPr="00134E37">
        <w:t>Contact Hours</w:t>
      </w:r>
    </w:p>
    <w:p w14:paraId="123A475C" w14:textId="5F99503B" w:rsidR="00134E37" w:rsidRPr="00134E37" w:rsidRDefault="00134E37" w:rsidP="00995CA4">
      <w:pPr>
        <w:pStyle w:val="BodyText"/>
      </w:pPr>
      <w:r w:rsidRPr="00134E37">
        <w:t>Private Study:</w:t>
      </w:r>
      <w:r w:rsidR="00D755DB">
        <w:t xml:space="preserve"> 128</w:t>
      </w:r>
    </w:p>
    <w:p w14:paraId="60D043B3" w14:textId="5331CEFD" w:rsidR="00134E37" w:rsidRPr="00134E37" w:rsidRDefault="00134E37" w:rsidP="00995CA4">
      <w:pPr>
        <w:pStyle w:val="BodyText"/>
      </w:pPr>
      <w:r w:rsidRPr="00134E37">
        <w:t>Contact Hours:</w:t>
      </w:r>
      <w:r w:rsidR="00D755DB">
        <w:t xml:space="preserve"> 22</w:t>
      </w:r>
    </w:p>
    <w:p w14:paraId="30C21B78" w14:textId="14239E47" w:rsidR="00134E37" w:rsidRPr="00134E37" w:rsidRDefault="00134E37" w:rsidP="00995CA4">
      <w:pPr>
        <w:pStyle w:val="BodyText"/>
      </w:pPr>
      <w:r w:rsidRPr="00134E37">
        <w:t>Total:</w:t>
      </w:r>
      <w:r w:rsidR="00D755DB">
        <w:t xml:space="preserve"> 150</w:t>
      </w:r>
    </w:p>
    <w:p w14:paraId="444AC7BD" w14:textId="77777777" w:rsidR="00134E37" w:rsidRPr="00134E37" w:rsidRDefault="00134E37" w:rsidP="00995CA4">
      <w:pPr>
        <w:pStyle w:val="Heading2"/>
        <w:rPr>
          <w:i/>
          <w:iCs/>
        </w:rPr>
      </w:pPr>
      <w:r w:rsidRPr="00134E37">
        <w:t>Assessment methods</w:t>
      </w:r>
    </w:p>
    <w:p w14:paraId="03DD6ED0" w14:textId="77777777" w:rsidR="00134E37" w:rsidRPr="00134E37" w:rsidRDefault="00134E37" w:rsidP="00D32AE1">
      <w:pPr>
        <w:numPr>
          <w:ilvl w:val="1"/>
          <w:numId w:val="11"/>
        </w:numPr>
        <w:spacing w:after="120" w:line="240" w:lineRule="auto"/>
        <w:ind w:left="567" w:right="543" w:hanging="567"/>
        <w:jc w:val="both"/>
        <w:rPr>
          <w:rFonts w:ascii="Arial" w:hAnsi="Arial" w:cs="Arial"/>
          <w:bCs/>
          <w:i/>
          <w:iCs/>
          <w:sz w:val="24"/>
          <w:szCs w:val="24"/>
        </w:rPr>
      </w:pPr>
      <w:r w:rsidRPr="00134E37">
        <w:rPr>
          <w:rFonts w:ascii="Arial" w:hAnsi="Arial" w:cs="Arial"/>
          <w:bCs/>
          <w:iCs/>
          <w:sz w:val="24"/>
          <w:szCs w:val="24"/>
        </w:rPr>
        <w:t>Main assessment methods</w:t>
      </w:r>
    </w:p>
    <w:p w14:paraId="09398A92" w14:textId="249FE474" w:rsidR="00DA52B0" w:rsidRDefault="00E320CC" w:rsidP="00995CA4">
      <w:pPr>
        <w:pStyle w:val="BodyText"/>
      </w:pPr>
      <w:r>
        <w:t>First assignment</w:t>
      </w:r>
      <w:r w:rsidR="00DA52B0" w:rsidRPr="00DA52B0">
        <w:t>, (</w:t>
      </w:r>
      <w:r>
        <w:t>1500</w:t>
      </w:r>
      <w:r w:rsidRPr="00DA52B0">
        <w:t xml:space="preserve"> </w:t>
      </w:r>
      <w:r w:rsidR="00DA52B0" w:rsidRPr="00DA52B0">
        <w:t>words)</w:t>
      </w:r>
      <w:r w:rsidR="00D32AE1">
        <w:tab/>
      </w:r>
      <w:r w:rsidR="00DA52B0" w:rsidRPr="00DA52B0">
        <w:t>(</w:t>
      </w:r>
      <w:r>
        <w:t>3</w:t>
      </w:r>
      <w:r w:rsidRPr="00DA52B0">
        <w:t>0</w:t>
      </w:r>
      <w:r w:rsidR="00DA52B0" w:rsidRPr="00DA52B0">
        <w:t>%)</w:t>
      </w:r>
    </w:p>
    <w:p w14:paraId="45AC92E0" w14:textId="585B3E0C" w:rsidR="00E320CC" w:rsidRDefault="00E320CC" w:rsidP="00995CA4">
      <w:pPr>
        <w:pStyle w:val="BodyText"/>
      </w:pPr>
      <w:r>
        <w:t>Second assignment, (3000 words)</w:t>
      </w:r>
      <w:r w:rsidR="00D32AE1">
        <w:tab/>
      </w:r>
      <w:r>
        <w:t>(60%)</w:t>
      </w:r>
    </w:p>
    <w:p w14:paraId="7FCDBCA9" w14:textId="1983F12D" w:rsidR="00E320CC" w:rsidRPr="00DA52B0" w:rsidRDefault="00E320CC" w:rsidP="00995CA4">
      <w:pPr>
        <w:pStyle w:val="BodyText"/>
      </w:pPr>
      <w:r>
        <w:t>Group project, (</w:t>
      </w:r>
      <w:r w:rsidR="003140F9">
        <w:t>500 words</w:t>
      </w:r>
      <w:r>
        <w:t>)</w:t>
      </w:r>
      <w:r w:rsidR="00D32AE1">
        <w:tab/>
      </w:r>
      <w:r w:rsidR="00D32AE1">
        <w:tab/>
      </w:r>
      <w:r>
        <w:t>(10%)</w:t>
      </w:r>
    </w:p>
    <w:p w14:paraId="1088E50F" w14:textId="3B1FAD16" w:rsidR="00134E37" w:rsidRPr="00134E37" w:rsidRDefault="00134E37" w:rsidP="00DA52B0">
      <w:pPr>
        <w:spacing w:after="120" w:line="240" w:lineRule="auto"/>
        <w:ind w:right="543"/>
        <w:rPr>
          <w:rFonts w:ascii="Arial" w:hAnsi="Arial" w:cs="Arial"/>
          <w:b/>
          <w:iCs/>
          <w:sz w:val="24"/>
          <w:szCs w:val="24"/>
        </w:rPr>
      </w:pPr>
    </w:p>
    <w:p w14:paraId="6EC83994" w14:textId="1D9F5E10" w:rsidR="00134E37" w:rsidRPr="00134E37" w:rsidRDefault="00134E37" w:rsidP="00134E37">
      <w:pPr>
        <w:spacing w:after="120"/>
        <w:ind w:left="567" w:right="543" w:hanging="567"/>
        <w:rPr>
          <w:rFonts w:ascii="Arial" w:hAnsi="Arial" w:cs="Arial"/>
          <w:iCs/>
          <w:sz w:val="24"/>
          <w:szCs w:val="24"/>
        </w:rPr>
      </w:pPr>
      <w:r w:rsidRPr="00134E37">
        <w:rPr>
          <w:rFonts w:ascii="Arial" w:hAnsi="Arial" w:cs="Arial"/>
          <w:iCs/>
          <w:sz w:val="24"/>
          <w:szCs w:val="24"/>
        </w:rPr>
        <w:t xml:space="preserve">13.2 </w:t>
      </w:r>
      <w:r w:rsidRPr="00134E37">
        <w:rPr>
          <w:rFonts w:ascii="Arial" w:hAnsi="Arial" w:cs="Arial"/>
          <w:iCs/>
          <w:sz w:val="24"/>
          <w:szCs w:val="24"/>
        </w:rPr>
        <w:tab/>
        <w:t xml:space="preserve">Reassessment methods </w:t>
      </w:r>
    </w:p>
    <w:p w14:paraId="1255C766" w14:textId="5BE02037" w:rsidR="00134E37" w:rsidRPr="00134E37" w:rsidRDefault="00DA52B0" w:rsidP="008F1960">
      <w:pPr>
        <w:pStyle w:val="BodyText"/>
      </w:pPr>
      <w:r w:rsidRPr="00DA52B0">
        <w:t xml:space="preserve">Reassessment Instrument: 100% </w:t>
      </w:r>
      <w:r w:rsidR="003140F9">
        <w:t>coursework</w:t>
      </w:r>
    </w:p>
    <w:p w14:paraId="4DA781B3" w14:textId="77777777" w:rsidR="00134E37" w:rsidRPr="00134E37" w:rsidRDefault="00134E37" w:rsidP="00995CA4">
      <w:pPr>
        <w:pStyle w:val="Heading2"/>
      </w:pPr>
      <w:r w:rsidRPr="00134E37">
        <w:t>Map of module learning outcomes (sections 8 &amp; 9) to learning and teaching methods (section 12) and methods of assessment (section 13)</w:t>
      </w:r>
    </w:p>
    <w:p w14:paraId="3DE0DB52" w14:textId="77777777" w:rsidR="00134E37" w:rsidRPr="00134E37" w:rsidRDefault="00134E37" w:rsidP="00285D57">
      <w:pPr>
        <w:spacing w:before="600" w:after="360" w:line="240" w:lineRule="auto"/>
        <w:ind w:left="567"/>
        <w:jc w:val="both"/>
        <w:rPr>
          <w:rFonts w:ascii="Arial" w:hAnsi="Arial" w:cs="Arial"/>
          <w:b/>
          <w:bCs/>
          <w:sz w:val="24"/>
          <w:szCs w:val="24"/>
        </w:rPr>
      </w:pPr>
      <w:r w:rsidRPr="00134E37">
        <w:rPr>
          <w:rFonts w:ascii="Arial" w:hAnsi="Arial" w:cs="Arial"/>
          <w:b/>
          <w:bCs/>
          <w:sz w:val="24"/>
          <w:szCs w:val="24"/>
        </w:rPr>
        <w:t>Module learning outcomes against learning and teaching methods:</w:t>
      </w:r>
    </w:p>
    <w:tbl>
      <w:tblPr>
        <w:tblStyle w:val="TableGrid2"/>
        <w:tblW w:w="9024" w:type="dxa"/>
        <w:tblInd w:w="610" w:type="dxa"/>
        <w:tblLayout w:type="fixed"/>
        <w:tblLook w:val="04A0" w:firstRow="1" w:lastRow="0" w:firstColumn="1" w:lastColumn="0" w:noHBand="0" w:noVBand="1"/>
      </w:tblPr>
      <w:tblGrid>
        <w:gridCol w:w="2439"/>
        <w:gridCol w:w="598"/>
        <w:gridCol w:w="599"/>
        <w:gridCol w:w="598"/>
        <w:gridCol w:w="599"/>
        <w:gridCol w:w="599"/>
        <w:gridCol w:w="598"/>
        <w:gridCol w:w="599"/>
        <w:gridCol w:w="599"/>
        <w:gridCol w:w="598"/>
        <w:gridCol w:w="599"/>
        <w:gridCol w:w="599"/>
      </w:tblGrid>
      <w:tr w:rsidR="00DA52B0" w:rsidRPr="00134E37" w14:paraId="1365899C" w14:textId="77777777" w:rsidTr="008F1960">
        <w:trPr>
          <w:cantSplit/>
          <w:tblHeader/>
        </w:trPr>
        <w:tc>
          <w:tcPr>
            <w:tcW w:w="2439" w:type="dxa"/>
            <w:shd w:val="clear" w:color="auto" w:fill="D9D9D9" w:themeFill="background1" w:themeFillShade="D9"/>
          </w:tcPr>
          <w:p w14:paraId="764AB22D" w14:textId="77777777" w:rsidR="00DA52B0" w:rsidRPr="00134E37" w:rsidRDefault="00DA52B0" w:rsidP="008F1960">
            <w:pPr>
              <w:spacing w:after="120" w:line="276" w:lineRule="auto"/>
              <w:rPr>
                <w:rFonts w:ascii="Arial" w:hAnsi="Arial" w:cs="Arial"/>
                <w:b/>
                <w:sz w:val="20"/>
                <w:szCs w:val="20"/>
              </w:rPr>
            </w:pPr>
            <w:r w:rsidRPr="00134E37">
              <w:rPr>
                <w:rFonts w:ascii="Arial" w:hAnsi="Arial" w:cs="Arial"/>
                <w:b/>
                <w:sz w:val="20"/>
                <w:szCs w:val="20"/>
              </w:rPr>
              <w:t>Module learning outcome</w:t>
            </w:r>
          </w:p>
        </w:tc>
        <w:tc>
          <w:tcPr>
            <w:tcW w:w="598" w:type="dxa"/>
          </w:tcPr>
          <w:p w14:paraId="2AA25CF0"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8.1</w:t>
            </w:r>
          </w:p>
        </w:tc>
        <w:tc>
          <w:tcPr>
            <w:tcW w:w="599" w:type="dxa"/>
          </w:tcPr>
          <w:p w14:paraId="31D42EF1"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8.2</w:t>
            </w:r>
          </w:p>
        </w:tc>
        <w:tc>
          <w:tcPr>
            <w:tcW w:w="598" w:type="dxa"/>
          </w:tcPr>
          <w:p w14:paraId="34199F87"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8.3</w:t>
            </w:r>
          </w:p>
        </w:tc>
        <w:tc>
          <w:tcPr>
            <w:tcW w:w="599" w:type="dxa"/>
          </w:tcPr>
          <w:p w14:paraId="5609DEED"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8.4</w:t>
            </w:r>
          </w:p>
        </w:tc>
        <w:tc>
          <w:tcPr>
            <w:tcW w:w="599" w:type="dxa"/>
          </w:tcPr>
          <w:p w14:paraId="53B9FE9E"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8.5</w:t>
            </w:r>
          </w:p>
        </w:tc>
        <w:tc>
          <w:tcPr>
            <w:tcW w:w="598" w:type="dxa"/>
          </w:tcPr>
          <w:p w14:paraId="25534EAD" w14:textId="492E349F"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w:t>
            </w:r>
            <w:r w:rsidR="008F1960" w:rsidRPr="008F1960">
              <w:rPr>
                <w:rFonts w:ascii="Arial" w:hAnsi="Arial" w:cs="Arial"/>
                <w:b/>
                <w:bCs/>
                <w:sz w:val="20"/>
                <w:szCs w:val="20"/>
              </w:rPr>
              <w:t>6</w:t>
            </w:r>
          </w:p>
        </w:tc>
        <w:tc>
          <w:tcPr>
            <w:tcW w:w="599" w:type="dxa"/>
          </w:tcPr>
          <w:p w14:paraId="2169C90B" w14:textId="76C2AC2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9.1</w:t>
            </w:r>
          </w:p>
        </w:tc>
        <w:tc>
          <w:tcPr>
            <w:tcW w:w="599" w:type="dxa"/>
          </w:tcPr>
          <w:p w14:paraId="72527612"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9.2</w:t>
            </w:r>
          </w:p>
        </w:tc>
        <w:tc>
          <w:tcPr>
            <w:tcW w:w="598" w:type="dxa"/>
          </w:tcPr>
          <w:p w14:paraId="608890E4"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9.3</w:t>
            </w:r>
          </w:p>
        </w:tc>
        <w:tc>
          <w:tcPr>
            <w:tcW w:w="599" w:type="dxa"/>
          </w:tcPr>
          <w:p w14:paraId="722B5A82"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9.4</w:t>
            </w:r>
          </w:p>
        </w:tc>
        <w:tc>
          <w:tcPr>
            <w:tcW w:w="599" w:type="dxa"/>
          </w:tcPr>
          <w:p w14:paraId="043C2BB6"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9.5</w:t>
            </w:r>
          </w:p>
        </w:tc>
      </w:tr>
      <w:tr w:rsidR="00DA52B0" w:rsidRPr="00134E37" w14:paraId="40420D67" w14:textId="77777777" w:rsidTr="008F1960">
        <w:tc>
          <w:tcPr>
            <w:tcW w:w="2439" w:type="dxa"/>
          </w:tcPr>
          <w:p w14:paraId="395CEAC2" w14:textId="77777777" w:rsidR="00DA52B0" w:rsidRPr="00134E37" w:rsidRDefault="00DA52B0" w:rsidP="008F1960">
            <w:pPr>
              <w:spacing w:after="120" w:line="276" w:lineRule="auto"/>
              <w:rPr>
                <w:rFonts w:ascii="Arial" w:hAnsi="Arial" w:cs="Arial"/>
                <w:b/>
                <w:sz w:val="20"/>
                <w:szCs w:val="20"/>
              </w:rPr>
            </w:pPr>
            <w:r w:rsidRPr="00134E37">
              <w:rPr>
                <w:rFonts w:ascii="Arial" w:hAnsi="Arial" w:cs="Arial"/>
                <w:b/>
                <w:sz w:val="20"/>
                <w:szCs w:val="20"/>
              </w:rPr>
              <w:t>Private Study</w:t>
            </w:r>
          </w:p>
        </w:tc>
        <w:tc>
          <w:tcPr>
            <w:tcW w:w="598" w:type="dxa"/>
          </w:tcPr>
          <w:p w14:paraId="3CA6DA16" w14:textId="0F2B99A3"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68094E03" w14:textId="62818FF7"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4802C8FE" w14:textId="484EA621"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2DE59470" w14:textId="66B53E01"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5B7C5032" w14:textId="502260EA"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3A885EA5" w14:textId="1E2F75F1"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4B1D8141" w14:textId="501A8C37"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45F47474" w14:textId="539DFC67"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4E2457D0" w14:textId="64F35306"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63499FF3" w14:textId="0BB0C6AD"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1A8A21DE" w14:textId="2C22E7CA"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r>
      <w:tr w:rsidR="00DA52B0" w:rsidRPr="00134E37" w14:paraId="1F21BCFB" w14:textId="77777777" w:rsidTr="008F1960">
        <w:tc>
          <w:tcPr>
            <w:tcW w:w="2439" w:type="dxa"/>
          </w:tcPr>
          <w:p w14:paraId="4108F465" w14:textId="417C2DCD" w:rsidR="00DA52B0" w:rsidRPr="00134E37" w:rsidRDefault="00EA1518" w:rsidP="008F1960">
            <w:pPr>
              <w:spacing w:after="120" w:line="276" w:lineRule="auto"/>
              <w:rPr>
                <w:rFonts w:ascii="Arial" w:hAnsi="Arial" w:cs="Arial"/>
                <w:b/>
                <w:sz w:val="20"/>
                <w:szCs w:val="20"/>
              </w:rPr>
            </w:pPr>
            <w:r w:rsidRPr="00EA1518">
              <w:rPr>
                <w:rFonts w:ascii="Arial" w:hAnsi="Arial" w:cs="Arial"/>
                <w:b/>
                <w:sz w:val="20"/>
                <w:szCs w:val="20"/>
              </w:rPr>
              <w:t xml:space="preserve">Lecture </w:t>
            </w:r>
          </w:p>
        </w:tc>
        <w:tc>
          <w:tcPr>
            <w:tcW w:w="598" w:type="dxa"/>
          </w:tcPr>
          <w:p w14:paraId="0F94A794" w14:textId="0114DA1C"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54ED86EC" w14:textId="103F267E"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375DE161" w14:textId="17F9C2E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279C1151" w14:textId="38970D12"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29512A6B" w14:textId="09C4D93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4F3AC96A" w14:textId="79988D64"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29D5041E" w14:textId="772E56E1"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6C0BC40B" w14:textId="7E124A5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1A6CCF56" w14:textId="19514482"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5B5ADB1A" w14:textId="77777777" w:rsidR="00DA52B0" w:rsidRPr="008F1960" w:rsidRDefault="00DA52B0" w:rsidP="008F1960">
            <w:pPr>
              <w:spacing w:after="120" w:line="276" w:lineRule="auto"/>
              <w:jc w:val="center"/>
              <w:rPr>
                <w:rFonts w:ascii="Arial" w:hAnsi="Arial" w:cs="Arial"/>
                <w:b/>
                <w:bCs/>
                <w:sz w:val="20"/>
                <w:szCs w:val="20"/>
              </w:rPr>
            </w:pPr>
          </w:p>
        </w:tc>
        <w:tc>
          <w:tcPr>
            <w:tcW w:w="599" w:type="dxa"/>
          </w:tcPr>
          <w:p w14:paraId="47944B83" w14:textId="77777777" w:rsidR="00DA52B0" w:rsidRPr="008F1960" w:rsidRDefault="00DA52B0" w:rsidP="008F1960">
            <w:pPr>
              <w:spacing w:after="120" w:line="276" w:lineRule="auto"/>
              <w:jc w:val="center"/>
              <w:rPr>
                <w:rFonts w:ascii="Arial" w:hAnsi="Arial" w:cs="Arial"/>
                <w:b/>
                <w:bCs/>
                <w:sz w:val="20"/>
                <w:szCs w:val="20"/>
              </w:rPr>
            </w:pPr>
          </w:p>
        </w:tc>
      </w:tr>
      <w:tr w:rsidR="00DA52B0" w:rsidRPr="00134E37" w14:paraId="451E2D77" w14:textId="77777777" w:rsidTr="008F1960">
        <w:tc>
          <w:tcPr>
            <w:tcW w:w="2439" w:type="dxa"/>
          </w:tcPr>
          <w:p w14:paraId="6C5B9B3C" w14:textId="34D47E31" w:rsidR="00DA52B0" w:rsidRPr="00134E37" w:rsidRDefault="00EA1518" w:rsidP="008F1960">
            <w:pPr>
              <w:spacing w:after="120" w:line="276" w:lineRule="auto"/>
              <w:rPr>
                <w:rFonts w:ascii="Arial" w:hAnsi="Arial" w:cs="Arial"/>
                <w:b/>
                <w:sz w:val="20"/>
                <w:szCs w:val="20"/>
              </w:rPr>
            </w:pPr>
            <w:r w:rsidRPr="00EA1518">
              <w:rPr>
                <w:rFonts w:ascii="Arial" w:hAnsi="Arial" w:cs="Arial"/>
                <w:b/>
                <w:sz w:val="20"/>
                <w:szCs w:val="20"/>
              </w:rPr>
              <w:t>Seminar</w:t>
            </w:r>
          </w:p>
        </w:tc>
        <w:tc>
          <w:tcPr>
            <w:tcW w:w="598" w:type="dxa"/>
          </w:tcPr>
          <w:p w14:paraId="115F3387" w14:textId="554798F4"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0C4876B9" w14:textId="2EF3F0B3"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52FF3EEB" w14:textId="742DD29B"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251DA18D" w14:textId="655038BC"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7CCB7270" w14:textId="66D239AA"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4D1BACB1" w14:textId="18BFA564"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23F23930" w14:textId="2B2405E2"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1E889BB7" w14:textId="030189D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8" w:type="dxa"/>
          </w:tcPr>
          <w:p w14:paraId="79CA7493" w14:textId="771B444C"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66E714F9" w14:textId="68D229B2"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599" w:type="dxa"/>
          </w:tcPr>
          <w:p w14:paraId="4A1C921D" w14:textId="2ABF2C81"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r>
    </w:tbl>
    <w:p w14:paraId="323BEA99" w14:textId="3FAC93F7" w:rsidR="00134E37" w:rsidRDefault="00134E37" w:rsidP="00134E37">
      <w:pPr>
        <w:spacing w:after="120" w:line="240" w:lineRule="auto"/>
        <w:ind w:left="426" w:right="543" w:firstLine="294"/>
        <w:rPr>
          <w:rFonts w:ascii="Arial" w:hAnsi="Arial" w:cs="Arial"/>
          <w:b/>
          <w:iCs/>
          <w:sz w:val="24"/>
          <w:szCs w:val="24"/>
        </w:rPr>
      </w:pPr>
    </w:p>
    <w:p w14:paraId="5AB52EB0" w14:textId="73CD0C79" w:rsidR="00EC7D5A" w:rsidRDefault="00EC7D5A" w:rsidP="00134E37">
      <w:pPr>
        <w:spacing w:after="120" w:line="240" w:lineRule="auto"/>
        <w:ind w:left="426" w:right="543" w:firstLine="294"/>
        <w:rPr>
          <w:rFonts w:ascii="Arial" w:hAnsi="Arial" w:cs="Arial"/>
          <w:b/>
          <w:iCs/>
          <w:sz w:val="24"/>
          <w:szCs w:val="24"/>
        </w:rPr>
      </w:pPr>
    </w:p>
    <w:p w14:paraId="1C64656F" w14:textId="52942751" w:rsidR="00EC7D5A" w:rsidRDefault="00EC7D5A" w:rsidP="00134E37">
      <w:pPr>
        <w:spacing w:after="120" w:line="240" w:lineRule="auto"/>
        <w:ind w:left="426" w:right="543" w:firstLine="294"/>
        <w:rPr>
          <w:rFonts w:ascii="Arial" w:hAnsi="Arial" w:cs="Arial"/>
          <w:b/>
          <w:iCs/>
          <w:sz w:val="24"/>
          <w:szCs w:val="24"/>
        </w:rPr>
      </w:pPr>
    </w:p>
    <w:p w14:paraId="18B54005" w14:textId="77777777" w:rsidR="00EC7D5A" w:rsidRDefault="00EC7D5A" w:rsidP="00134E37">
      <w:pPr>
        <w:spacing w:after="120" w:line="240" w:lineRule="auto"/>
        <w:ind w:left="426" w:right="543" w:firstLine="294"/>
        <w:rPr>
          <w:rFonts w:ascii="Arial" w:hAnsi="Arial" w:cs="Arial"/>
          <w:b/>
          <w:iCs/>
          <w:sz w:val="24"/>
          <w:szCs w:val="24"/>
        </w:rPr>
      </w:pPr>
    </w:p>
    <w:p w14:paraId="070901B7" w14:textId="77777777" w:rsidR="00134E37" w:rsidRPr="00134E37" w:rsidRDefault="00134E37" w:rsidP="00285D57">
      <w:pPr>
        <w:spacing w:before="600" w:after="360" w:line="240" w:lineRule="auto"/>
        <w:ind w:left="567"/>
        <w:rPr>
          <w:rFonts w:ascii="Arial" w:hAnsi="Arial" w:cs="Arial"/>
          <w:b/>
          <w:iCs/>
          <w:sz w:val="24"/>
          <w:szCs w:val="24"/>
        </w:rPr>
      </w:pPr>
      <w:r w:rsidRPr="00134E37">
        <w:rPr>
          <w:rFonts w:ascii="Arial" w:hAnsi="Arial" w:cs="Arial"/>
          <w:b/>
          <w:iCs/>
          <w:sz w:val="24"/>
          <w:szCs w:val="24"/>
        </w:rPr>
        <w:t>Module learning outcomes against assessment methods:</w:t>
      </w:r>
    </w:p>
    <w:tbl>
      <w:tblPr>
        <w:tblStyle w:val="TableGrid2"/>
        <w:tblpPr w:leftFromText="180" w:rightFromText="180" w:vertAnchor="text" w:horzAnchor="page" w:tblpX="1294" w:tblpY="108"/>
        <w:tblW w:w="9209" w:type="dxa"/>
        <w:tblLayout w:type="fixed"/>
        <w:tblLook w:val="04A0" w:firstRow="1" w:lastRow="0" w:firstColumn="1" w:lastColumn="0" w:noHBand="0" w:noVBand="1"/>
      </w:tblPr>
      <w:tblGrid>
        <w:gridCol w:w="2547"/>
        <w:gridCol w:w="605"/>
        <w:gridCol w:w="606"/>
        <w:gridCol w:w="605"/>
        <w:gridCol w:w="606"/>
        <w:gridCol w:w="606"/>
        <w:gridCol w:w="605"/>
        <w:gridCol w:w="606"/>
        <w:gridCol w:w="606"/>
        <w:gridCol w:w="605"/>
        <w:gridCol w:w="606"/>
        <w:gridCol w:w="606"/>
      </w:tblGrid>
      <w:tr w:rsidR="00DA52B0" w:rsidRPr="00134E37" w14:paraId="55F660EB" w14:textId="77777777" w:rsidTr="008F1960">
        <w:trPr>
          <w:tblHeader/>
        </w:trPr>
        <w:tc>
          <w:tcPr>
            <w:tcW w:w="2547" w:type="dxa"/>
            <w:shd w:val="clear" w:color="auto" w:fill="D9D9D9" w:themeFill="background1" w:themeFillShade="D9"/>
          </w:tcPr>
          <w:p w14:paraId="7F93802D" w14:textId="77777777" w:rsidR="00DA52B0" w:rsidRPr="00134E37" w:rsidRDefault="00DA52B0" w:rsidP="008F1960">
            <w:pPr>
              <w:spacing w:after="120" w:line="276" w:lineRule="auto"/>
              <w:rPr>
                <w:rFonts w:ascii="Arial" w:hAnsi="Arial" w:cs="Arial"/>
                <w:b/>
                <w:sz w:val="20"/>
                <w:szCs w:val="20"/>
              </w:rPr>
            </w:pPr>
            <w:r w:rsidRPr="00134E37">
              <w:rPr>
                <w:rFonts w:ascii="Arial" w:hAnsi="Arial" w:cs="Arial"/>
                <w:b/>
                <w:sz w:val="20"/>
                <w:szCs w:val="20"/>
              </w:rPr>
              <w:lastRenderedPageBreak/>
              <w:t>Module learning outcome</w:t>
            </w:r>
          </w:p>
        </w:tc>
        <w:tc>
          <w:tcPr>
            <w:tcW w:w="605" w:type="dxa"/>
          </w:tcPr>
          <w:p w14:paraId="58A92F1D"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8.1</w:t>
            </w:r>
          </w:p>
        </w:tc>
        <w:tc>
          <w:tcPr>
            <w:tcW w:w="606" w:type="dxa"/>
          </w:tcPr>
          <w:p w14:paraId="6D81539C"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8.2</w:t>
            </w:r>
          </w:p>
        </w:tc>
        <w:tc>
          <w:tcPr>
            <w:tcW w:w="605" w:type="dxa"/>
          </w:tcPr>
          <w:p w14:paraId="15716CFA"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8.3</w:t>
            </w:r>
          </w:p>
        </w:tc>
        <w:tc>
          <w:tcPr>
            <w:tcW w:w="606" w:type="dxa"/>
          </w:tcPr>
          <w:p w14:paraId="3B6E7C7A"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8.4</w:t>
            </w:r>
          </w:p>
        </w:tc>
        <w:tc>
          <w:tcPr>
            <w:tcW w:w="606" w:type="dxa"/>
          </w:tcPr>
          <w:p w14:paraId="18AA1D01"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8.5</w:t>
            </w:r>
          </w:p>
        </w:tc>
        <w:tc>
          <w:tcPr>
            <w:tcW w:w="605" w:type="dxa"/>
          </w:tcPr>
          <w:p w14:paraId="23E94D21" w14:textId="01D61774" w:rsidR="00DA52B0" w:rsidRPr="008F1960" w:rsidRDefault="00DA52B0" w:rsidP="008F1960">
            <w:pPr>
              <w:spacing w:after="120"/>
              <w:jc w:val="center"/>
              <w:rPr>
                <w:rFonts w:ascii="Arial" w:hAnsi="Arial" w:cs="Arial"/>
                <w:b/>
                <w:bCs/>
                <w:sz w:val="20"/>
                <w:szCs w:val="20"/>
              </w:rPr>
            </w:pPr>
            <w:r w:rsidRPr="008F1960">
              <w:rPr>
                <w:rFonts w:ascii="Arial" w:hAnsi="Arial" w:cs="Arial"/>
                <w:b/>
                <w:bCs/>
                <w:sz w:val="20"/>
                <w:szCs w:val="20"/>
              </w:rPr>
              <w:t>8.</w:t>
            </w:r>
            <w:r w:rsidR="00CA6D98" w:rsidRPr="008F1960">
              <w:rPr>
                <w:rFonts w:ascii="Arial" w:hAnsi="Arial" w:cs="Arial"/>
                <w:b/>
                <w:bCs/>
                <w:sz w:val="20"/>
                <w:szCs w:val="20"/>
              </w:rPr>
              <w:t>6</w:t>
            </w:r>
          </w:p>
        </w:tc>
        <w:tc>
          <w:tcPr>
            <w:tcW w:w="606" w:type="dxa"/>
          </w:tcPr>
          <w:p w14:paraId="51276A2E" w14:textId="68BFDF60"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9.1</w:t>
            </w:r>
          </w:p>
        </w:tc>
        <w:tc>
          <w:tcPr>
            <w:tcW w:w="606" w:type="dxa"/>
          </w:tcPr>
          <w:p w14:paraId="7021571A"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9.2</w:t>
            </w:r>
          </w:p>
        </w:tc>
        <w:tc>
          <w:tcPr>
            <w:tcW w:w="605" w:type="dxa"/>
          </w:tcPr>
          <w:p w14:paraId="4A176BF8"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9.3</w:t>
            </w:r>
          </w:p>
        </w:tc>
        <w:tc>
          <w:tcPr>
            <w:tcW w:w="606" w:type="dxa"/>
          </w:tcPr>
          <w:p w14:paraId="7F95D5BE"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9.4</w:t>
            </w:r>
          </w:p>
        </w:tc>
        <w:tc>
          <w:tcPr>
            <w:tcW w:w="606" w:type="dxa"/>
          </w:tcPr>
          <w:p w14:paraId="3235D342" w14:textId="77777777" w:rsidR="00DA52B0" w:rsidRPr="008F1960" w:rsidRDefault="00DA52B0" w:rsidP="008F1960">
            <w:pPr>
              <w:spacing w:after="120" w:line="276" w:lineRule="auto"/>
              <w:jc w:val="center"/>
              <w:rPr>
                <w:rFonts w:ascii="Arial" w:hAnsi="Arial" w:cs="Arial"/>
                <w:b/>
                <w:bCs/>
                <w:sz w:val="20"/>
                <w:szCs w:val="20"/>
              </w:rPr>
            </w:pPr>
            <w:r w:rsidRPr="008F1960">
              <w:rPr>
                <w:rFonts w:ascii="Arial" w:hAnsi="Arial" w:cs="Arial"/>
                <w:b/>
                <w:bCs/>
                <w:sz w:val="20"/>
                <w:szCs w:val="20"/>
              </w:rPr>
              <w:t>9.5</w:t>
            </w:r>
          </w:p>
        </w:tc>
      </w:tr>
      <w:tr w:rsidR="00DA52B0" w:rsidRPr="00134E37" w14:paraId="0F23A8AE" w14:textId="77777777" w:rsidTr="008F1960">
        <w:trPr>
          <w:tblHeader/>
        </w:trPr>
        <w:tc>
          <w:tcPr>
            <w:tcW w:w="2547" w:type="dxa"/>
          </w:tcPr>
          <w:p w14:paraId="2723DD36" w14:textId="77777777" w:rsidR="008F1960" w:rsidRDefault="003140F9" w:rsidP="008F1960">
            <w:pPr>
              <w:spacing w:line="276" w:lineRule="auto"/>
              <w:ind w:left="113" w:hanging="113"/>
              <w:rPr>
                <w:rFonts w:ascii="Arial" w:hAnsi="Arial" w:cs="Arial"/>
                <w:b/>
                <w:sz w:val="20"/>
                <w:szCs w:val="20"/>
              </w:rPr>
            </w:pPr>
            <w:r>
              <w:rPr>
                <w:rFonts w:ascii="Arial" w:hAnsi="Arial" w:cs="Arial"/>
                <w:b/>
                <w:sz w:val="20"/>
                <w:szCs w:val="20"/>
              </w:rPr>
              <w:t>First assignment</w:t>
            </w:r>
            <w:r w:rsidR="008F1960">
              <w:rPr>
                <w:rFonts w:ascii="Arial" w:hAnsi="Arial" w:cs="Arial"/>
                <w:b/>
                <w:sz w:val="20"/>
                <w:szCs w:val="20"/>
              </w:rPr>
              <w:t xml:space="preserve"> </w:t>
            </w:r>
          </w:p>
          <w:p w14:paraId="67F0FE52" w14:textId="00FDE416" w:rsidR="00D342FD" w:rsidRPr="00134E37" w:rsidRDefault="00D342FD" w:rsidP="008F1960">
            <w:pPr>
              <w:spacing w:line="276" w:lineRule="auto"/>
              <w:ind w:left="113" w:hanging="113"/>
              <w:rPr>
                <w:rFonts w:ascii="Arial" w:hAnsi="Arial" w:cs="Arial"/>
                <w:b/>
                <w:sz w:val="20"/>
                <w:szCs w:val="20"/>
              </w:rPr>
            </w:pPr>
            <w:r>
              <w:rPr>
                <w:rFonts w:ascii="Arial" w:hAnsi="Arial" w:cs="Arial"/>
                <w:b/>
                <w:sz w:val="20"/>
                <w:szCs w:val="20"/>
              </w:rPr>
              <w:t>(</w:t>
            </w:r>
            <w:r w:rsidR="003140F9">
              <w:rPr>
                <w:rFonts w:ascii="Arial" w:hAnsi="Arial" w:cs="Arial"/>
                <w:b/>
                <w:sz w:val="20"/>
                <w:szCs w:val="20"/>
              </w:rPr>
              <w:t xml:space="preserve">1500 </w:t>
            </w:r>
            <w:r>
              <w:rPr>
                <w:rFonts w:ascii="Arial" w:hAnsi="Arial" w:cs="Arial"/>
                <w:b/>
                <w:sz w:val="20"/>
                <w:szCs w:val="20"/>
              </w:rPr>
              <w:t>words)</w:t>
            </w:r>
          </w:p>
        </w:tc>
        <w:tc>
          <w:tcPr>
            <w:tcW w:w="605" w:type="dxa"/>
          </w:tcPr>
          <w:p w14:paraId="23597FA9" w14:textId="21DF028D"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3B833124" w14:textId="4F79E77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5" w:type="dxa"/>
          </w:tcPr>
          <w:p w14:paraId="3300F524" w14:textId="01FBB8BE"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46C92F5C" w14:textId="3BE404AB"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2F2AA8A0" w14:textId="34C44AC6"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5" w:type="dxa"/>
          </w:tcPr>
          <w:p w14:paraId="73C6B8FC" w14:textId="42C0A721" w:rsidR="00DA52B0" w:rsidRPr="008F1960" w:rsidRDefault="00EA151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1293D18D" w14:textId="1756A541"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4BDAD661" w14:textId="4029B59B"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5" w:type="dxa"/>
          </w:tcPr>
          <w:p w14:paraId="255F1E02" w14:textId="18B9CCD4"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4D0EF33D" w14:textId="4D9C2E44"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5196540F" w14:textId="12D66840"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r>
      <w:tr w:rsidR="00DA52B0" w:rsidRPr="00134E37" w14:paraId="4FB27EA7" w14:textId="77777777" w:rsidTr="008F1960">
        <w:trPr>
          <w:tblHeader/>
        </w:trPr>
        <w:tc>
          <w:tcPr>
            <w:tcW w:w="2547" w:type="dxa"/>
          </w:tcPr>
          <w:p w14:paraId="1A92EC10" w14:textId="77777777" w:rsidR="008F1960" w:rsidRDefault="003140F9" w:rsidP="008F1960">
            <w:pPr>
              <w:spacing w:line="276" w:lineRule="auto"/>
              <w:ind w:left="113" w:hanging="113"/>
              <w:rPr>
                <w:rFonts w:ascii="Arial" w:hAnsi="Arial" w:cs="Arial"/>
                <w:b/>
                <w:sz w:val="20"/>
                <w:szCs w:val="20"/>
              </w:rPr>
            </w:pPr>
            <w:r>
              <w:rPr>
                <w:rFonts w:ascii="Arial" w:hAnsi="Arial" w:cs="Arial"/>
                <w:b/>
                <w:sz w:val="20"/>
                <w:szCs w:val="20"/>
              </w:rPr>
              <w:t>Second assignment</w:t>
            </w:r>
          </w:p>
          <w:p w14:paraId="660ADDE5" w14:textId="668F17DA" w:rsidR="00DA52B0" w:rsidRPr="00134E37" w:rsidRDefault="008F1960" w:rsidP="008F1960">
            <w:pPr>
              <w:spacing w:line="276" w:lineRule="auto"/>
              <w:ind w:left="113" w:hanging="113"/>
              <w:rPr>
                <w:rFonts w:ascii="Arial" w:hAnsi="Arial" w:cs="Arial"/>
                <w:b/>
                <w:sz w:val="20"/>
                <w:szCs w:val="20"/>
              </w:rPr>
            </w:pPr>
            <w:r>
              <w:rPr>
                <w:rFonts w:ascii="Arial" w:hAnsi="Arial" w:cs="Arial"/>
                <w:b/>
                <w:sz w:val="20"/>
                <w:szCs w:val="20"/>
              </w:rPr>
              <w:t>(</w:t>
            </w:r>
            <w:r w:rsidR="003140F9">
              <w:rPr>
                <w:rFonts w:ascii="Arial" w:hAnsi="Arial" w:cs="Arial"/>
                <w:b/>
                <w:sz w:val="20"/>
                <w:szCs w:val="20"/>
              </w:rPr>
              <w:t>3000 words)</w:t>
            </w:r>
          </w:p>
        </w:tc>
        <w:tc>
          <w:tcPr>
            <w:tcW w:w="605" w:type="dxa"/>
          </w:tcPr>
          <w:p w14:paraId="49EF8D5B" w14:textId="4DC9347D"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060EBCDF" w14:textId="5ACD07C9"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5" w:type="dxa"/>
          </w:tcPr>
          <w:p w14:paraId="7E705E32" w14:textId="040A799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37DAA44B" w14:textId="754813AD"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59DD9C19" w14:textId="572C3377"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5" w:type="dxa"/>
          </w:tcPr>
          <w:p w14:paraId="673A8B39" w14:textId="64FA5266" w:rsidR="00DA52B0" w:rsidRPr="008F1960" w:rsidRDefault="00EA151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25BA5688" w14:textId="5BD3ED44"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78966503" w14:textId="423DAEE9"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5" w:type="dxa"/>
          </w:tcPr>
          <w:p w14:paraId="3CAE1A7A" w14:textId="4F697263"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7E3A93DB" w14:textId="388E0662"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c>
          <w:tcPr>
            <w:tcW w:w="606" w:type="dxa"/>
          </w:tcPr>
          <w:p w14:paraId="28473B16" w14:textId="2A457748" w:rsidR="00DA52B0" w:rsidRPr="008F1960" w:rsidRDefault="00EA1518" w:rsidP="008F1960">
            <w:pPr>
              <w:spacing w:after="120" w:line="276" w:lineRule="auto"/>
              <w:jc w:val="center"/>
              <w:rPr>
                <w:rFonts w:ascii="Arial" w:hAnsi="Arial" w:cs="Arial"/>
                <w:b/>
                <w:bCs/>
                <w:sz w:val="20"/>
                <w:szCs w:val="20"/>
              </w:rPr>
            </w:pPr>
            <w:r w:rsidRPr="008F1960">
              <w:rPr>
                <w:rFonts w:ascii="Arial" w:hAnsi="Arial" w:cs="Arial"/>
                <w:b/>
                <w:bCs/>
                <w:sz w:val="20"/>
                <w:szCs w:val="20"/>
              </w:rPr>
              <w:t>x</w:t>
            </w:r>
          </w:p>
        </w:tc>
      </w:tr>
      <w:tr w:rsidR="006E5C28" w:rsidRPr="00134E37" w14:paraId="5D4411AC" w14:textId="77777777" w:rsidTr="008F1960">
        <w:trPr>
          <w:tblHeader/>
        </w:trPr>
        <w:tc>
          <w:tcPr>
            <w:tcW w:w="2547" w:type="dxa"/>
          </w:tcPr>
          <w:p w14:paraId="47B2B760" w14:textId="77777777" w:rsidR="008F1960" w:rsidRDefault="006E5C28" w:rsidP="008F1960">
            <w:pPr>
              <w:ind w:left="113" w:hanging="113"/>
              <w:rPr>
                <w:rFonts w:ascii="Arial" w:hAnsi="Arial" w:cs="Arial"/>
                <w:b/>
                <w:sz w:val="20"/>
                <w:szCs w:val="20"/>
              </w:rPr>
            </w:pPr>
            <w:r>
              <w:rPr>
                <w:rFonts w:ascii="Arial" w:hAnsi="Arial" w:cs="Arial"/>
                <w:b/>
                <w:sz w:val="20"/>
                <w:szCs w:val="20"/>
              </w:rPr>
              <w:t>Group project</w:t>
            </w:r>
          </w:p>
          <w:p w14:paraId="0440EDC9" w14:textId="19680C76" w:rsidR="006E5C28" w:rsidRPr="00D342FD" w:rsidDel="003140F9" w:rsidRDefault="006E5C28" w:rsidP="008F1960">
            <w:pPr>
              <w:ind w:left="113" w:hanging="113"/>
              <w:rPr>
                <w:rFonts w:ascii="Arial" w:hAnsi="Arial" w:cs="Arial"/>
                <w:b/>
                <w:sz w:val="20"/>
                <w:szCs w:val="20"/>
              </w:rPr>
            </w:pPr>
            <w:r>
              <w:rPr>
                <w:rFonts w:ascii="Arial" w:hAnsi="Arial" w:cs="Arial"/>
                <w:b/>
                <w:sz w:val="20"/>
                <w:szCs w:val="20"/>
              </w:rPr>
              <w:t>(</w:t>
            </w:r>
            <w:r w:rsidR="00B93B56">
              <w:rPr>
                <w:rFonts w:ascii="Arial" w:hAnsi="Arial" w:cs="Arial"/>
                <w:b/>
                <w:sz w:val="20"/>
                <w:szCs w:val="20"/>
              </w:rPr>
              <w:t>500</w:t>
            </w:r>
            <w:r>
              <w:rPr>
                <w:rFonts w:ascii="Arial" w:hAnsi="Arial" w:cs="Arial"/>
                <w:b/>
                <w:sz w:val="20"/>
                <w:szCs w:val="20"/>
              </w:rPr>
              <w:t xml:space="preserve"> words)</w:t>
            </w:r>
          </w:p>
        </w:tc>
        <w:tc>
          <w:tcPr>
            <w:tcW w:w="605" w:type="dxa"/>
          </w:tcPr>
          <w:p w14:paraId="49EEDE75" w14:textId="25DB5AE4"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6BD90F4F" w14:textId="6B3A96D2"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5" w:type="dxa"/>
          </w:tcPr>
          <w:p w14:paraId="012D3D9E" w14:textId="41B8E6C2"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3FA189E0" w14:textId="6D796CAD"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3333280D" w14:textId="664B1EA2"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5" w:type="dxa"/>
          </w:tcPr>
          <w:p w14:paraId="4C943936" w14:textId="6AE31B5E"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6D63B930" w14:textId="259DE248"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25C447D9" w14:textId="34FEA4D2"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5" w:type="dxa"/>
          </w:tcPr>
          <w:p w14:paraId="76050866" w14:textId="2805DCC4"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3A203694" w14:textId="03F301D4"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c>
          <w:tcPr>
            <w:tcW w:w="606" w:type="dxa"/>
          </w:tcPr>
          <w:p w14:paraId="00DA999F" w14:textId="1C99E574" w:rsidR="006E5C28" w:rsidRPr="008F1960" w:rsidRDefault="006E5C28" w:rsidP="008F1960">
            <w:pPr>
              <w:spacing w:after="120"/>
              <w:jc w:val="center"/>
              <w:rPr>
                <w:rFonts w:ascii="Arial" w:hAnsi="Arial" w:cs="Arial"/>
                <w:b/>
                <w:bCs/>
                <w:sz w:val="20"/>
                <w:szCs w:val="20"/>
              </w:rPr>
            </w:pPr>
            <w:r w:rsidRPr="008F1960">
              <w:rPr>
                <w:rFonts w:ascii="Arial" w:hAnsi="Arial" w:cs="Arial"/>
                <w:b/>
                <w:bCs/>
                <w:sz w:val="20"/>
                <w:szCs w:val="20"/>
              </w:rPr>
              <w:t>x</w:t>
            </w:r>
          </w:p>
        </w:tc>
      </w:tr>
    </w:tbl>
    <w:p w14:paraId="2A060951" w14:textId="77777777" w:rsidR="00134E37" w:rsidRPr="00134E37" w:rsidRDefault="00134E37" w:rsidP="00995CA4">
      <w:pPr>
        <w:pStyle w:val="Heading2"/>
        <w:rPr>
          <w:iCs/>
        </w:rPr>
      </w:pPr>
      <w:r w:rsidRPr="00134E37">
        <w:t xml:space="preserve">Inclusive module design </w:t>
      </w:r>
    </w:p>
    <w:p w14:paraId="44A03FA4" w14:textId="39A0061C" w:rsidR="00134E37" w:rsidRPr="00134E37" w:rsidRDefault="00134E37" w:rsidP="00134E37">
      <w:pPr>
        <w:autoSpaceDE w:val="0"/>
        <w:autoSpaceDN w:val="0"/>
        <w:adjustRightInd w:val="0"/>
        <w:spacing w:after="120" w:line="240" w:lineRule="auto"/>
        <w:ind w:left="567" w:right="543"/>
        <w:jc w:val="both"/>
        <w:rPr>
          <w:rFonts w:ascii="Arial" w:hAnsi="Arial" w:cs="Arial"/>
          <w:sz w:val="24"/>
          <w:szCs w:val="24"/>
        </w:rPr>
      </w:pPr>
      <w:r w:rsidRPr="00134E37">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B660E7" w14:textId="77777777" w:rsidR="00134E37" w:rsidRPr="00134E37" w:rsidRDefault="00134E37" w:rsidP="00134E37">
      <w:pPr>
        <w:autoSpaceDE w:val="0"/>
        <w:autoSpaceDN w:val="0"/>
        <w:adjustRightInd w:val="0"/>
        <w:spacing w:after="120" w:line="240" w:lineRule="auto"/>
        <w:ind w:left="567" w:right="543"/>
        <w:jc w:val="both"/>
        <w:rPr>
          <w:rFonts w:ascii="Arial" w:hAnsi="Arial" w:cs="Arial"/>
          <w:sz w:val="24"/>
          <w:szCs w:val="24"/>
        </w:rPr>
      </w:pPr>
      <w:r w:rsidRPr="00134E37">
        <w:rPr>
          <w:rFonts w:ascii="Arial" w:hAnsi="Arial" w:cs="Arial"/>
          <w:sz w:val="24"/>
          <w:szCs w:val="24"/>
        </w:rPr>
        <w:t>The inclusive practices in the guidance (see Annex B Appendix A) have been considered in order to support all students in the following areas:</w:t>
      </w:r>
    </w:p>
    <w:p w14:paraId="39B04E18" w14:textId="77777777" w:rsidR="00134E37" w:rsidRPr="00134E37" w:rsidRDefault="00134E37" w:rsidP="00134E37">
      <w:pPr>
        <w:autoSpaceDE w:val="0"/>
        <w:autoSpaceDN w:val="0"/>
        <w:adjustRightInd w:val="0"/>
        <w:spacing w:after="120" w:line="240" w:lineRule="auto"/>
        <w:ind w:left="567" w:right="543"/>
        <w:jc w:val="both"/>
        <w:rPr>
          <w:rFonts w:ascii="Arial" w:hAnsi="Arial" w:cs="Arial"/>
          <w:bCs/>
          <w:sz w:val="24"/>
          <w:szCs w:val="24"/>
        </w:rPr>
      </w:pPr>
      <w:r w:rsidRPr="00134E37">
        <w:rPr>
          <w:rFonts w:ascii="Arial" w:hAnsi="Arial" w:cs="Arial"/>
          <w:sz w:val="24"/>
          <w:szCs w:val="24"/>
        </w:rPr>
        <w:t xml:space="preserve">a) </w:t>
      </w:r>
      <w:r w:rsidRPr="00134E37">
        <w:rPr>
          <w:rFonts w:ascii="Arial" w:hAnsi="Arial" w:cs="Arial"/>
          <w:bCs/>
          <w:sz w:val="24"/>
          <w:szCs w:val="24"/>
        </w:rPr>
        <w:t>Accessible resources and curriculum</w:t>
      </w:r>
    </w:p>
    <w:p w14:paraId="3BB0AFD5" w14:textId="77777777" w:rsidR="00134E37" w:rsidRPr="00134E37" w:rsidRDefault="00134E37" w:rsidP="00134E3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134E37">
        <w:rPr>
          <w:rFonts w:ascii="Arial" w:hAnsi="Arial" w:cs="Arial"/>
          <w:sz w:val="24"/>
          <w:szCs w:val="24"/>
        </w:rPr>
        <w:t xml:space="preserve">b) </w:t>
      </w:r>
      <w:r w:rsidRPr="00134E37">
        <w:rPr>
          <w:rFonts w:ascii="Arial" w:hAnsi="Arial" w:cs="Arial"/>
          <w:bCs/>
          <w:sz w:val="24"/>
          <w:szCs w:val="24"/>
        </w:rPr>
        <w:t>Learning, teaching and assessment methods</w:t>
      </w:r>
    </w:p>
    <w:p w14:paraId="5ECE7B7B" w14:textId="77777777" w:rsidR="00134E37" w:rsidRPr="00134E37" w:rsidRDefault="00134E37" w:rsidP="00995CA4">
      <w:pPr>
        <w:pStyle w:val="Heading2"/>
      </w:pPr>
      <w:r w:rsidRPr="00134E37">
        <w:t>Campus(es) or centre(s) where module will be delivered</w:t>
      </w:r>
    </w:p>
    <w:p w14:paraId="3263F4D4" w14:textId="599E9BBF" w:rsidR="00134E37" w:rsidRPr="00134E37" w:rsidRDefault="00ED219D" w:rsidP="00134E37">
      <w:pPr>
        <w:spacing w:after="120" w:line="240" w:lineRule="auto"/>
        <w:ind w:left="426" w:right="543"/>
        <w:rPr>
          <w:rFonts w:ascii="Arial" w:hAnsi="Arial" w:cs="Arial"/>
          <w:sz w:val="24"/>
          <w:szCs w:val="24"/>
        </w:rPr>
      </w:pPr>
      <w:r>
        <w:rPr>
          <w:rFonts w:ascii="Arial" w:hAnsi="Arial" w:cs="Arial"/>
          <w:sz w:val="24"/>
          <w:szCs w:val="24"/>
        </w:rPr>
        <w:t xml:space="preserve">   Canterbury</w:t>
      </w:r>
    </w:p>
    <w:p w14:paraId="7D22EF04" w14:textId="77777777" w:rsidR="00134E37" w:rsidRPr="00134E37" w:rsidRDefault="00134E37" w:rsidP="00995CA4">
      <w:pPr>
        <w:pStyle w:val="Heading2"/>
      </w:pPr>
      <w:r w:rsidRPr="00134E37">
        <w:t xml:space="preserve">Internationalisation </w:t>
      </w:r>
    </w:p>
    <w:p w14:paraId="403879EB" w14:textId="67223420" w:rsidR="00134E37" w:rsidRPr="00134E37" w:rsidRDefault="002239F1" w:rsidP="002239F1">
      <w:pPr>
        <w:pStyle w:val="ListParagraph"/>
        <w:spacing w:after="120" w:line="240" w:lineRule="auto"/>
        <w:ind w:left="567" w:right="261"/>
        <w:rPr>
          <w:rFonts w:ascii="Arial" w:hAnsi="Arial" w:cs="Arial"/>
          <w:sz w:val="24"/>
          <w:szCs w:val="24"/>
        </w:rPr>
      </w:pPr>
      <w:r w:rsidRPr="002239F1">
        <w:rPr>
          <w:rFonts w:ascii="Arial" w:hAnsi="Arial" w:cs="Arial"/>
          <w:sz w:val="24"/>
          <w:szCs w:val="24"/>
        </w:rPr>
        <w:t>The subject content of the module will have a strong international dimension (see synopsis).</w:t>
      </w:r>
    </w:p>
    <w:p w14:paraId="51AA03D0" w14:textId="77777777" w:rsidR="00134E37" w:rsidRPr="00134E37" w:rsidRDefault="00134E37" w:rsidP="00134E37">
      <w:pPr>
        <w:spacing w:after="120" w:line="240" w:lineRule="auto"/>
        <w:ind w:left="426" w:right="543"/>
        <w:rPr>
          <w:rFonts w:ascii="Arial" w:hAnsi="Arial" w:cs="Arial"/>
          <w:iCs/>
          <w:sz w:val="24"/>
          <w:szCs w:val="24"/>
        </w:rPr>
      </w:pPr>
    </w:p>
    <w:p w14:paraId="6C5ABEAF" w14:textId="77777777" w:rsidR="008F1960" w:rsidRPr="009D52D0" w:rsidRDefault="008F1960" w:rsidP="008F1960">
      <w:pPr>
        <w:pBdr>
          <w:bottom w:val="single" w:sz="6" w:space="1" w:color="auto"/>
        </w:pBdr>
        <w:spacing w:after="120" w:line="240" w:lineRule="auto"/>
        <w:ind w:right="543"/>
        <w:rPr>
          <w:rFonts w:ascii="Arial" w:hAnsi="Arial" w:cs="Arial"/>
          <w:sz w:val="24"/>
          <w:szCs w:val="24"/>
        </w:rPr>
      </w:pPr>
      <w:bookmarkStart w:id="0" w:name="_Hlk110347234"/>
      <w:bookmarkStart w:id="1" w:name="_Hlk118801091"/>
    </w:p>
    <w:p w14:paraId="70523CED" w14:textId="77777777" w:rsidR="008F1960" w:rsidRPr="005E5282" w:rsidRDefault="008F1960" w:rsidP="008F1960">
      <w:pPr>
        <w:spacing w:after="120" w:line="240" w:lineRule="auto"/>
        <w:ind w:right="543"/>
        <w:rPr>
          <w:rFonts w:ascii="Arial" w:hAnsi="Arial" w:cs="Arial"/>
          <w:b/>
        </w:rPr>
      </w:pPr>
      <w:r w:rsidRPr="005E5282">
        <w:rPr>
          <w:rFonts w:ascii="Arial" w:hAnsi="Arial" w:cs="Arial"/>
          <w:b/>
        </w:rPr>
        <w:t xml:space="preserve">DIVISIONAL USE ONLY </w:t>
      </w:r>
    </w:p>
    <w:bookmarkEnd w:id="1"/>
    <w:p w14:paraId="1DF84BF5" w14:textId="77777777" w:rsidR="008F1960" w:rsidRPr="005E5282" w:rsidRDefault="008F1960" w:rsidP="008F1960">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986B338" w14:textId="77777777" w:rsidR="008F1960" w:rsidRPr="005E5282" w:rsidRDefault="008F1960" w:rsidP="008F1960">
      <w:pPr>
        <w:spacing w:after="120" w:line="240" w:lineRule="auto"/>
        <w:ind w:right="543"/>
        <w:rPr>
          <w:rFonts w:ascii="Arial" w:hAnsi="Arial" w:cs="Arial"/>
          <w:b/>
        </w:rPr>
      </w:pPr>
    </w:p>
    <w:tbl>
      <w:tblPr>
        <w:tblStyle w:val="TableGrid"/>
        <w:tblW w:w="9776" w:type="dxa"/>
        <w:tblLook w:val="04A0" w:firstRow="1" w:lastRow="0" w:firstColumn="1" w:lastColumn="0" w:noHBand="0" w:noVBand="1"/>
      </w:tblPr>
      <w:tblGrid>
        <w:gridCol w:w="1592"/>
        <w:gridCol w:w="1817"/>
        <w:gridCol w:w="2256"/>
        <w:gridCol w:w="2077"/>
        <w:gridCol w:w="2034"/>
      </w:tblGrid>
      <w:tr w:rsidR="008F1960" w:rsidRPr="009D52D0" w14:paraId="6520F935" w14:textId="77777777" w:rsidTr="008F1960">
        <w:trPr>
          <w:trHeight w:val="317"/>
          <w:tblHeader/>
        </w:trPr>
        <w:tc>
          <w:tcPr>
            <w:tcW w:w="1592" w:type="dxa"/>
            <w:shd w:val="clear" w:color="auto" w:fill="F2F2F2" w:themeFill="background1" w:themeFillShade="F2"/>
          </w:tcPr>
          <w:p w14:paraId="1F96548C" w14:textId="77777777" w:rsidR="008F1960" w:rsidRPr="009D52D0" w:rsidRDefault="008F1960" w:rsidP="00CB346F">
            <w:pPr>
              <w:pStyle w:val="Tableoutcomeshead"/>
            </w:pPr>
            <w:r w:rsidRPr="009D52D0">
              <w:t>Date approved</w:t>
            </w:r>
          </w:p>
        </w:tc>
        <w:tc>
          <w:tcPr>
            <w:tcW w:w="1817" w:type="dxa"/>
            <w:shd w:val="clear" w:color="auto" w:fill="F2F2F2" w:themeFill="background1" w:themeFillShade="F2"/>
          </w:tcPr>
          <w:p w14:paraId="6536333B" w14:textId="77777777" w:rsidR="008F1960" w:rsidRPr="009D52D0" w:rsidRDefault="008F1960"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6B585D5C" w14:textId="77777777" w:rsidR="008F1960" w:rsidRPr="009D52D0" w:rsidRDefault="008F1960"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8028716" w14:textId="77777777" w:rsidR="008F1960" w:rsidRPr="009D52D0" w:rsidRDefault="008F1960" w:rsidP="00CB346F">
            <w:pPr>
              <w:pStyle w:val="Tableoutcomeshead"/>
            </w:pPr>
            <w:r w:rsidRPr="009D52D0">
              <w:t>Section revised</w:t>
            </w:r>
            <w:r>
              <w:t xml:space="preserve"> (if applicable)</w:t>
            </w:r>
          </w:p>
        </w:tc>
        <w:tc>
          <w:tcPr>
            <w:tcW w:w="2034" w:type="dxa"/>
            <w:shd w:val="clear" w:color="auto" w:fill="F2F2F2" w:themeFill="background1" w:themeFillShade="F2"/>
          </w:tcPr>
          <w:p w14:paraId="540529C9" w14:textId="77777777" w:rsidR="008F1960" w:rsidRPr="009D52D0" w:rsidRDefault="008F1960" w:rsidP="00CB346F">
            <w:pPr>
              <w:pStyle w:val="Tableoutcomeshead"/>
            </w:pPr>
            <w:r w:rsidRPr="009D52D0">
              <w:t>Impacts PLOs (Q6</w:t>
            </w:r>
            <w:r>
              <w:t xml:space="preserve"> </w:t>
            </w:r>
            <w:r w:rsidRPr="009D52D0">
              <w:t>&amp;</w:t>
            </w:r>
            <w:r>
              <w:t xml:space="preserve"> </w:t>
            </w:r>
            <w:r w:rsidRPr="009D52D0">
              <w:t>7 cover sheet)</w:t>
            </w:r>
          </w:p>
        </w:tc>
      </w:tr>
      <w:tr w:rsidR="008F1960" w:rsidRPr="009D52D0" w14:paraId="502D6B1B" w14:textId="77777777" w:rsidTr="008F1960">
        <w:trPr>
          <w:trHeight w:val="305"/>
        </w:trPr>
        <w:tc>
          <w:tcPr>
            <w:tcW w:w="1592" w:type="dxa"/>
          </w:tcPr>
          <w:p w14:paraId="3D054364" w14:textId="31802B2D" w:rsidR="008F1960" w:rsidRPr="009D52D0" w:rsidRDefault="008F1960" w:rsidP="00CB346F">
            <w:pPr>
              <w:pStyle w:val="Tabledivuseonly"/>
            </w:pPr>
            <w:r>
              <w:t>05.11.22</w:t>
            </w:r>
          </w:p>
        </w:tc>
        <w:tc>
          <w:tcPr>
            <w:tcW w:w="1817" w:type="dxa"/>
          </w:tcPr>
          <w:p w14:paraId="0DF724B4" w14:textId="3D5943F7" w:rsidR="008F1960" w:rsidRPr="009D52D0" w:rsidRDefault="008F1960" w:rsidP="00CB346F">
            <w:pPr>
              <w:pStyle w:val="Tabledivuseonly"/>
            </w:pPr>
            <w:r>
              <w:t>Major</w:t>
            </w:r>
          </w:p>
        </w:tc>
        <w:tc>
          <w:tcPr>
            <w:tcW w:w="2256" w:type="dxa"/>
          </w:tcPr>
          <w:p w14:paraId="5D47CAE8" w14:textId="2D6005CD" w:rsidR="008F1960" w:rsidRPr="009D52D0" w:rsidRDefault="008F1960" w:rsidP="00CB346F">
            <w:pPr>
              <w:pStyle w:val="Tabledivuseonly"/>
            </w:pPr>
            <w:r>
              <w:t>September 2023</w:t>
            </w:r>
          </w:p>
        </w:tc>
        <w:tc>
          <w:tcPr>
            <w:tcW w:w="2077" w:type="dxa"/>
          </w:tcPr>
          <w:p w14:paraId="264004FE" w14:textId="4A60CD4C" w:rsidR="008F1960" w:rsidRPr="009D52D0" w:rsidRDefault="008F1960" w:rsidP="00CB346F">
            <w:pPr>
              <w:pStyle w:val="Tabledivuseonly"/>
            </w:pPr>
            <w:r w:rsidRPr="008F1960">
              <w:t>6, 8, 9, 11, 13, 14</w:t>
            </w:r>
          </w:p>
        </w:tc>
        <w:tc>
          <w:tcPr>
            <w:tcW w:w="2034" w:type="dxa"/>
          </w:tcPr>
          <w:p w14:paraId="010C4E88" w14:textId="77777777" w:rsidR="008F1960" w:rsidRPr="009D52D0" w:rsidRDefault="008F1960" w:rsidP="00CB346F">
            <w:pPr>
              <w:pStyle w:val="Tabledivuseonly"/>
            </w:pPr>
          </w:p>
        </w:tc>
      </w:tr>
      <w:tr w:rsidR="008F1960" w:rsidRPr="009D52D0" w14:paraId="712F6070" w14:textId="77777777" w:rsidTr="008F1960">
        <w:trPr>
          <w:trHeight w:val="305"/>
        </w:trPr>
        <w:tc>
          <w:tcPr>
            <w:tcW w:w="1592" w:type="dxa"/>
          </w:tcPr>
          <w:p w14:paraId="7972D162" w14:textId="77777777" w:rsidR="008F1960" w:rsidRPr="009D52D0" w:rsidRDefault="008F1960" w:rsidP="00CB346F">
            <w:pPr>
              <w:pStyle w:val="Tabledivuseonly"/>
            </w:pPr>
          </w:p>
        </w:tc>
        <w:tc>
          <w:tcPr>
            <w:tcW w:w="1817" w:type="dxa"/>
          </w:tcPr>
          <w:p w14:paraId="44D79B75" w14:textId="77777777" w:rsidR="008F1960" w:rsidRPr="009D52D0" w:rsidRDefault="008F1960" w:rsidP="00CB346F">
            <w:pPr>
              <w:pStyle w:val="Tabledivuseonly"/>
            </w:pPr>
          </w:p>
        </w:tc>
        <w:tc>
          <w:tcPr>
            <w:tcW w:w="2256" w:type="dxa"/>
          </w:tcPr>
          <w:p w14:paraId="1E739EEA" w14:textId="77777777" w:rsidR="008F1960" w:rsidRPr="009D52D0" w:rsidRDefault="008F1960" w:rsidP="00CB346F">
            <w:pPr>
              <w:pStyle w:val="Tabledivuseonly"/>
            </w:pPr>
          </w:p>
        </w:tc>
        <w:tc>
          <w:tcPr>
            <w:tcW w:w="2077" w:type="dxa"/>
          </w:tcPr>
          <w:p w14:paraId="54A42E74" w14:textId="77777777" w:rsidR="008F1960" w:rsidRPr="009D52D0" w:rsidRDefault="008F1960" w:rsidP="00CB346F">
            <w:pPr>
              <w:pStyle w:val="Tabledivuseonly"/>
            </w:pPr>
          </w:p>
        </w:tc>
        <w:tc>
          <w:tcPr>
            <w:tcW w:w="2034" w:type="dxa"/>
          </w:tcPr>
          <w:p w14:paraId="399701DD" w14:textId="77777777" w:rsidR="008F1960" w:rsidRPr="009D52D0" w:rsidRDefault="008F1960" w:rsidP="00CB346F">
            <w:pPr>
              <w:pStyle w:val="Tabledivuseonly"/>
            </w:pPr>
          </w:p>
        </w:tc>
      </w:tr>
    </w:tbl>
    <w:p w14:paraId="41938AC5" w14:textId="77777777" w:rsidR="008F1960" w:rsidRDefault="008F1960" w:rsidP="00EC7D5A">
      <w:pPr>
        <w:spacing w:after="120" w:line="240" w:lineRule="auto"/>
        <w:ind w:right="543"/>
        <w:rPr>
          <w:rFonts w:ascii="Arial" w:hAnsi="Arial" w:cs="Arial"/>
          <w:sz w:val="24"/>
          <w:szCs w:val="24"/>
        </w:rPr>
      </w:pPr>
    </w:p>
    <w:bookmarkEnd w:id="0"/>
    <w:sectPr w:rsidR="008F1960" w:rsidSect="00995CA4">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B031" w14:textId="77777777" w:rsidR="00DD3A2C" w:rsidRDefault="00DD3A2C" w:rsidP="009A2D37">
      <w:pPr>
        <w:spacing w:after="0" w:line="240" w:lineRule="auto"/>
      </w:pPr>
      <w:r>
        <w:separator/>
      </w:r>
    </w:p>
  </w:endnote>
  <w:endnote w:type="continuationSeparator" w:id="0">
    <w:p w14:paraId="01C2DED2" w14:textId="77777777" w:rsidR="00DD3A2C" w:rsidRDefault="00DD3A2C" w:rsidP="009A2D37">
      <w:pPr>
        <w:spacing w:after="0" w:line="240" w:lineRule="auto"/>
      </w:pPr>
      <w:r>
        <w:continuationSeparator/>
      </w:r>
    </w:p>
  </w:endnote>
  <w:endnote w:type="continuationNotice" w:id="1">
    <w:p w14:paraId="6B0AF78A" w14:textId="77777777" w:rsidR="00DD3A2C" w:rsidRDefault="00DD3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029E6CD" w:rsidR="008B2543" w:rsidRDefault="0019787E" w:rsidP="00995CA4">
        <w:pPr>
          <w:pStyle w:val="Footer"/>
          <w:spacing w:before="120" w:after="120"/>
          <w:jc w:val="center"/>
        </w:pPr>
        <w:r>
          <w:fldChar w:fldCharType="begin"/>
        </w:r>
        <w:r>
          <w:instrText xml:space="preserve"> PAGE   \* MERGEFORMAT </w:instrText>
        </w:r>
        <w:r>
          <w:fldChar w:fldCharType="separate"/>
        </w:r>
        <w:r w:rsidR="00A57E3F">
          <w:rPr>
            <w:noProof/>
          </w:rPr>
          <w:t>6</w:t>
        </w:r>
        <w:r>
          <w:rPr>
            <w:noProof/>
          </w:rPr>
          <w:fldChar w:fldCharType="end"/>
        </w:r>
      </w:p>
    </w:sdtContent>
  </w:sdt>
  <w:p w14:paraId="26569854" w14:textId="12A71B0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995CA4">
      <w:rPr>
        <w:rFonts w:ascii="Arial" w:hAnsi="Arial"/>
        <w:sz w:val="18"/>
      </w:rPr>
      <w:t>:</w:t>
    </w:r>
    <w:r w:rsidRPr="007B7724">
      <w:rPr>
        <w:rFonts w:ascii="Arial" w:hAnsi="Arial"/>
        <w:sz w:val="18"/>
      </w:rPr>
      <w:t xml:space="preserve"> </w:t>
    </w:r>
    <w:r w:rsidR="00995CA4" w:rsidRPr="00995CA4">
      <w:rPr>
        <w:rFonts w:ascii="Arial" w:hAnsi="Arial"/>
        <w:sz w:val="18"/>
      </w:rPr>
      <w:t>ECON6030 Financial Crises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59EF407" w:rsidR="00EB41D1" w:rsidRDefault="00EB41D1" w:rsidP="00EB41D1">
        <w:pPr>
          <w:pStyle w:val="Footer"/>
          <w:jc w:val="center"/>
        </w:pPr>
        <w:r>
          <w:fldChar w:fldCharType="begin"/>
        </w:r>
        <w:r>
          <w:instrText xml:space="preserve"> PAGE   \* MERGEFORMAT </w:instrText>
        </w:r>
        <w:r>
          <w:fldChar w:fldCharType="separate"/>
        </w:r>
        <w:r w:rsidR="00A57E3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2EC6" w14:textId="77777777" w:rsidR="00DD3A2C" w:rsidRDefault="00DD3A2C" w:rsidP="009A2D37">
      <w:pPr>
        <w:spacing w:after="0" w:line="240" w:lineRule="auto"/>
      </w:pPr>
      <w:r>
        <w:separator/>
      </w:r>
    </w:p>
  </w:footnote>
  <w:footnote w:type="continuationSeparator" w:id="0">
    <w:p w14:paraId="0AD380CF" w14:textId="77777777" w:rsidR="00DD3A2C" w:rsidRDefault="00DD3A2C" w:rsidP="009A2D37">
      <w:pPr>
        <w:spacing w:after="0" w:line="240" w:lineRule="auto"/>
      </w:pPr>
      <w:r>
        <w:continuationSeparator/>
      </w:r>
    </w:p>
  </w:footnote>
  <w:footnote w:type="continuationNotice" w:id="1">
    <w:p w14:paraId="1FA576F7" w14:textId="77777777" w:rsidR="00DD3A2C" w:rsidRDefault="00DD3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A0DF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7C8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B5BEE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62A1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7A3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E005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0D8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CD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084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46F1C0B"/>
    <w:multiLevelType w:val="multilevel"/>
    <w:tmpl w:val="08FCF010"/>
    <w:lvl w:ilvl="0">
      <w:start w:val="8"/>
      <w:numFmt w:val="decimal"/>
      <w:lvlText w:val="%1."/>
      <w:lvlJc w:val="left"/>
      <w:pPr>
        <w:ind w:left="927" w:hanging="36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3447" w:hanging="720"/>
      </w:pPr>
      <w:rPr>
        <w:rFonts w:hint="default"/>
      </w:rPr>
    </w:lvl>
    <w:lvl w:ilvl="3">
      <w:start w:val="1"/>
      <w:numFmt w:val="decimal"/>
      <w:lvlText w:val="%1.%2.%3.%4."/>
      <w:lvlJc w:val="left"/>
      <w:pPr>
        <w:ind w:left="4887" w:hanging="1080"/>
      </w:pPr>
      <w:rPr>
        <w:rFonts w:hint="default"/>
      </w:rPr>
    </w:lvl>
    <w:lvl w:ilvl="4">
      <w:start w:val="1"/>
      <w:numFmt w:val="decimal"/>
      <w:lvlText w:val="%1.%2.%3.%4.%5."/>
      <w:lvlJc w:val="left"/>
      <w:pPr>
        <w:ind w:left="5967" w:hanging="1080"/>
      </w:pPr>
      <w:rPr>
        <w:rFonts w:hint="default"/>
      </w:rPr>
    </w:lvl>
    <w:lvl w:ilvl="5">
      <w:start w:val="1"/>
      <w:numFmt w:val="decimal"/>
      <w:lvlText w:val="%1.%2.%3.%4.%5.%6."/>
      <w:lvlJc w:val="left"/>
      <w:pPr>
        <w:ind w:left="7407" w:hanging="1440"/>
      </w:pPr>
      <w:rPr>
        <w:rFonts w:hint="default"/>
      </w:rPr>
    </w:lvl>
    <w:lvl w:ilvl="6">
      <w:start w:val="1"/>
      <w:numFmt w:val="decimal"/>
      <w:lvlText w:val="%1.%2.%3.%4.%5.%6.%7."/>
      <w:lvlJc w:val="left"/>
      <w:pPr>
        <w:ind w:left="8487" w:hanging="1440"/>
      </w:pPr>
      <w:rPr>
        <w:rFonts w:hint="default"/>
      </w:rPr>
    </w:lvl>
    <w:lvl w:ilvl="7">
      <w:start w:val="1"/>
      <w:numFmt w:val="decimal"/>
      <w:lvlText w:val="%1.%2.%3.%4.%5.%6.%7.%8."/>
      <w:lvlJc w:val="left"/>
      <w:pPr>
        <w:ind w:left="9927" w:hanging="1800"/>
      </w:pPr>
      <w:rPr>
        <w:rFonts w:hint="default"/>
      </w:rPr>
    </w:lvl>
    <w:lvl w:ilvl="8">
      <w:start w:val="1"/>
      <w:numFmt w:val="decimal"/>
      <w:lvlText w:val="%1.%2.%3.%4.%5.%6.%7.%8.%9."/>
      <w:lvlJc w:val="left"/>
      <w:pPr>
        <w:ind w:left="11007" w:hanging="1800"/>
      </w:pPr>
      <w:rPr>
        <w:rFonts w:hint="default"/>
      </w:rPr>
    </w:lvl>
  </w:abstractNum>
  <w:abstractNum w:abstractNumId="12" w15:restartNumberingAfterBreak="0">
    <w:nsid w:val="168363A7"/>
    <w:multiLevelType w:val="multilevel"/>
    <w:tmpl w:val="91028A02"/>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4602052"/>
    <w:multiLevelType w:val="hybridMultilevel"/>
    <w:tmpl w:val="33A80C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994720461">
    <w:abstractNumId w:val="13"/>
  </w:num>
  <w:num w:numId="2" w16cid:durableId="2078817919">
    <w:abstractNumId w:val="9"/>
  </w:num>
  <w:num w:numId="3" w16cid:durableId="1804931983">
    <w:abstractNumId w:val="14"/>
  </w:num>
  <w:num w:numId="4" w16cid:durableId="351492486">
    <w:abstractNumId w:val="10"/>
  </w:num>
  <w:num w:numId="5" w16cid:durableId="1181579040">
    <w:abstractNumId w:val="21"/>
  </w:num>
  <w:num w:numId="6" w16cid:durableId="1005475751">
    <w:abstractNumId w:val="19"/>
  </w:num>
  <w:num w:numId="7" w16cid:durableId="60762636">
    <w:abstractNumId w:val="22"/>
  </w:num>
  <w:num w:numId="8" w16cid:durableId="561018245">
    <w:abstractNumId w:val="20"/>
  </w:num>
  <w:num w:numId="9" w16cid:durableId="169832970">
    <w:abstractNumId w:val="15"/>
  </w:num>
  <w:num w:numId="10" w16cid:durableId="916790872">
    <w:abstractNumId w:val="16"/>
  </w:num>
  <w:num w:numId="11" w16cid:durableId="349574674">
    <w:abstractNumId w:val="23"/>
  </w:num>
  <w:num w:numId="12" w16cid:durableId="1559900488">
    <w:abstractNumId w:val="11"/>
  </w:num>
  <w:num w:numId="13" w16cid:durableId="1184170454">
    <w:abstractNumId w:val="12"/>
  </w:num>
  <w:num w:numId="14" w16cid:durableId="684598070">
    <w:abstractNumId w:val="18"/>
  </w:num>
  <w:num w:numId="15" w16cid:durableId="593632697">
    <w:abstractNumId w:val="17"/>
  </w:num>
  <w:num w:numId="16" w16cid:durableId="1441299155">
    <w:abstractNumId w:val="7"/>
  </w:num>
  <w:num w:numId="17" w16cid:durableId="22950062">
    <w:abstractNumId w:val="6"/>
  </w:num>
  <w:num w:numId="18" w16cid:durableId="1567836020">
    <w:abstractNumId w:val="5"/>
  </w:num>
  <w:num w:numId="19" w16cid:durableId="824324949">
    <w:abstractNumId w:val="4"/>
  </w:num>
  <w:num w:numId="20" w16cid:durableId="231281151">
    <w:abstractNumId w:val="8"/>
  </w:num>
  <w:num w:numId="21" w16cid:durableId="868877304">
    <w:abstractNumId w:val="3"/>
  </w:num>
  <w:num w:numId="22" w16cid:durableId="1915117081">
    <w:abstractNumId w:val="2"/>
  </w:num>
  <w:num w:numId="23" w16cid:durableId="1900356438">
    <w:abstractNumId w:val="1"/>
  </w:num>
  <w:num w:numId="24" w16cid:durableId="1487816268">
    <w:abstractNumId w:val="0"/>
  </w:num>
  <w:num w:numId="25" w16cid:durableId="1617757827">
    <w:abstractNumId w:val="13"/>
  </w:num>
  <w:num w:numId="26" w16cid:durableId="16126971">
    <w:abstractNumId w:val="9"/>
  </w:num>
  <w:num w:numId="27" w16cid:durableId="200751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5359"/>
    <w:rsid w:val="000408CC"/>
    <w:rsid w:val="00045373"/>
    <w:rsid w:val="00063A2F"/>
    <w:rsid w:val="000653B1"/>
    <w:rsid w:val="000674E0"/>
    <w:rsid w:val="000678D3"/>
    <w:rsid w:val="00072357"/>
    <w:rsid w:val="000760BF"/>
    <w:rsid w:val="00094810"/>
    <w:rsid w:val="00094825"/>
    <w:rsid w:val="00096DA4"/>
    <w:rsid w:val="000A0E79"/>
    <w:rsid w:val="000C0294"/>
    <w:rsid w:val="000C3A7E"/>
    <w:rsid w:val="000C76C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4E3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38D"/>
    <w:rsid w:val="001E62C1"/>
    <w:rsid w:val="001F0779"/>
    <w:rsid w:val="001F3C3E"/>
    <w:rsid w:val="00201C5F"/>
    <w:rsid w:val="0020243A"/>
    <w:rsid w:val="00204081"/>
    <w:rsid w:val="0021578E"/>
    <w:rsid w:val="002239F1"/>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D57"/>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40F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35EA"/>
    <w:rsid w:val="0053059E"/>
    <w:rsid w:val="00532F6F"/>
    <w:rsid w:val="00533663"/>
    <w:rsid w:val="00542219"/>
    <w:rsid w:val="005460C2"/>
    <w:rsid w:val="005526FB"/>
    <w:rsid w:val="0055280A"/>
    <w:rsid w:val="00553D19"/>
    <w:rsid w:val="005548E1"/>
    <w:rsid w:val="0055585D"/>
    <w:rsid w:val="00560B5F"/>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622"/>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079F"/>
    <w:rsid w:val="006A6BB4"/>
    <w:rsid w:val="006A6D16"/>
    <w:rsid w:val="006A7FB0"/>
    <w:rsid w:val="006B31B1"/>
    <w:rsid w:val="006C2A9A"/>
    <w:rsid w:val="006C423D"/>
    <w:rsid w:val="006C46EF"/>
    <w:rsid w:val="006C4C67"/>
    <w:rsid w:val="006D13C0"/>
    <w:rsid w:val="006D41AB"/>
    <w:rsid w:val="006D444F"/>
    <w:rsid w:val="006E413A"/>
    <w:rsid w:val="006E4FEA"/>
    <w:rsid w:val="006E5C28"/>
    <w:rsid w:val="006F1A15"/>
    <w:rsid w:val="006F3F8B"/>
    <w:rsid w:val="00700488"/>
    <w:rsid w:val="00703404"/>
    <w:rsid w:val="0070351D"/>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5EF7"/>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213"/>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960"/>
    <w:rsid w:val="00902E9C"/>
    <w:rsid w:val="00903DF6"/>
    <w:rsid w:val="00921CF6"/>
    <w:rsid w:val="00922E9E"/>
    <w:rsid w:val="00924EF0"/>
    <w:rsid w:val="00934D7B"/>
    <w:rsid w:val="00947180"/>
    <w:rsid w:val="009567BE"/>
    <w:rsid w:val="009676FA"/>
    <w:rsid w:val="009679E0"/>
    <w:rsid w:val="00977632"/>
    <w:rsid w:val="00982A8E"/>
    <w:rsid w:val="00987DB4"/>
    <w:rsid w:val="0099029D"/>
    <w:rsid w:val="00995CA4"/>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7E3F"/>
    <w:rsid w:val="00A618E1"/>
    <w:rsid w:val="00A629B9"/>
    <w:rsid w:val="00A70C20"/>
    <w:rsid w:val="00A74292"/>
    <w:rsid w:val="00A776DE"/>
    <w:rsid w:val="00A80640"/>
    <w:rsid w:val="00A87FFD"/>
    <w:rsid w:val="00A95AE7"/>
    <w:rsid w:val="00A97038"/>
    <w:rsid w:val="00A97CB8"/>
    <w:rsid w:val="00AA3C15"/>
    <w:rsid w:val="00AA6330"/>
    <w:rsid w:val="00AA6CB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3B56"/>
    <w:rsid w:val="00BA453C"/>
    <w:rsid w:val="00BA4E02"/>
    <w:rsid w:val="00BB2045"/>
    <w:rsid w:val="00BB2A6D"/>
    <w:rsid w:val="00BB4189"/>
    <w:rsid w:val="00BC19F7"/>
    <w:rsid w:val="00BC41ED"/>
    <w:rsid w:val="00BD009E"/>
    <w:rsid w:val="00BD0EF8"/>
    <w:rsid w:val="00BD7A8C"/>
    <w:rsid w:val="00BE156B"/>
    <w:rsid w:val="00BE2126"/>
    <w:rsid w:val="00BE3B17"/>
    <w:rsid w:val="00BF51AB"/>
    <w:rsid w:val="00BF716B"/>
    <w:rsid w:val="00BF7233"/>
    <w:rsid w:val="00C0208C"/>
    <w:rsid w:val="00C02AA2"/>
    <w:rsid w:val="00C04C95"/>
    <w:rsid w:val="00C12613"/>
    <w:rsid w:val="00C16DEF"/>
    <w:rsid w:val="00C2492F"/>
    <w:rsid w:val="00C30377"/>
    <w:rsid w:val="00C3744A"/>
    <w:rsid w:val="00C4002A"/>
    <w:rsid w:val="00C46912"/>
    <w:rsid w:val="00C612A8"/>
    <w:rsid w:val="00C618D2"/>
    <w:rsid w:val="00C64377"/>
    <w:rsid w:val="00C67631"/>
    <w:rsid w:val="00C709C6"/>
    <w:rsid w:val="00C729D7"/>
    <w:rsid w:val="00C83354"/>
    <w:rsid w:val="00C84004"/>
    <w:rsid w:val="00C843F6"/>
    <w:rsid w:val="00C84507"/>
    <w:rsid w:val="00C862C7"/>
    <w:rsid w:val="00C866AE"/>
    <w:rsid w:val="00CA3254"/>
    <w:rsid w:val="00CA6D98"/>
    <w:rsid w:val="00CB11CE"/>
    <w:rsid w:val="00CC25A2"/>
    <w:rsid w:val="00CD7F07"/>
    <w:rsid w:val="00CE04F3"/>
    <w:rsid w:val="00CE0C47"/>
    <w:rsid w:val="00CE12D8"/>
    <w:rsid w:val="00CE4574"/>
    <w:rsid w:val="00CE70E6"/>
    <w:rsid w:val="00CF0BCA"/>
    <w:rsid w:val="00CF2E1E"/>
    <w:rsid w:val="00D02E99"/>
    <w:rsid w:val="00D13357"/>
    <w:rsid w:val="00D13A13"/>
    <w:rsid w:val="00D2689A"/>
    <w:rsid w:val="00D32AE1"/>
    <w:rsid w:val="00D342FD"/>
    <w:rsid w:val="00D65506"/>
    <w:rsid w:val="00D755DB"/>
    <w:rsid w:val="00D773CF"/>
    <w:rsid w:val="00D83563"/>
    <w:rsid w:val="00D8448F"/>
    <w:rsid w:val="00DA52B0"/>
    <w:rsid w:val="00DA64B6"/>
    <w:rsid w:val="00DB2B91"/>
    <w:rsid w:val="00DB5C9D"/>
    <w:rsid w:val="00DD02E6"/>
    <w:rsid w:val="00DD2E74"/>
    <w:rsid w:val="00DD3A2C"/>
    <w:rsid w:val="00DF665B"/>
    <w:rsid w:val="00E0152A"/>
    <w:rsid w:val="00E03394"/>
    <w:rsid w:val="00E066E5"/>
    <w:rsid w:val="00E160C8"/>
    <w:rsid w:val="00E1736E"/>
    <w:rsid w:val="00E21923"/>
    <w:rsid w:val="00E22F03"/>
    <w:rsid w:val="00E233C1"/>
    <w:rsid w:val="00E320CC"/>
    <w:rsid w:val="00E51404"/>
    <w:rsid w:val="00E574C9"/>
    <w:rsid w:val="00E610DE"/>
    <w:rsid w:val="00E66167"/>
    <w:rsid w:val="00E71F2F"/>
    <w:rsid w:val="00E77786"/>
    <w:rsid w:val="00E806FB"/>
    <w:rsid w:val="00EA1518"/>
    <w:rsid w:val="00EB0365"/>
    <w:rsid w:val="00EB1C2D"/>
    <w:rsid w:val="00EB41D1"/>
    <w:rsid w:val="00EC0CD4"/>
    <w:rsid w:val="00EC1810"/>
    <w:rsid w:val="00EC3FCC"/>
    <w:rsid w:val="00EC7D5A"/>
    <w:rsid w:val="00ED219D"/>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6C4"/>
    <w:rsid w:val="00F317D7"/>
    <w:rsid w:val="00F340DE"/>
    <w:rsid w:val="00F34ED0"/>
    <w:rsid w:val="00F43542"/>
    <w:rsid w:val="00F44BAB"/>
    <w:rsid w:val="00F454E2"/>
    <w:rsid w:val="00F527CB"/>
    <w:rsid w:val="00F562AA"/>
    <w:rsid w:val="00F6279E"/>
    <w:rsid w:val="00F66975"/>
    <w:rsid w:val="00F7105A"/>
    <w:rsid w:val="00F7710E"/>
    <w:rsid w:val="00F77676"/>
    <w:rsid w:val="00F8197C"/>
    <w:rsid w:val="00F82B4E"/>
    <w:rsid w:val="00F87559"/>
    <w:rsid w:val="00F96D71"/>
    <w:rsid w:val="00F97C9E"/>
    <w:rsid w:val="00FA20DE"/>
    <w:rsid w:val="00FA4EE8"/>
    <w:rsid w:val="00FB02CA"/>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A4"/>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995CA4"/>
    <w:pPr>
      <w:spacing w:before="600"/>
      <w:ind w:left="567" w:right="0" w:hanging="567"/>
      <w:jc w:val="left"/>
      <w:outlineLvl w:val="1"/>
    </w:pPr>
  </w:style>
  <w:style w:type="paragraph" w:styleId="Heading3">
    <w:name w:val="heading 3"/>
    <w:basedOn w:val="Normal"/>
    <w:next w:val="Normal"/>
    <w:link w:val="Heading3Char"/>
    <w:uiPriority w:val="9"/>
    <w:unhideWhenUsed/>
    <w:qFormat/>
    <w:rsid w:val="00995C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995CA4"/>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5CA4"/>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995CA4"/>
    <w:pPr>
      <w:numPr>
        <w:numId w:val="26"/>
      </w:numPr>
      <w:spacing w:before="120" w:after="120" w:line="240" w:lineRule="auto"/>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5"/>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95CA4"/>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134E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38D"/>
    <w:pPr>
      <w:spacing w:after="0" w:line="240" w:lineRule="auto"/>
    </w:pPr>
    <w:rPr>
      <w:rFonts w:eastAsiaTheme="minorEastAsia"/>
      <w:lang w:eastAsia="en-GB"/>
    </w:rPr>
  </w:style>
  <w:style w:type="paragraph" w:styleId="BodyText">
    <w:name w:val="Body Text"/>
    <w:basedOn w:val="Normal"/>
    <w:link w:val="BodyTextChar"/>
    <w:uiPriority w:val="99"/>
    <w:unhideWhenUsed/>
    <w:rsid w:val="00995CA4"/>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995CA4"/>
    <w:rPr>
      <w:rFonts w:ascii="Arial" w:eastAsiaTheme="minorEastAsia" w:hAnsi="Arial"/>
      <w:sz w:val="24"/>
      <w:lang w:eastAsia="en-GB"/>
    </w:rPr>
  </w:style>
  <w:style w:type="character" w:customStyle="1" w:styleId="Heading3Char">
    <w:name w:val="Heading 3 Char"/>
    <w:basedOn w:val="DefaultParagraphFont"/>
    <w:link w:val="Heading3"/>
    <w:uiPriority w:val="9"/>
    <w:rsid w:val="00995CA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95CA4"/>
    <w:rPr>
      <w:rFonts w:ascii="Arial" w:eastAsiaTheme="majorEastAsia" w:hAnsi="Arial" w:cstheme="majorBidi"/>
      <w:b/>
      <w:i/>
      <w:iCs/>
      <w:lang w:eastAsia="en-GB"/>
    </w:rPr>
  </w:style>
  <w:style w:type="paragraph" w:styleId="ListNumber2">
    <w:name w:val="List Number 2"/>
    <w:basedOn w:val="BodyText"/>
    <w:uiPriority w:val="99"/>
    <w:unhideWhenUsed/>
    <w:rsid w:val="00995CA4"/>
    <w:pPr>
      <w:ind w:left="1021" w:hanging="454"/>
    </w:pPr>
  </w:style>
  <w:style w:type="paragraph" w:styleId="ListNumber3">
    <w:name w:val="List Number 3"/>
    <w:basedOn w:val="Normal"/>
    <w:uiPriority w:val="99"/>
    <w:unhideWhenUsed/>
    <w:rsid w:val="00995CA4"/>
    <w:pPr>
      <w:numPr>
        <w:numId w:val="27"/>
      </w:numPr>
      <w:spacing w:before="120" w:after="240" w:line="240" w:lineRule="auto"/>
    </w:pPr>
    <w:rPr>
      <w:rFonts w:ascii="Arial" w:hAnsi="Arial"/>
      <w:sz w:val="24"/>
    </w:rPr>
  </w:style>
  <w:style w:type="paragraph" w:customStyle="1" w:styleId="Tableoutcomeshead">
    <w:name w:val="Table outcomes head"/>
    <w:basedOn w:val="Normal"/>
    <w:qFormat/>
    <w:rsid w:val="008F1960"/>
    <w:pPr>
      <w:spacing w:after="120" w:line="240" w:lineRule="auto"/>
    </w:pPr>
    <w:rPr>
      <w:rFonts w:ascii="Arial" w:hAnsi="Arial" w:cs="Arial"/>
      <w:b/>
      <w:sz w:val="20"/>
      <w:szCs w:val="20"/>
    </w:rPr>
  </w:style>
  <w:style w:type="paragraph" w:customStyle="1" w:styleId="Tabledivuseonly">
    <w:name w:val="Table div use only"/>
    <w:basedOn w:val="Normal"/>
    <w:qFormat/>
    <w:rsid w:val="008F1960"/>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6A658390-63EB-4811-812F-0BB7E1A59383}"/>
</file>

<file path=customXml/itemProps4.xml><?xml version="1.0" encoding="utf-8"?>
<ds:datastoreItem xmlns:ds="http://schemas.openxmlformats.org/officeDocument/2006/customXml" ds:itemID="{26A01F82-098C-4C1A-BF67-FE748D4E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2022-12-05T13:53:00Z</dcterms:created>
  <dcterms:modified xsi:type="dcterms:W3CDTF">2022-12-05T14:12:00Z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