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61E9" w14:textId="77777777" w:rsidR="003D6E32" w:rsidRDefault="00B61929" w:rsidP="00084238">
      <w:pPr>
        <w:pStyle w:val="Heading2"/>
        <w:spacing w:before="0"/>
      </w:pPr>
      <w:r>
        <w:t>KentVision Code and title of the module</w:t>
      </w:r>
    </w:p>
    <w:p w14:paraId="7572E588" w14:textId="77777777" w:rsidR="003D6E32" w:rsidRDefault="00B61929" w:rsidP="00084238">
      <w:pPr>
        <w:pStyle w:val="BodyText"/>
      </w:pPr>
      <w:r>
        <w:t>ECON5480 International Finance</w:t>
      </w:r>
    </w:p>
    <w:p w14:paraId="5024FA17" w14:textId="77777777" w:rsidR="003D6E32" w:rsidRDefault="00B61929">
      <w:pPr>
        <w:pStyle w:val="Heading2"/>
      </w:pPr>
      <w:r>
        <w:t>Division and School/Department or partner institution which will be responsible for management of the module</w:t>
      </w:r>
    </w:p>
    <w:p w14:paraId="359B2743" w14:textId="77777777" w:rsidR="003D6E32" w:rsidRDefault="00B61929" w:rsidP="00084238">
      <w:pPr>
        <w:pStyle w:val="BodyText"/>
      </w:pPr>
      <w:r>
        <w:t>Division of Human and Social Sciences, School of Economics</w:t>
      </w:r>
    </w:p>
    <w:p w14:paraId="128038E8" w14:textId="77777777" w:rsidR="003D6E32" w:rsidRDefault="00B61929">
      <w:pPr>
        <w:pStyle w:val="Heading2"/>
      </w:pPr>
      <w:r>
        <w:t>The level of the module (Level 4, Level 5, Level 6 or Level 7)</w:t>
      </w:r>
    </w:p>
    <w:p w14:paraId="5C13CB1C" w14:textId="77777777" w:rsidR="003D6E32" w:rsidRDefault="00B61929" w:rsidP="00084238">
      <w:pPr>
        <w:pStyle w:val="BodyText"/>
      </w:pPr>
      <w:r>
        <w:t>Level 6</w:t>
      </w:r>
    </w:p>
    <w:p w14:paraId="587540F9" w14:textId="77777777" w:rsidR="003D6E32" w:rsidRDefault="00B61929">
      <w:pPr>
        <w:pStyle w:val="Heading2"/>
      </w:pPr>
      <w:r>
        <w:t xml:space="preserve">The number of credits and the ECTS value which the module represents </w:t>
      </w:r>
    </w:p>
    <w:p w14:paraId="254A6DE5" w14:textId="77777777" w:rsidR="003D6E32" w:rsidRDefault="00B61929" w:rsidP="00084238">
      <w:pPr>
        <w:pStyle w:val="BodyText"/>
      </w:pPr>
      <w:r>
        <w:t>15 credits (7.5 ECTS)</w:t>
      </w:r>
    </w:p>
    <w:p w14:paraId="05A3F94D" w14:textId="77777777" w:rsidR="003D6E32" w:rsidRDefault="00B61929">
      <w:pPr>
        <w:pStyle w:val="Heading2"/>
      </w:pPr>
      <w:r>
        <w:t>Which term(s) the module is to be taught in (or other teaching pattern)</w:t>
      </w:r>
    </w:p>
    <w:p w14:paraId="7E9FB8D0" w14:textId="77777777" w:rsidR="003D6E32" w:rsidRDefault="00B61929" w:rsidP="00084238">
      <w:pPr>
        <w:pStyle w:val="BodyText"/>
      </w:pPr>
      <w:r>
        <w:t>Spring</w:t>
      </w:r>
    </w:p>
    <w:p w14:paraId="2824B8F3" w14:textId="77777777" w:rsidR="003D6E32" w:rsidRDefault="00B61929">
      <w:pPr>
        <w:pStyle w:val="Heading2"/>
      </w:pPr>
      <w:r>
        <w:t>Prerequisite and co-requisite modules and/or any module restrictions</w:t>
      </w:r>
    </w:p>
    <w:p w14:paraId="23D810F4" w14:textId="77777777" w:rsidR="003D6E32" w:rsidRPr="00084238" w:rsidRDefault="00B61929" w:rsidP="00084238">
      <w:pPr>
        <w:pStyle w:val="BodyText"/>
        <w:rPr>
          <w:b/>
          <w:bCs/>
          <w:i/>
          <w:iCs/>
        </w:rPr>
      </w:pPr>
      <w:r w:rsidRPr="00084238">
        <w:rPr>
          <w:b/>
          <w:bCs/>
          <w:i/>
          <w:iCs/>
        </w:rPr>
        <w:t>Prerequisites:</w:t>
      </w:r>
    </w:p>
    <w:p w14:paraId="330F2FD7" w14:textId="5673DA85" w:rsidR="003D6E32" w:rsidRDefault="00B61929" w:rsidP="00084238">
      <w:pPr>
        <w:pStyle w:val="ListBullet"/>
      </w:pPr>
      <w:r>
        <w:t>ECON5000 Microeconomics</w:t>
      </w:r>
    </w:p>
    <w:p w14:paraId="68AB24B8" w14:textId="6BF5D4C1" w:rsidR="003D6E32" w:rsidRDefault="00B61929" w:rsidP="00084238">
      <w:pPr>
        <w:pStyle w:val="ListBullet"/>
      </w:pPr>
      <w:r>
        <w:t>ECON5020 Macroeconomics</w:t>
      </w:r>
    </w:p>
    <w:p w14:paraId="57F313B8" w14:textId="77777777" w:rsidR="003D6E32" w:rsidRDefault="00B61929">
      <w:pPr>
        <w:pStyle w:val="Heading2"/>
      </w:pPr>
      <w:r>
        <w:t>The course(s) of study to which the module contributes</w:t>
      </w:r>
    </w:p>
    <w:p w14:paraId="2348502A" w14:textId="036E3BB1" w:rsidR="003D6E32" w:rsidRDefault="00B61929" w:rsidP="00084238">
      <w:pPr>
        <w:pStyle w:val="BodyText"/>
      </w:pPr>
      <w:r>
        <w:t>This is an optional  module for all Single and Joint Honours degree courses in Economics.</w:t>
      </w:r>
    </w:p>
    <w:p w14:paraId="28381853" w14:textId="32A33A58" w:rsidR="003D6E32" w:rsidRDefault="00B61929" w:rsidP="00084238">
      <w:pPr>
        <w:pStyle w:val="BodyText"/>
        <w:rPr>
          <w:color w:val="000000" w:themeColor="text1"/>
        </w:rPr>
      </w:pPr>
      <w:r>
        <w:rPr>
          <w:color w:val="000000" w:themeColor="text1"/>
        </w:rPr>
        <w:t xml:space="preserve">The module is </w:t>
      </w:r>
      <w:r>
        <w:rPr>
          <w:b/>
          <w:color w:val="000000" w:themeColor="text1"/>
        </w:rPr>
        <w:t xml:space="preserve">NOT </w:t>
      </w:r>
      <w:r>
        <w:rPr>
          <w:color w:val="000000" w:themeColor="text1"/>
        </w:rPr>
        <w:t>available to students across other degree courses in the University</w:t>
      </w:r>
    </w:p>
    <w:p w14:paraId="1A31DC7E" w14:textId="77777777" w:rsidR="003D6E32" w:rsidRDefault="00B61929">
      <w:pPr>
        <w:pStyle w:val="Heading2"/>
      </w:pPr>
      <w:r>
        <w:t>The intended subject specific learning outcomes.</w:t>
      </w:r>
    </w:p>
    <w:p w14:paraId="05E47F3B" w14:textId="77777777" w:rsidR="003D6E32" w:rsidRDefault="00B61929" w:rsidP="00084238">
      <w:pPr>
        <w:pStyle w:val="Heading2"/>
        <w:numPr>
          <w:ilvl w:val="0"/>
          <w:numId w:val="0"/>
        </w:numPr>
        <w:spacing w:before="0"/>
        <w:ind w:left="567"/>
      </w:pPr>
      <w:r>
        <w:t>On successfully completing the module students will be able to:</w:t>
      </w:r>
    </w:p>
    <w:p w14:paraId="29F1A96A" w14:textId="3584EDB6" w:rsidR="003D6E32" w:rsidRDefault="00B61929" w:rsidP="00084238">
      <w:pPr>
        <w:pStyle w:val="ListNumber2"/>
      </w:pPr>
      <w:r>
        <w:t>8.1</w:t>
      </w:r>
      <w:r w:rsidR="00084238">
        <w:tab/>
      </w:r>
      <w:r>
        <w:t>Demonstrate knowledge and comprehensive understanding of basic theoretical concepts such as exchange rates, interest rates and capital movements in an international setting</w:t>
      </w:r>
    </w:p>
    <w:p w14:paraId="36FD1D14" w14:textId="06BAA637" w:rsidR="003D6E32" w:rsidRDefault="00B61929" w:rsidP="00084238">
      <w:pPr>
        <w:pStyle w:val="ListNumber2"/>
      </w:pPr>
      <w:r>
        <w:t>8.2</w:t>
      </w:r>
      <w:r w:rsidR="00084238">
        <w:tab/>
      </w:r>
      <w:r>
        <w:t>Synthesise and critically compare different economic analyses of issues relating to international finance and policy formation</w:t>
      </w:r>
    </w:p>
    <w:p w14:paraId="27514C61" w14:textId="5DFB5B87" w:rsidR="003D6E32" w:rsidRDefault="00B61929" w:rsidP="00084238">
      <w:pPr>
        <w:pStyle w:val="ListNumber2"/>
      </w:pPr>
      <w:r>
        <w:t>8.3</w:t>
      </w:r>
      <w:r w:rsidR="00084238">
        <w:tab/>
      </w:r>
      <w:r>
        <w:t>Critically assess and examine the main debates on international money and finance problems arising in the media newspapers and specialised magazines</w:t>
      </w:r>
    </w:p>
    <w:p w14:paraId="74EBDCFB" w14:textId="77777777" w:rsidR="003D6E32" w:rsidRDefault="00B61929" w:rsidP="00084238">
      <w:pPr>
        <w:pStyle w:val="ListNumber2"/>
      </w:pPr>
      <w:r>
        <w:tab/>
      </w:r>
    </w:p>
    <w:p w14:paraId="17898EC9" w14:textId="19F50C45" w:rsidR="003D6E32" w:rsidRDefault="00B61929" w:rsidP="00084238">
      <w:pPr>
        <w:pStyle w:val="ListNumber2"/>
      </w:pPr>
      <w:r>
        <w:lastRenderedPageBreak/>
        <w:t>8.4</w:t>
      </w:r>
      <w:r w:rsidR="00084238">
        <w:tab/>
      </w:r>
      <w:r>
        <w:t xml:space="preserve">Understand the implications of capital flows for the international transmission of economic shocks </w:t>
      </w:r>
    </w:p>
    <w:p w14:paraId="13376367" w14:textId="59DC5EA9" w:rsidR="003D6E32" w:rsidRDefault="00B61929" w:rsidP="00084238">
      <w:pPr>
        <w:pStyle w:val="ListNumber2"/>
      </w:pPr>
      <w:r>
        <w:t>8.5</w:t>
      </w:r>
      <w:r w:rsidR="00084238">
        <w:tab/>
      </w:r>
      <w:r>
        <w:t>Identify, analyse and understand macroeconomic policy coordination within a global context.</w:t>
      </w:r>
    </w:p>
    <w:p w14:paraId="7B883B05" w14:textId="77777777" w:rsidR="003D6E32" w:rsidRDefault="00B61929">
      <w:pPr>
        <w:pStyle w:val="Heading2"/>
      </w:pPr>
      <w:r>
        <w:t>The intended generic learning outcomes.</w:t>
      </w:r>
    </w:p>
    <w:p w14:paraId="344D304B" w14:textId="77777777" w:rsidR="003D6E32" w:rsidRDefault="00B61929" w:rsidP="00084238">
      <w:pPr>
        <w:pStyle w:val="Heading2"/>
        <w:numPr>
          <w:ilvl w:val="0"/>
          <w:numId w:val="0"/>
        </w:numPr>
        <w:spacing w:before="0"/>
        <w:ind w:left="567"/>
      </w:pPr>
      <w:r>
        <w:t>On successfully completing the module students will be able to:</w:t>
      </w:r>
    </w:p>
    <w:p w14:paraId="1042824B" w14:textId="59DBF424" w:rsidR="003D6E32" w:rsidRDefault="00B61929" w:rsidP="00084238">
      <w:pPr>
        <w:pStyle w:val="ListNumber2"/>
      </w:pPr>
      <w:r>
        <w:t>9.1</w:t>
      </w:r>
      <w:r w:rsidR="00084238">
        <w:tab/>
      </w:r>
      <w:r>
        <w:t xml:space="preserve">Reflect critically on the application of models to real-world problems </w:t>
      </w:r>
    </w:p>
    <w:p w14:paraId="628D30F0" w14:textId="06FBDF1F" w:rsidR="003D6E32" w:rsidRDefault="00B61929" w:rsidP="00084238">
      <w:pPr>
        <w:pStyle w:val="ListNumber2"/>
      </w:pPr>
      <w:r>
        <w:t>9.2</w:t>
      </w:r>
      <w:r w:rsidR="00084238">
        <w:tab/>
      </w:r>
      <w:r>
        <w:t>Critically review a body of literature for arguments or evidence pertaining to an question, and draw conclusions from it</w:t>
      </w:r>
    </w:p>
    <w:p w14:paraId="5D9B6225" w14:textId="70ED13E6" w:rsidR="003D6E32" w:rsidRDefault="00B61929" w:rsidP="00084238">
      <w:pPr>
        <w:pStyle w:val="ListNumber2"/>
      </w:pPr>
      <w:r>
        <w:t>9.3</w:t>
      </w:r>
      <w:r w:rsidR="00084238">
        <w:tab/>
      </w:r>
      <w:r>
        <w:t>Retrieve, review and utilise information from a variety of sources</w:t>
      </w:r>
    </w:p>
    <w:p w14:paraId="2D11020E" w14:textId="42815146" w:rsidR="003D6E32" w:rsidRDefault="00B61929" w:rsidP="00084238">
      <w:pPr>
        <w:pStyle w:val="ListNumber2"/>
      </w:pPr>
      <w:r>
        <w:t>9.4</w:t>
      </w:r>
      <w:r w:rsidR="00084238">
        <w:tab/>
      </w:r>
      <w:r>
        <w:t>Communicate coherent economic arguments by a variety of methods</w:t>
      </w:r>
    </w:p>
    <w:p w14:paraId="00889A0C" w14:textId="7E52A641" w:rsidR="003D6E32" w:rsidRDefault="00B61929" w:rsidP="00084238">
      <w:pPr>
        <w:pStyle w:val="ListNumber2"/>
      </w:pPr>
      <w:r>
        <w:t>9.5</w:t>
      </w:r>
      <w:r w:rsidR="00084238">
        <w:tab/>
      </w:r>
      <w:r>
        <w:t>Plan work and study independently</w:t>
      </w:r>
      <w:r w:rsidR="00084238">
        <w:t>.</w:t>
      </w:r>
    </w:p>
    <w:p w14:paraId="41520F83" w14:textId="77777777" w:rsidR="003D6E32" w:rsidRDefault="00B61929">
      <w:pPr>
        <w:pStyle w:val="Heading2"/>
      </w:pPr>
      <w:r>
        <w:t>A synopsis of the curriculum</w:t>
      </w:r>
    </w:p>
    <w:p w14:paraId="0429DCA3" w14:textId="77777777" w:rsidR="003D6E32" w:rsidRDefault="00B61929" w:rsidP="00084238">
      <w:pPr>
        <w:pStyle w:val="BodyText"/>
      </w:pPr>
      <w:r>
        <w:t>The module introduces students to the theoretical underpinnings that constitute international finance and the nature and extent of monetary and financial relations between countries.</w:t>
      </w:r>
    </w:p>
    <w:p w14:paraId="5502124F" w14:textId="77777777" w:rsidR="003D6E32" w:rsidRDefault="00B61929" w:rsidP="00084238">
      <w:pPr>
        <w:pStyle w:val="BodyText"/>
      </w:pPr>
      <w:r>
        <w:t>The module introduces basic concepts of international macroeconomics such as the balance of payments and exchange rates, and arbitrage conditions. It then proceeds to analyse the impact of opening up the economy on the alternative macroeconomic policies available. The main factors that determine exchange rates between currencies, and the power of different models are also considered. Finally, the module explores ‘hot topics’ in international finance including the benefits and drawbacks of fixed and floating exchange rates, the concept of a speculative attack, current account imbalances from an inter-temporal perspective, and how world macroeconomic imbalances drove the 2008/09 international financial crisis and recent sovereign debt crisis in Europe.</w:t>
      </w:r>
    </w:p>
    <w:p w14:paraId="4B854A46" w14:textId="77777777" w:rsidR="003D6E32" w:rsidRDefault="00B61929" w:rsidP="00084238">
      <w:pPr>
        <w:pStyle w:val="BodyText"/>
      </w:pPr>
      <w:r>
        <w:t>The module has both a theoretical and an applied emphasis in order to apply available theories into the real problems of the world economy. It does not analyse the detailed workings of international financial markets or questions related to firm financial management in international capital markets but students interested in these aspects can acquire basic foundations that are fundamental in understanding the context in which firms and governments work.</w:t>
      </w:r>
    </w:p>
    <w:p w14:paraId="537F36A5" w14:textId="77777777" w:rsidR="003D6E32" w:rsidRDefault="00B61929" w:rsidP="00084238">
      <w:pPr>
        <w:pStyle w:val="BodyText"/>
      </w:pPr>
      <w:r>
        <w:t>The topics covered in the module include:</w:t>
      </w:r>
    </w:p>
    <w:p w14:paraId="52604244" w14:textId="77777777" w:rsidR="003D6E32" w:rsidRDefault="00B61929" w:rsidP="00084238">
      <w:pPr>
        <w:pStyle w:val="ListBullet"/>
      </w:pPr>
      <w:r>
        <w:t>Open economy macroeconomics and policy.</w:t>
      </w:r>
    </w:p>
    <w:p w14:paraId="51DAFAE0" w14:textId="77777777" w:rsidR="003D6E32" w:rsidRDefault="00B61929" w:rsidP="00084238">
      <w:pPr>
        <w:pStyle w:val="ListBullet"/>
      </w:pPr>
      <w:r>
        <w:t>Exchange rates determination theory and empirics.</w:t>
      </w:r>
    </w:p>
    <w:p w14:paraId="58D74ADA" w14:textId="77777777" w:rsidR="003D6E32" w:rsidRDefault="00B61929" w:rsidP="00084238">
      <w:pPr>
        <w:pStyle w:val="ListBullet"/>
      </w:pPr>
      <w:proofErr w:type="spellStart"/>
      <w:r>
        <w:t>Microfounded</w:t>
      </w:r>
      <w:proofErr w:type="spellEnd"/>
      <w:r>
        <w:t xml:space="preserve"> models of the current account.</w:t>
      </w:r>
    </w:p>
    <w:p w14:paraId="565F611D" w14:textId="77777777" w:rsidR="003D6E32" w:rsidRDefault="00B61929" w:rsidP="00084238">
      <w:pPr>
        <w:pStyle w:val="ListBullet"/>
      </w:pPr>
      <w:r>
        <w:t>International financial flows.</w:t>
      </w:r>
    </w:p>
    <w:p w14:paraId="241D8029" w14:textId="77777777" w:rsidR="003D6E32" w:rsidRDefault="00B61929" w:rsidP="00084238">
      <w:pPr>
        <w:pStyle w:val="ListBullet"/>
      </w:pPr>
      <w:r>
        <w:t>International indebtedness.</w:t>
      </w:r>
    </w:p>
    <w:p w14:paraId="1ACA6A95" w14:textId="77777777" w:rsidR="003D6E32" w:rsidRDefault="00B61929" w:rsidP="00084238">
      <w:pPr>
        <w:pStyle w:val="ListBullet"/>
      </w:pPr>
      <w:r>
        <w:t>International financial crises</w:t>
      </w:r>
    </w:p>
    <w:p w14:paraId="626786C1" w14:textId="77777777" w:rsidR="003D6E32" w:rsidRDefault="00B61929" w:rsidP="00084238">
      <w:pPr>
        <w:pStyle w:val="ListBullet"/>
      </w:pPr>
      <w:r>
        <w:lastRenderedPageBreak/>
        <w:t>International monetary arrangements.</w:t>
      </w:r>
    </w:p>
    <w:p w14:paraId="164913D1" w14:textId="77777777" w:rsidR="00084238" w:rsidRDefault="00084238" w:rsidP="00084238">
      <w:pPr>
        <w:pStyle w:val="Heading2"/>
        <w:numPr>
          <w:ilvl w:val="0"/>
          <w:numId w:val="1"/>
        </w:numPr>
        <w:ind w:left="567" w:hanging="567"/>
      </w:pPr>
      <w:r w:rsidRPr="009D52D0">
        <w:t xml:space="preserve">Reading list </w:t>
      </w:r>
    </w:p>
    <w:p w14:paraId="76325D14" w14:textId="16487CCC" w:rsidR="00B61929" w:rsidRPr="00B61929" w:rsidRDefault="00B61929" w:rsidP="00084238">
      <w:pPr>
        <w:pStyle w:val="BodyText"/>
        <w:rPr>
          <w:b/>
        </w:rPr>
      </w:pPr>
      <w:r w:rsidRPr="00B61929">
        <w:t xml:space="preserve">The University is committed to ensuring that core reading materials are in accessible electronic format in line with the Kent Inclusive Practices. </w:t>
      </w:r>
    </w:p>
    <w:p w14:paraId="3021A62E" w14:textId="34CCAA89" w:rsidR="003D6E32" w:rsidRPr="00084238" w:rsidRDefault="00B61929" w:rsidP="00084238">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15F0F5B4" w14:textId="77777777" w:rsidR="003D6E32" w:rsidRDefault="00B61929">
      <w:pPr>
        <w:pStyle w:val="Heading2"/>
      </w:pPr>
      <w:r>
        <w:t>Contact Hours</w:t>
      </w:r>
    </w:p>
    <w:p w14:paraId="580EAD57" w14:textId="3066CA4C" w:rsidR="003D6E32" w:rsidRDefault="00B61929" w:rsidP="00084238">
      <w:pPr>
        <w:pStyle w:val="BodyText"/>
      </w:pPr>
      <w:r>
        <w:t>Private Study:</w:t>
      </w:r>
      <w:r w:rsidR="00084238">
        <w:tab/>
      </w:r>
      <w:r w:rsidR="00084238">
        <w:tab/>
      </w:r>
      <w:r>
        <w:t>133 hours</w:t>
      </w:r>
    </w:p>
    <w:p w14:paraId="461CD03A" w14:textId="25C81CCB" w:rsidR="003D6E32" w:rsidRDefault="00B61929" w:rsidP="00084238">
      <w:pPr>
        <w:pStyle w:val="BodyText"/>
      </w:pPr>
      <w:r>
        <w:t>Contact Hours:</w:t>
      </w:r>
      <w:r w:rsidR="00084238">
        <w:tab/>
        <w:t xml:space="preserve">  </w:t>
      </w:r>
      <w:r>
        <w:t>17 hours</w:t>
      </w:r>
    </w:p>
    <w:p w14:paraId="5A6D10F1" w14:textId="265BB882" w:rsidR="003D6E32" w:rsidRDefault="00B61929" w:rsidP="00084238">
      <w:pPr>
        <w:pStyle w:val="BodyText"/>
      </w:pPr>
      <w:r>
        <w:t>Total:</w:t>
      </w:r>
      <w:r w:rsidR="00084238">
        <w:tab/>
      </w:r>
      <w:r w:rsidR="00084238">
        <w:tab/>
      </w:r>
      <w:r w:rsidR="00084238">
        <w:tab/>
      </w:r>
      <w:r>
        <w:t>150 hours</w:t>
      </w:r>
    </w:p>
    <w:p w14:paraId="389EAF5C" w14:textId="77777777" w:rsidR="003D6E32" w:rsidRDefault="00B61929">
      <w:pPr>
        <w:pStyle w:val="Heading2"/>
        <w:rPr>
          <w:i/>
          <w:iCs/>
        </w:rPr>
      </w:pPr>
      <w:r>
        <w:t>Assessment methods</w:t>
      </w:r>
    </w:p>
    <w:p w14:paraId="3ABA1F2F" w14:textId="77777777" w:rsidR="003D6E32" w:rsidRDefault="00B61929" w:rsidP="00084238">
      <w:pPr>
        <w:pStyle w:val="header2"/>
        <w:numPr>
          <w:ilvl w:val="1"/>
          <w:numId w:val="6"/>
        </w:numPr>
        <w:spacing w:before="0"/>
        <w:ind w:left="567" w:hanging="567"/>
        <w:rPr>
          <w:b w:val="0"/>
          <w:bCs/>
          <w:i/>
          <w:iCs/>
        </w:rPr>
      </w:pPr>
      <w:r>
        <w:rPr>
          <w:b w:val="0"/>
          <w:bCs/>
          <w:iCs/>
        </w:rPr>
        <w:t>Main assessment methods</w:t>
      </w:r>
    </w:p>
    <w:p w14:paraId="1DC279AE" w14:textId="3380884B" w:rsidR="00772C30" w:rsidRPr="00A265F1" w:rsidRDefault="00772C30" w:rsidP="00084238">
      <w:pPr>
        <w:pStyle w:val="BodyText"/>
      </w:pPr>
      <w:r>
        <w:t>Moodle Quiz</w:t>
      </w:r>
      <w:r w:rsidRPr="00A265F1">
        <w:t>, (45 minutes) (</w:t>
      </w:r>
      <w:r>
        <w:t>15</w:t>
      </w:r>
      <w:r w:rsidRPr="00A265F1">
        <w:t>%)</w:t>
      </w:r>
    </w:p>
    <w:p w14:paraId="48C2D0F7" w14:textId="00D7AF20" w:rsidR="00772C30" w:rsidRDefault="00772C30" w:rsidP="00084238">
      <w:pPr>
        <w:pStyle w:val="BodyText"/>
      </w:pPr>
      <w:r>
        <w:t>Take away assignment (800 words) (15%)</w:t>
      </w:r>
    </w:p>
    <w:p w14:paraId="74D77BE1" w14:textId="0AD32CBC" w:rsidR="00772C30" w:rsidRDefault="00772C30" w:rsidP="00084238">
      <w:pPr>
        <w:pStyle w:val="BodyText"/>
      </w:pPr>
      <w:r w:rsidRPr="7207CF2B">
        <w:t>Examination, 2 hours (70%)</w:t>
      </w:r>
    </w:p>
    <w:p w14:paraId="368C72BF" w14:textId="77777777" w:rsidR="003D6E32" w:rsidRDefault="003D6E32">
      <w:pPr>
        <w:ind w:left="426" w:right="543"/>
        <w:rPr>
          <w:rFonts w:ascii="Arial" w:hAnsi="Arial" w:cs="Arial"/>
          <w:b/>
          <w:iCs/>
          <w:sz w:val="24"/>
          <w:szCs w:val="24"/>
        </w:rPr>
      </w:pPr>
    </w:p>
    <w:p w14:paraId="451AE5D9" w14:textId="46EB6F0B" w:rsidR="003D6E32" w:rsidRDefault="00B61929">
      <w:pPr>
        <w:ind w:left="567" w:right="543" w:hanging="567"/>
        <w:rPr>
          <w:rFonts w:ascii="Arial" w:hAnsi="Arial" w:cs="Arial"/>
          <w:iCs/>
          <w:sz w:val="24"/>
          <w:szCs w:val="24"/>
        </w:rPr>
      </w:pPr>
      <w:r>
        <w:rPr>
          <w:rFonts w:ascii="Arial" w:hAnsi="Arial" w:cs="Arial"/>
          <w:iCs/>
          <w:sz w:val="24"/>
          <w:szCs w:val="24"/>
        </w:rPr>
        <w:t xml:space="preserve">13.2 </w:t>
      </w:r>
      <w:r>
        <w:rPr>
          <w:rFonts w:ascii="Arial" w:hAnsi="Arial" w:cs="Arial"/>
          <w:iCs/>
          <w:sz w:val="24"/>
          <w:szCs w:val="24"/>
        </w:rPr>
        <w:tab/>
        <w:t xml:space="preserve">Reassessment methods </w:t>
      </w:r>
    </w:p>
    <w:p w14:paraId="33F09538" w14:textId="6267D1BB" w:rsidR="003D6E32" w:rsidRDefault="00B61929" w:rsidP="00084238">
      <w:pPr>
        <w:pStyle w:val="BodyText"/>
      </w:pPr>
      <w:r>
        <w:t>Reassessment Instrument: 100% exam</w:t>
      </w:r>
    </w:p>
    <w:p w14:paraId="2575F2D5" w14:textId="77777777" w:rsidR="003D6E32" w:rsidRDefault="00B61929">
      <w:pPr>
        <w:pStyle w:val="Heading2"/>
      </w:pPr>
      <w:r>
        <w:t>Map of module learning outcomes (sections 8 &amp; 9) to learning and teaching methods (section 12) and methods of assessment (section 13)</w:t>
      </w:r>
    </w:p>
    <w:p w14:paraId="27860F6D" w14:textId="77777777" w:rsidR="003D6E32" w:rsidRDefault="00B61929" w:rsidP="00E763C1">
      <w:pPr>
        <w:spacing w:before="480" w:after="360"/>
        <w:ind w:left="567"/>
        <w:jc w:val="both"/>
        <w:rPr>
          <w:rFonts w:ascii="Arial" w:hAnsi="Arial" w:cs="Arial"/>
          <w:b/>
          <w:bCs/>
          <w:sz w:val="24"/>
          <w:szCs w:val="24"/>
        </w:rPr>
      </w:pPr>
      <w:r>
        <w:rPr>
          <w:rFonts w:ascii="Arial" w:hAnsi="Arial" w:cs="Arial"/>
          <w:b/>
          <w:bCs/>
          <w:sz w:val="24"/>
          <w:szCs w:val="24"/>
        </w:rPr>
        <w:t>Module learning outcomes against learning and teaching methods:</w:t>
      </w:r>
    </w:p>
    <w:tbl>
      <w:tblPr>
        <w:tblStyle w:val="TableGrid"/>
        <w:tblW w:w="4474" w:type="pct"/>
        <w:tblInd w:w="704" w:type="dxa"/>
        <w:tblLook w:val="04A0" w:firstRow="1" w:lastRow="0" w:firstColumn="1" w:lastColumn="0" w:noHBand="0" w:noVBand="1"/>
      </w:tblPr>
      <w:tblGrid>
        <w:gridCol w:w="2298"/>
        <w:gridCol w:w="668"/>
        <w:gridCol w:w="668"/>
        <w:gridCol w:w="669"/>
        <w:gridCol w:w="669"/>
        <w:gridCol w:w="669"/>
        <w:gridCol w:w="669"/>
        <w:gridCol w:w="669"/>
        <w:gridCol w:w="669"/>
        <w:gridCol w:w="669"/>
        <w:gridCol w:w="669"/>
      </w:tblGrid>
      <w:tr w:rsidR="003D6E32" w14:paraId="43683ACA" w14:textId="77777777">
        <w:tc>
          <w:tcPr>
            <w:tcW w:w="1279" w:type="pct"/>
            <w:shd w:val="clear" w:color="auto" w:fill="D9D9D9" w:themeFill="background1" w:themeFillShade="D9"/>
          </w:tcPr>
          <w:p w14:paraId="5D0A9E50" w14:textId="77777777" w:rsidR="003D6E32" w:rsidRDefault="00B61929">
            <w:pPr>
              <w:ind w:left="33"/>
              <w:rPr>
                <w:rFonts w:ascii="Arial" w:hAnsi="Arial" w:cs="Arial"/>
                <w:b/>
              </w:rPr>
            </w:pPr>
            <w:r>
              <w:rPr>
                <w:rFonts w:ascii="Arial" w:hAnsi="Arial" w:cs="Arial"/>
                <w:b/>
              </w:rPr>
              <w:t>Module learning outcome</w:t>
            </w:r>
          </w:p>
        </w:tc>
        <w:tc>
          <w:tcPr>
            <w:tcW w:w="372" w:type="pct"/>
          </w:tcPr>
          <w:p w14:paraId="7B685B78" w14:textId="77777777" w:rsidR="003D6E32" w:rsidRPr="00E763C1" w:rsidRDefault="00B61929">
            <w:pPr>
              <w:rPr>
                <w:rFonts w:ascii="Arial" w:hAnsi="Arial" w:cs="Arial"/>
                <w:b/>
                <w:bCs/>
                <w:iCs/>
              </w:rPr>
            </w:pPr>
            <w:r w:rsidRPr="00E763C1">
              <w:rPr>
                <w:rFonts w:ascii="Arial" w:hAnsi="Arial" w:cs="Arial"/>
                <w:b/>
                <w:bCs/>
                <w:iCs/>
              </w:rPr>
              <w:t>8.1</w:t>
            </w:r>
          </w:p>
        </w:tc>
        <w:tc>
          <w:tcPr>
            <w:tcW w:w="372" w:type="pct"/>
          </w:tcPr>
          <w:p w14:paraId="6D8A06D3" w14:textId="77777777" w:rsidR="003D6E32" w:rsidRPr="00E763C1" w:rsidRDefault="00B61929">
            <w:pPr>
              <w:rPr>
                <w:rFonts w:ascii="Arial" w:hAnsi="Arial" w:cs="Arial"/>
                <w:b/>
                <w:bCs/>
                <w:iCs/>
              </w:rPr>
            </w:pPr>
            <w:r w:rsidRPr="00E763C1">
              <w:rPr>
                <w:rFonts w:ascii="Arial" w:hAnsi="Arial" w:cs="Arial"/>
                <w:b/>
                <w:bCs/>
                <w:iCs/>
              </w:rPr>
              <w:t>8.2</w:t>
            </w:r>
          </w:p>
        </w:tc>
        <w:tc>
          <w:tcPr>
            <w:tcW w:w="372" w:type="pct"/>
          </w:tcPr>
          <w:p w14:paraId="6334ACC9" w14:textId="77777777" w:rsidR="003D6E32" w:rsidRPr="00E763C1" w:rsidRDefault="00B61929">
            <w:pPr>
              <w:rPr>
                <w:rFonts w:ascii="Arial" w:hAnsi="Arial" w:cs="Arial"/>
                <w:b/>
                <w:bCs/>
                <w:iCs/>
              </w:rPr>
            </w:pPr>
            <w:r w:rsidRPr="00E763C1">
              <w:rPr>
                <w:rFonts w:ascii="Arial" w:hAnsi="Arial" w:cs="Arial"/>
                <w:b/>
                <w:bCs/>
                <w:iCs/>
              </w:rPr>
              <w:t>8.3</w:t>
            </w:r>
          </w:p>
        </w:tc>
        <w:tc>
          <w:tcPr>
            <w:tcW w:w="372" w:type="pct"/>
          </w:tcPr>
          <w:p w14:paraId="76D576A7" w14:textId="77777777" w:rsidR="003D6E32" w:rsidRPr="00E763C1" w:rsidRDefault="00B61929">
            <w:pPr>
              <w:rPr>
                <w:rFonts w:ascii="Arial" w:hAnsi="Arial" w:cs="Arial"/>
                <w:b/>
                <w:bCs/>
                <w:iCs/>
              </w:rPr>
            </w:pPr>
            <w:r w:rsidRPr="00E763C1">
              <w:rPr>
                <w:rFonts w:ascii="Arial" w:hAnsi="Arial" w:cs="Arial"/>
                <w:b/>
                <w:bCs/>
                <w:iCs/>
              </w:rPr>
              <w:t>8.4</w:t>
            </w:r>
          </w:p>
        </w:tc>
        <w:tc>
          <w:tcPr>
            <w:tcW w:w="372" w:type="pct"/>
          </w:tcPr>
          <w:p w14:paraId="7635EA7D" w14:textId="77777777" w:rsidR="003D6E32" w:rsidRPr="00E763C1" w:rsidRDefault="00B61929">
            <w:pPr>
              <w:rPr>
                <w:rFonts w:ascii="Arial" w:hAnsi="Arial" w:cs="Arial"/>
                <w:b/>
                <w:bCs/>
                <w:iCs/>
              </w:rPr>
            </w:pPr>
            <w:r w:rsidRPr="00E763C1">
              <w:rPr>
                <w:rFonts w:ascii="Arial" w:hAnsi="Arial" w:cs="Arial"/>
                <w:b/>
                <w:bCs/>
                <w:iCs/>
              </w:rPr>
              <w:t>8.5</w:t>
            </w:r>
          </w:p>
        </w:tc>
        <w:tc>
          <w:tcPr>
            <w:tcW w:w="372" w:type="pct"/>
          </w:tcPr>
          <w:p w14:paraId="0D71A723" w14:textId="77777777" w:rsidR="003D6E32" w:rsidRPr="00E763C1" w:rsidRDefault="00B61929">
            <w:pPr>
              <w:rPr>
                <w:rFonts w:ascii="Arial" w:hAnsi="Arial" w:cs="Arial"/>
                <w:b/>
                <w:bCs/>
                <w:iCs/>
              </w:rPr>
            </w:pPr>
            <w:r w:rsidRPr="00E763C1">
              <w:rPr>
                <w:rFonts w:ascii="Arial" w:hAnsi="Arial" w:cs="Arial"/>
                <w:b/>
                <w:bCs/>
                <w:iCs/>
              </w:rPr>
              <w:t>9.1</w:t>
            </w:r>
          </w:p>
        </w:tc>
        <w:tc>
          <w:tcPr>
            <w:tcW w:w="372" w:type="pct"/>
          </w:tcPr>
          <w:p w14:paraId="5C25A894" w14:textId="77777777" w:rsidR="003D6E32" w:rsidRPr="00E763C1" w:rsidRDefault="00B61929">
            <w:pPr>
              <w:rPr>
                <w:rFonts w:ascii="Arial" w:hAnsi="Arial" w:cs="Arial"/>
                <w:b/>
                <w:bCs/>
                <w:iCs/>
              </w:rPr>
            </w:pPr>
            <w:r w:rsidRPr="00E763C1">
              <w:rPr>
                <w:rFonts w:ascii="Arial" w:hAnsi="Arial" w:cs="Arial"/>
                <w:b/>
                <w:bCs/>
                <w:iCs/>
              </w:rPr>
              <w:t>9.2</w:t>
            </w:r>
          </w:p>
        </w:tc>
        <w:tc>
          <w:tcPr>
            <w:tcW w:w="372" w:type="pct"/>
          </w:tcPr>
          <w:p w14:paraId="2BC11ED1" w14:textId="77777777" w:rsidR="003D6E32" w:rsidRPr="00E763C1" w:rsidRDefault="00B61929">
            <w:pPr>
              <w:rPr>
                <w:rFonts w:ascii="Arial" w:hAnsi="Arial" w:cs="Arial"/>
                <w:b/>
                <w:bCs/>
                <w:iCs/>
              </w:rPr>
            </w:pPr>
            <w:r w:rsidRPr="00E763C1">
              <w:rPr>
                <w:rFonts w:ascii="Arial" w:hAnsi="Arial" w:cs="Arial"/>
                <w:b/>
                <w:bCs/>
                <w:iCs/>
              </w:rPr>
              <w:t>9.3</w:t>
            </w:r>
          </w:p>
        </w:tc>
        <w:tc>
          <w:tcPr>
            <w:tcW w:w="372" w:type="pct"/>
          </w:tcPr>
          <w:p w14:paraId="2AC804BB" w14:textId="77777777" w:rsidR="003D6E32" w:rsidRPr="00E763C1" w:rsidRDefault="00B61929">
            <w:pPr>
              <w:rPr>
                <w:rFonts w:ascii="Arial" w:hAnsi="Arial" w:cs="Arial"/>
                <w:b/>
                <w:bCs/>
                <w:iCs/>
              </w:rPr>
            </w:pPr>
            <w:r w:rsidRPr="00E763C1">
              <w:rPr>
                <w:rFonts w:ascii="Arial" w:hAnsi="Arial" w:cs="Arial"/>
                <w:b/>
                <w:bCs/>
                <w:iCs/>
              </w:rPr>
              <w:t>9.4</w:t>
            </w:r>
          </w:p>
        </w:tc>
        <w:tc>
          <w:tcPr>
            <w:tcW w:w="372" w:type="pct"/>
          </w:tcPr>
          <w:p w14:paraId="566A3460" w14:textId="77777777" w:rsidR="003D6E32" w:rsidRPr="00E763C1" w:rsidRDefault="00B61929">
            <w:pPr>
              <w:rPr>
                <w:rFonts w:ascii="Arial" w:hAnsi="Arial" w:cs="Arial"/>
                <w:b/>
                <w:bCs/>
                <w:iCs/>
              </w:rPr>
            </w:pPr>
            <w:r w:rsidRPr="00E763C1">
              <w:rPr>
                <w:rFonts w:ascii="Arial" w:hAnsi="Arial" w:cs="Arial"/>
                <w:b/>
                <w:bCs/>
                <w:iCs/>
              </w:rPr>
              <w:t>9.5</w:t>
            </w:r>
          </w:p>
        </w:tc>
      </w:tr>
      <w:tr w:rsidR="003D6E32" w14:paraId="668E0A45" w14:textId="77777777">
        <w:tc>
          <w:tcPr>
            <w:tcW w:w="1279" w:type="pct"/>
          </w:tcPr>
          <w:p w14:paraId="10A43126" w14:textId="77777777" w:rsidR="003D6E32" w:rsidRPr="00E763C1" w:rsidRDefault="00B61929">
            <w:pPr>
              <w:rPr>
                <w:rFonts w:ascii="Arial" w:hAnsi="Arial" w:cs="Arial"/>
                <w:iCs/>
              </w:rPr>
            </w:pPr>
            <w:r w:rsidRPr="00E763C1">
              <w:rPr>
                <w:rFonts w:ascii="Arial" w:hAnsi="Arial" w:cs="Arial"/>
                <w:iCs/>
              </w:rPr>
              <w:t>Private Study</w:t>
            </w:r>
          </w:p>
        </w:tc>
        <w:tc>
          <w:tcPr>
            <w:tcW w:w="372" w:type="pct"/>
            <w:vAlign w:val="bottom"/>
          </w:tcPr>
          <w:p w14:paraId="05FE4983" w14:textId="77777777" w:rsidR="003D6E32" w:rsidRDefault="00B61929">
            <w:pPr>
              <w:jc w:val="center"/>
              <w:rPr>
                <w:rFonts w:ascii="Arial" w:hAnsi="Arial" w:cs="Arial"/>
                <w:b/>
              </w:rPr>
            </w:pPr>
            <w:r>
              <w:rPr>
                <w:rFonts w:ascii="Arial" w:hAnsi="Arial" w:cs="Arial"/>
                <w:b/>
              </w:rPr>
              <w:t>x</w:t>
            </w:r>
          </w:p>
        </w:tc>
        <w:tc>
          <w:tcPr>
            <w:tcW w:w="372" w:type="pct"/>
            <w:vAlign w:val="bottom"/>
          </w:tcPr>
          <w:p w14:paraId="0756DDBE" w14:textId="77777777" w:rsidR="003D6E32" w:rsidRDefault="00B61929">
            <w:pPr>
              <w:jc w:val="center"/>
              <w:rPr>
                <w:rFonts w:ascii="Arial" w:hAnsi="Arial" w:cs="Arial"/>
                <w:b/>
              </w:rPr>
            </w:pPr>
            <w:r>
              <w:rPr>
                <w:rFonts w:ascii="Arial" w:hAnsi="Arial" w:cs="Arial"/>
                <w:b/>
              </w:rPr>
              <w:t>x</w:t>
            </w:r>
          </w:p>
        </w:tc>
        <w:tc>
          <w:tcPr>
            <w:tcW w:w="372" w:type="pct"/>
            <w:vAlign w:val="bottom"/>
          </w:tcPr>
          <w:p w14:paraId="2A856983" w14:textId="77777777" w:rsidR="003D6E32" w:rsidRDefault="00B61929">
            <w:pPr>
              <w:jc w:val="center"/>
              <w:rPr>
                <w:rFonts w:ascii="Arial" w:hAnsi="Arial" w:cs="Arial"/>
                <w:b/>
              </w:rPr>
            </w:pPr>
            <w:r>
              <w:rPr>
                <w:rFonts w:ascii="Arial" w:hAnsi="Arial" w:cs="Arial"/>
                <w:b/>
              </w:rPr>
              <w:t>x</w:t>
            </w:r>
          </w:p>
        </w:tc>
        <w:tc>
          <w:tcPr>
            <w:tcW w:w="372" w:type="pct"/>
            <w:vAlign w:val="bottom"/>
          </w:tcPr>
          <w:p w14:paraId="5B2D95DD" w14:textId="77777777" w:rsidR="003D6E32" w:rsidRDefault="00B61929">
            <w:pPr>
              <w:jc w:val="center"/>
              <w:rPr>
                <w:rFonts w:ascii="Arial" w:hAnsi="Arial" w:cs="Arial"/>
                <w:b/>
              </w:rPr>
            </w:pPr>
            <w:r>
              <w:rPr>
                <w:rFonts w:ascii="Arial" w:hAnsi="Arial" w:cs="Arial"/>
                <w:b/>
              </w:rPr>
              <w:t>x</w:t>
            </w:r>
          </w:p>
        </w:tc>
        <w:tc>
          <w:tcPr>
            <w:tcW w:w="372" w:type="pct"/>
            <w:vAlign w:val="bottom"/>
          </w:tcPr>
          <w:p w14:paraId="7EDB1FDD" w14:textId="77777777" w:rsidR="003D6E32" w:rsidRDefault="00B61929">
            <w:pPr>
              <w:jc w:val="center"/>
              <w:rPr>
                <w:rFonts w:ascii="Arial" w:hAnsi="Arial" w:cs="Arial"/>
                <w:b/>
              </w:rPr>
            </w:pPr>
            <w:r>
              <w:rPr>
                <w:rFonts w:ascii="Arial" w:hAnsi="Arial" w:cs="Arial"/>
                <w:b/>
              </w:rPr>
              <w:t>x</w:t>
            </w:r>
          </w:p>
        </w:tc>
        <w:tc>
          <w:tcPr>
            <w:tcW w:w="372" w:type="pct"/>
            <w:vAlign w:val="bottom"/>
          </w:tcPr>
          <w:p w14:paraId="376266A9" w14:textId="77777777" w:rsidR="003D6E32" w:rsidRDefault="00B61929">
            <w:pPr>
              <w:jc w:val="center"/>
              <w:rPr>
                <w:rFonts w:ascii="Arial" w:hAnsi="Arial" w:cs="Arial"/>
                <w:b/>
              </w:rPr>
            </w:pPr>
            <w:r>
              <w:rPr>
                <w:rFonts w:ascii="Arial" w:hAnsi="Arial" w:cs="Arial"/>
                <w:b/>
              </w:rPr>
              <w:t>x</w:t>
            </w:r>
          </w:p>
        </w:tc>
        <w:tc>
          <w:tcPr>
            <w:tcW w:w="372" w:type="pct"/>
            <w:vAlign w:val="bottom"/>
          </w:tcPr>
          <w:p w14:paraId="55092128" w14:textId="77777777" w:rsidR="003D6E32" w:rsidRDefault="00B61929">
            <w:pPr>
              <w:jc w:val="center"/>
              <w:rPr>
                <w:rFonts w:ascii="Arial" w:hAnsi="Arial" w:cs="Arial"/>
                <w:b/>
              </w:rPr>
            </w:pPr>
            <w:r>
              <w:rPr>
                <w:rFonts w:ascii="Arial" w:hAnsi="Arial" w:cs="Arial"/>
                <w:b/>
              </w:rPr>
              <w:t>x</w:t>
            </w:r>
          </w:p>
        </w:tc>
        <w:tc>
          <w:tcPr>
            <w:tcW w:w="372" w:type="pct"/>
            <w:vAlign w:val="bottom"/>
          </w:tcPr>
          <w:p w14:paraId="5A49EB79" w14:textId="77777777" w:rsidR="003D6E32" w:rsidRDefault="00B61929">
            <w:pPr>
              <w:jc w:val="center"/>
              <w:rPr>
                <w:rFonts w:ascii="Arial" w:hAnsi="Arial" w:cs="Arial"/>
                <w:b/>
              </w:rPr>
            </w:pPr>
            <w:r>
              <w:rPr>
                <w:rFonts w:ascii="Arial" w:hAnsi="Arial" w:cs="Arial"/>
                <w:b/>
              </w:rPr>
              <w:t>x</w:t>
            </w:r>
          </w:p>
        </w:tc>
        <w:tc>
          <w:tcPr>
            <w:tcW w:w="372" w:type="pct"/>
            <w:vAlign w:val="bottom"/>
          </w:tcPr>
          <w:p w14:paraId="60DB6908" w14:textId="77777777" w:rsidR="003D6E32" w:rsidRDefault="00B61929">
            <w:pPr>
              <w:jc w:val="center"/>
              <w:rPr>
                <w:rFonts w:ascii="Arial" w:hAnsi="Arial" w:cs="Arial"/>
                <w:b/>
              </w:rPr>
            </w:pPr>
            <w:r>
              <w:rPr>
                <w:rFonts w:ascii="Arial" w:hAnsi="Arial" w:cs="Arial"/>
                <w:b/>
              </w:rPr>
              <w:t>x</w:t>
            </w:r>
          </w:p>
        </w:tc>
        <w:tc>
          <w:tcPr>
            <w:tcW w:w="372" w:type="pct"/>
            <w:vAlign w:val="bottom"/>
          </w:tcPr>
          <w:p w14:paraId="5C593D35" w14:textId="77777777" w:rsidR="003D6E32" w:rsidRDefault="00B61929">
            <w:pPr>
              <w:jc w:val="center"/>
              <w:rPr>
                <w:rFonts w:ascii="Arial" w:hAnsi="Arial" w:cs="Arial"/>
                <w:b/>
              </w:rPr>
            </w:pPr>
            <w:r>
              <w:rPr>
                <w:rFonts w:ascii="Arial" w:hAnsi="Arial" w:cs="Arial"/>
                <w:b/>
              </w:rPr>
              <w:t>x</w:t>
            </w:r>
          </w:p>
        </w:tc>
      </w:tr>
      <w:tr w:rsidR="003D6E32" w14:paraId="639E384C" w14:textId="77777777">
        <w:tc>
          <w:tcPr>
            <w:tcW w:w="1279" w:type="pct"/>
          </w:tcPr>
          <w:p w14:paraId="722CE81B" w14:textId="77777777" w:rsidR="003D6E32" w:rsidRPr="00E763C1" w:rsidRDefault="00B61929">
            <w:pPr>
              <w:rPr>
                <w:rFonts w:ascii="Arial" w:hAnsi="Arial" w:cs="Arial"/>
                <w:iCs/>
              </w:rPr>
            </w:pPr>
            <w:r w:rsidRPr="00E763C1">
              <w:rPr>
                <w:rFonts w:ascii="Arial" w:hAnsi="Arial" w:cs="Arial"/>
                <w:iCs/>
              </w:rPr>
              <w:t xml:space="preserve">Lecture </w:t>
            </w:r>
          </w:p>
        </w:tc>
        <w:tc>
          <w:tcPr>
            <w:tcW w:w="372" w:type="pct"/>
            <w:vAlign w:val="bottom"/>
          </w:tcPr>
          <w:p w14:paraId="3FD15B5B" w14:textId="77777777" w:rsidR="003D6E32" w:rsidRDefault="00B61929">
            <w:pPr>
              <w:jc w:val="center"/>
              <w:rPr>
                <w:rFonts w:ascii="Arial" w:hAnsi="Arial" w:cs="Arial"/>
                <w:b/>
              </w:rPr>
            </w:pPr>
            <w:r>
              <w:rPr>
                <w:rFonts w:ascii="Arial" w:hAnsi="Arial" w:cs="Arial"/>
                <w:b/>
              </w:rPr>
              <w:t>x</w:t>
            </w:r>
          </w:p>
        </w:tc>
        <w:tc>
          <w:tcPr>
            <w:tcW w:w="372" w:type="pct"/>
            <w:vAlign w:val="bottom"/>
          </w:tcPr>
          <w:p w14:paraId="5DAA7C29" w14:textId="77777777" w:rsidR="003D6E32" w:rsidRDefault="00B61929">
            <w:pPr>
              <w:jc w:val="center"/>
              <w:rPr>
                <w:rFonts w:ascii="Arial" w:hAnsi="Arial" w:cs="Arial"/>
                <w:b/>
              </w:rPr>
            </w:pPr>
            <w:r>
              <w:rPr>
                <w:rFonts w:ascii="Arial" w:hAnsi="Arial" w:cs="Arial"/>
                <w:b/>
              </w:rPr>
              <w:t>x</w:t>
            </w:r>
          </w:p>
        </w:tc>
        <w:tc>
          <w:tcPr>
            <w:tcW w:w="372" w:type="pct"/>
            <w:vAlign w:val="bottom"/>
          </w:tcPr>
          <w:p w14:paraId="706A2362" w14:textId="77777777" w:rsidR="003D6E32" w:rsidRDefault="00B61929">
            <w:pPr>
              <w:jc w:val="center"/>
              <w:rPr>
                <w:rFonts w:ascii="Arial" w:hAnsi="Arial" w:cs="Arial"/>
                <w:b/>
              </w:rPr>
            </w:pPr>
            <w:r>
              <w:rPr>
                <w:rFonts w:ascii="Arial" w:hAnsi="Arial" w:cs="Arial"/>
                <w:b/>
              </w:rPr>
              <w:t>x</w:t>
            </w:r>
          </w:p>
        </w:tc>
        <w:tc>
          <w:tcPr>
            <w:tcW w:w="372" w:type="pct"/>
            <w:vAlign w:val="bottom"/>
          </w:tcPr>
          <w:p w14:paraId="32DC556C" w14:textId="77777777" w:rsidR="003D6E32" w:rsidRDefault="00B61929">
            <w:pPr>
              <w:jc w:val="center"/>
              <w:rPr>
                <w:rFonts w:ascii="Arial" w:hAnsi="Arial" w:cs="Arial"/>
                <w:b/>
              </w:rPr>
            </w:pPr>
            <w:r>
              <w:rPr>
                <w:rFonts w:ascii="Arial" w:hAnsi="Arial" w:cs="Arial"/>
                <w:b/>
              </w:rPr>
              <w:t>x</w:t>
            </w:r>
          </w:p>
        </w:tc>
        <w:tc>
          <w:tcPr>
            <w:tcW w:w="372" w:type="pct"/>
            <w:vAlign w:val="bottom"/>
          </w:tcPr>
          <w:p w14:paraId="49C5DC96" w14:textId="77777777" w:rsidR="003D6E32" w:rsidRDefault="00B61929">
            <w:pPr>
              <w:jc w:val="center"/>
              <w:rPr>
                <w:rFonts w:ascii="Arial" w:hAnsi="Arial" w:cs="Arial"/>
                <w:b/>
              </w:rPr>
            </w:pPr>
            <w:r>
              <w:rPr>
                <w:rFonts w:ascii="Arial" w:hAnsi="Arial" w:cs="Arial"/>
                <w:b/>
              </w:rPr>
              <w:t>x</w:t>
            </w:r>
          </w:p>
        </w:tc>
        <w:tc>
          <w:tcPr>
            <w:tcW w:w="372" w:type="pct"/>
            <w:vAlign w:val="bottom"/>
          </w:tcPr>
          <w:p w14:paraId="46AC43DA" w14:textId="77777777" w:rsidR="003D6E32" w:rsidRDefault="00B61929">
            <w:pPr>
              <w:jc w:val="center"/>
              <w:rPr>
                <w:rFonts w:ascii="Arial" w:hAnsi="Arial" w:cs="Arial"/>
                <w:b/>
              </w:rPr>
            </w:pPr>
            <w:r>
              <w:rPr>
                <w:rFonts w:ascii="Arial" w:hAnsi="Arial" w:cs="Arial"/>
                <w:b/>
              </w:rPr>
              <w:t>x</w:t>
            </w:r>
          </w:p>
        </w:tc>
        <w:tc>
          <w:tcPr>
            <w:tcW w:w="372" w:type="pct"/>
            <w:vAlign w:val="bottom"/>
          </w:tcPr>
          <w:p w14:paraId="59B3E879" w14:textId="77777777" w:rsidR="003D6E32" w:rsidRDefault="003D6E32">
            <w:pPr>
              <w:jc w:val="center"/>
              <w:rPr>
                <w:rFonts w:ascii="Arial" w:hAnsi="Arial" w:cs="Arial"/>
                <w:b/>
              </w:rPr>
            </w:pPr>
          </w:p>
        </w:tc>
        <w:tc>
          <w:tcPr>
            <w:tcW w:w="372" w:type="pct"/>
            <w:vAlign w:val="bottom"/>
          </w:tcPr>
          <w:p w14:paraId="65EA4179" w14:textId="77777777" w:rsidR="003D6E32" w:rsidRDefault="00B61929">
            <w:pPr>
              <w:jc w:val="center"/>
              <w:rPr>
                <w:rFonts w:ascii="Arial" w:hAnsi="Arial" w:cs="Arial"/>
                <w:b/>
              </w:rPr>
            </w:pPr>
            <w:r>
              <w:rPr>
                <w:rFonts w:ascii="Arial" w:hAnsi="Arial" w:cs="Arial"/>
                <w:b/>
              </w:rPr>
              <w:t>x</w:t>
            </w:r>
          </w:p>
        </w:tc>
        <w:tc>
          <w:tcPr>
            <w:tcW w:w="372" w:type="pct"/>
            <w:vAlign w:val="bottom"/>
          </w:tcPr>
          <w:p w14:paraId="66DE9ECA" w14:textId="77777777" w:rsidR="003D6E32" w:rsidRDefault="003D6E32">
            <w:pPr>
              <w:jc w:val="center"/>
              <w:rPr>
                <w:rFonts w:ascii="Arial" w:hAnsi="Arial" w:cs="Arial"/>
                <w:b/>
              </w:rPr>
            </w:pPr>
          </w:p>
        </w:tc>
        <w:tc>
          <w:tcPr>
            <w:tcW w:w="372" w:type="pct"/>
            <w:vAlign w:val="bottom"/>
          </w:tcPr>
          <w:p w14:paraId="057E9170" w14:textId="77777777" w:rsidR="003D6E32" w:rsidRDefault="003D6E32">
            <w:pPr>
              <w:jc w:val="center"/>
              <w:rPr>
                <w:rFonts w:ascii="Arial" w:hAnsi="Arial" w:cs="Arial"/>
                <w:b/>
              </w:rPr>
            </w:pPr>
          </w:p>
        </w:tc>
      </w:tr>
      <w:tr w:rsidR="003D6E32" w14:paraId="19DF1F10" w14:textId="77777777">
        <w:tc>
          <w:tcPr>
            <w:tcW w:w="1279" w:type="pct"/>
          </w:tcPr>
          <w:p w14:paraId="47E2A7CE" w14:textId="77777777" w:rsidR="003D6E32" w:rsidRPr="00E763C1" w:rsidRDefault="00B61929">
            <w:pPr>
              <w:rPr>
                <w:rFonts w:ascii="Arial" w:hAnsi="Arial" w:cs="Arial"/>
                <w:iCs/>
              </w:rPr>
            </w:pPr>
            <w:r w:rsidRPr="00E763C1">
              <w:rPr>
                <w:rFonts w:ascii="Arial" w:hAnsi="Arial" w:cs="Arial"/>
                <w:iCs/>
              </w:rPr>
              <w:t xml:space="preserve">Seminar </w:t>
            </w:r>
          </w:p>
        </w:tc>
        <w:tc>
          <w:tcPr>
            <w:tcW w:w="372" w:type="pct"/>
            <w:vAlign w:val="bottom"/>
          </w:tcPr>
          <w:p w14:paraId="5D4C6EC3" w14:textId="77777777" w:rsidR="003D6E32" w:rsidRDefault="00B61929">
            <w:pPr>
              <w:jc w:val="center"/>
              <w:rPr>
                <w:rFonts w:ascii="Arial" w:hAnsi="Arial" w:cs="Arial"/>
                <w:b/>
              </w:rPr>
            </w:pPr>
            <w:r>
              <w:rPr>
                <w:rFonts w:ascii="Arial" w:hAnsi="Arial" w:cs="Arial"/>
                <w:b/>
              </w:rPr>
              <w:t>x</w:t>
            </w:r>
          </w:p>
        </w:tc>
        <w:tc>
          <w:tcPr>
            <w:tcW w:w="372" w:type="pct"/>
            <w:vAlign w:val="bottom"/>
          </w:tcPr>
          <w:p w14:paraId="58422261" w14:textId="77777777" w:rsidR="003D6E32" w:rsidRDefault="00B61929">
            <w:pPr>
              <w:jc w:val="center"/>
              <w:rPr>
                <w:rFonts w:ascii="Arial" w:hAnsi="Arial" w:cs="Arial"/>
                <w:b/>
              </w:rPr>
            </w:pPr>
            <w:r>
              <w:rPr>
                <w:rFonts w:ascii="Arial" w:hAnsi="Arial" w:cs="Arial"/>
                <w:b/>
              </w:rPr>
              <w:t>x</w:t>
            </w:r>
          </w:p>
        </w:tc>
        <w:tc>
          <w:tcPr>
            <w:tcW w:w="372" w:type="pct"/>
            <w:vAlign w:val="bottom"/>
          </w:tcPr>
          <w:p w14:paraId="7C2DC085" w14:textId="77777777" w:rsidR="003D6E32" w:rsidRDefault="00B61929">
            <w:pPr>
              <w:jc w:val="center"/>
              <w:rPr>
                <w:rFonts w:ascii="Arial" w:hAnsi="Arial" w:cs="Arial"/>
                <w:b/>
              </w:rPr>
            </w:pPr>
            <w:r>
              <w:rPr>
                <w:rFonts w:ascii="Arial" w:hAnsi="Arial" w:cs="Arial"/>
                <w:b/>
              </w:rPr>
              <w:t>x</w:t>
            </w:r>
          </w:p>
        </w:tc>
        <w:tc>
          <w:tcPr>
            <w:tcW w:w="372" w:type="pct"/>
            <w:vAlign w:val="bottom"/>
          </w:tcPr>
          <w:p w14:paraId="023FB3FE" w14:textId="77777777" w:rsidR="003D6E32" w:rsidRDefault="00B61929">
            <w:pPr>
              <w:jc w:val="center"/>
              <w:rPr>
                <w:rFonts w:ascii="Arial" w:hAnsi="Arial" w:cs="Arial"/>
                <w:b/>
              </w:rPr>
            </w:pPr>
            <w:r>
              <w:rPr>
                <w:rFonts w:ascii="Arial" w:hAnsi="Arial" w:cs="Arial"/>
                <w:b/>
              </w:rPr>
              <w:t>x</w:t>
            </w:r>
          </w:p>
        </w:tc>
        <w:tc>
          <w:tcPr>
            <w:tcW w:w="372" w:type="pct"/>
            <w:vAlign w:val="bottom"/>
          </w:tcPr>
          <w:p w14:paraId="60E8CC8C" w14:textId="77777777" w:rsidR="003D6E32" w:rsidRDefault="00B61929">
            <w:pPr>
              <w:jc w:val="center"/>
              <w:rPr>
                <w:rFonts w:ascii="Arial" w:hAnsi="Arial" w:cs="Arial"/>
                <w:b/>
              </w:rPr>
            </w:pPr>
            <w:r>
              <w:rPr>
                <w:rFonts w:ascii="Arial" w:hAnsi="Arial" w:cs="Arial"/>
                <w:b/>
              </w:rPr>
              <w:t>x</w:t>
            </w:r>
          </w:p>
        </w:tc>
        <w:tc>
          <w:tcPr>
            <w:tcW w:w="372" w:type="pct"/>
            <w:vAlign w:val="bottom"/>
          </w:tcPr>
          <w:p w14:paraId="5DFBF652" w14:textId="77777777" w:rsidR="003D6E32" w:rsidRDefault="00B61929">
            <w:pPr>
              <w:jc w:val="center"/>
              <w:rPr>
                <w:rFonts w:ascii="Arial" w:hAnsi="Arial" w:cs="Arial"/>
                <w:b/>
              </w:rPr>
            </w:pPr>
            <w:r>
              <w:rPr>
                <w:rFonts w:ascii="Arial" w:hAnsi="Arial" w:cs="Arial"/>
                <w:b/>
              </w:rPr>
              <w:t>x</w:t>
            </w:r>
          </w:p>
        </w:tc>
        <w:tc>
          <w:tcPr>
            <w:tcW w:w="372" w:type="pct"/>
            <w:vAlign w:val="bottom"/>
          </w:tcPr>
          <w:p w14:paraId="26258201" w14:textId="77777777" w:rsidR="003D6E32" w:rsidRDefault="00B61929">
            <w:pPr>
              <w:jc w:val="center"/>
              <w:rPr>
                <w:rFonts w:ascii="Arial" w:hAnsi="Arial" w:cs="Arial"/>
                <w:b/>
              </w:rPr>
            </w:pPr>
            <w:r>
              <w:rPr>
                <w:rFonts w:ascii="Arial" w:hAnsi="Arial" w:cs="Arial"/>
                <w:b/>
              </w:rPr>
              <w:t>x</w:t>
            </w:r>
          </w:p>
        </w:tc>
        <w:tc>
          <w:tcPr>
            <w:tcW w:w="372" w:type="pct"/>
            <w:vAlign w:val="bottom"/>
          </w:tcPr>
          <w:p w14:paraId="07F92E84" w14:textId="77777777" w:rsidR="003D6E32" w:rsidRDefault="00B61929">
            <w:pPr>
              <w:jc w:val="center"/>
              <w:rPr>
                <w:rFonts w:ascii="Arial" w:hAnsi="Arial" w:cs="Arial"/>
                <w:b/>
              </w:rPr>
            </w:pPr>
            <w:r>
              <w:rPr>
                <w:rFonts w:ascii="Arial" w:hAnsi="Arial" w:cs="Arial"/>
                <w:b/>
              </w:rPr>
              <w:t>x</w:t>
            </w:r>
          </w:p>
        </w:tc>
        <w:tc>
          <w:tcPr>
            <w:tcW w:w="372" w:type="pct"/>
            <w:vAlign w:val="bottom"/>
          </w:tcPr>
          <w:p w14:paraId="7D7A42BC" w14:textId="77777777" w:rsidR="003D6E32" w:rsidRDefault="00B61929">
            <w:pPr>
              <w:jc w:val="center"/>
              <w:rPr>
                <w:rFonts w:ascii="Arial" w:hAnsi="Arial" w:cs="Arial"/>
                <w:b/>
              </w:rPr>
            </w:pPr>
            <w:r>
              <w:rPr>
                <w:rFonts w:ascii="Arial" w:hAnsi="Arial" w:cs="Arial"/>
                <w:b/>
              </w:rPr>
              <w:t>x</w:t>
            </w:r>
          </w:p>
        </w:tc>
        <w:tc>
          <w:tcPr>
            <w:tcW w:w="372" w:type="pct"/>
            <w:vAlign w:val="bottom"/>
          </w:tcPr>
          <w:p w14:paraId="565F1CC2" w14:textId="77777777" w:rsidR="003D6E32" w:rsidRDefault="00B61929">
            <w:pPr>
              <w:jc w:val="center"/>
              <w:rPr>
                <w:rFonts w:ascii="Arial" w:hAnsi="Arial" w:cs="Arial"/>
                <w:b/>
              </w:rPr>
            </w:pPr>
            <w:r>
              <w:rPr>
                <w:rFonts w:ascii="Arial" w:hAnsi="Arial" w:cs="Arial"/>
                <w:b/>
              </w:rPr>
              <w:t>x</w:t>
            </w:r>
          </w:p>
        </w:tc>
      </w:tr>
    </w:tbl>
    <w:p w14:paraId="05A7A0DF" w14:textId="77777777" w:rsidR="00E763C1" w:rsidRDefault="00E763C1" w:rsidP="00E763C1">
      <w:pPr>
        <w:spacing w:before="480" w:after="360"/>
        <w:ind w:firstLine="720"/>
        <w:rPr>
          <w:rFonts w:ascii="Arial" w:hAnsi="Arial" w:cs="Arial"/>
          <w:b/>
          <w:iCs/>
          <w:sz w:val="24"/>
          <w:szCs w:val="24"/>
        </w:rPr>
      </w:pPr>
    </w:p>
    <w:p w14:paraId="5922ABA1" w14:textId="41200D36" w:rsidR="003D6E32" w:rsidRDefault="00B61929" w:rsidP="00E763C1">
      <w:pPr>
        <w:spacing w:before="480" w:after="360"/>
        <w:ind w:firstLine="720"/>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4474" w:type="pct"/>
        <w:tblInd w:w="704" w:type="dxa"/>
        <w:tblLook w:val="04A0" w:firstRow="1" w:lastRow="0" w:firstColumn="1" w:lastColumn="0" w:noHBand="0" w:noVBand="1"/>
      </w:tblPr>
      <w:tblGrid>
        <w:gridCol w:w="2298"/>
        <w:gridCol w:w="668"/>
        <w:gridCol w:w="668"/>
        <w:gridCol w:w="669"/>
        <w:gridCol w:w="669"/>
        <w:gridCol w:w="669"/>
        <w:gridCol w:w="669"/>
        <w:gridCol w:w="669"/>
        <w:gridCol w:w="669"/>
        <w:gridCol w:w="669"/>
        <w:gridCol w:w="669"/>
      </w:tblGrid>
      <w:tr w:rsidR="003D6E32" w14:paraId="62FFED15" w14:textId="77777777">
        <w:tc>
          <w:tcPr>
            <w:tcW w:w="1279" w:type="pct"/>
            <w:shd w:val="clear" w:color="auto" w:fill="D9D9D9" w:themeFill="background1" w:themeFillShade="D9"/>
          </w:tcPr>
          <w:p w14:paraId="221F2F6F" w14:textId="77777777" w:rsidR="003D6E32" w:rsidRDefault="00B61929">
            <w:pPr>
              <w:ind w:left="33"/>
              <w:rPr>
                <w:rFonts w:ascii="Arial" w:hAnsi="Arial" w:cs="Arial"/>
                <w:b/>
              </w:rPr>
            </w:pPr>
            <w:r>
              <w:rPr>
                <w:rFonts w:ascii="Arial" w:hAnsi="Arial" w:cs="Arial"/>
                <w:b/>
              </w:rPr>
              <w:lastRenderedPageBreak/>
              <w:t>Module learning outcome</w:t>
            </w:r>
          </w:p>
        </w:tc>
        <w:tc>
          <w:tcPr>
            <w:tcW w:w="372" w:type="pct"/>
          </w:tcPr>
          <w:p w14:paraId="216B770A" w14:textId="77777777" w:rsidR="003D6E32" w:rsidRPr="00E763C1" w:rsidRDefault="00B61929">
            <w:pPr>
              <w:rPr>
                <w:rFonts w:ascii="Arial" w:hAnsi="Arial" w:cs="Arial"/>
                <w:b/>
                <w:bCs/>
                <w:iCs/>
              </w:rPr>
            </w:pPr>
            <w:r w:rsidRPr="00E763C1">
              <w:rPr>
                <w:rFonts w:ascii="Arial" w:hAnsi="Arial" w:cs="Arial"/>
                <w:b/>
                <w:bCs/>
                <w:iCs/>
              </w:rPr>
              <w:t>8.1</w:t>
            </w:r>
          </w:p>
        </w:tc>
        <w:tc>
          <w:tcPr>
            <w:tcW w:w="372" w:type="pct"/>
          </w:tcPr>
          <w:p w14:paraId="32C27993" w14:textId="77777777" w:rsidR="003D6E32" w:rsidRPr="00E763C1" w:rsidRDefault="00B61929">
            <w:pPr>
              <w:rPr>
                <w:rFonts w:ascii="Arial" w:hAnsi="Arial" w:cs="Arial"/>
                <w:b/>
                <w:bCs/>
                <w:iCs/>
              </w:rPr>
            </w:pPr>
            <w:r w:rsidRPr="00E763C1">
              <w:rPr>
                <w:rFonts w:ascii="Arial" w:hAnsi="Arial" w:cs="Arial"/>
                <w:b/>
                <w:bCs/>
                <w:iCs/>
              </w:rPr>
              <w:t>8.2</w:t>
            </w:r>
          </w:p>
        </w:tc>
        <w:tc>
          <w:tcPr>
            <w:tcW w:w="372" w:type="pct"/>
          </w:tcPr>
          <w:p w14:paraId="69BEC60E" w14:textId="77777777" w:rsidR="003D6E32" w:rsidRPr="00E763C1" w:rsidRDefault="00B61929">
            <w:pPr>
              <w:rPr>
                <w:rFonts w:ascii="Arial" w:hAnsi="Arial" w:cs="Arial"/>
                <w:b/>
                <w:bCs/>
                <w:iCs/>
              </w:rPr>
            </w:pPr>
            <w:r w:rsidRPr="00E763C1">
              <w:rPr>
                <w:rFonts w:ascii="Arial" w:hAnsi="Arial" w:cs="Arial"/>
                <w:b/>
                <w:bCs/>
                <w:iCs/>
              </w:rPr>
              <w:t>8.3</w:t>
            </w:r>
          </w:p>
        </w:tc>
        <w:tc>
          <w:tcPr>
            <w:tcW w:w="372" w:type="pct"/>
          </w:tcPr>
          <w:p w14:paraId="56C0F621" w14:textId="77777777" w:rsidR="003D6E32" w:rsidRPr="00E763C1" w:rsidRDefault="00B61929">
            <w:pPr>
              <w:rPr>
                <w:rFonts w:ascii="Arial" w:hAnsi="Arial" w:cs="Arial"/>
                <w:b/>
                <w:bCs/>
                <w:iCs/>
              </w:rPr>
            </w:pPr>
            <w:r w:rsidRPr="00E763C1">
              <w:rPr>
                <w:rFonts w:ascii="Arial" w:hAnsi="Arial" w:cs="Arial"/>
                <w:b/>
                <w:bCs/>
                <w:iCs/>
              </w:rPr>
              <w:t>8.4</w:t>
            </w:r>
          </w:p>
        </w:tc>
        <w:tc>
          <w:tcPr>
            <w:tcW w:w="372" w:type="pct"/>
          </w:tcPr>
          <w:p w14:paraId="43AF312C" w14:textId="77777777" w:rsidR="003D6E32" w:rsidRPr="00E763C1" w:rsidRDefault="00B61929">
            <w:pPr>
              <w:rPr>
                <w:rFonts w:ascii="Arial" w:hAnsi="Arial" w:cs="Arial"/>
                <w:b/>
                <w:bCs/>
                <w:iCs/>
              </w:rPr>
            </w:pPr>
            <w:r w:rsidRPr="00E763C1">
              <w:rPr>
                <w:rFonts w:ascii="Arial" w:hAnsi="Arial" w:cs="Arial"/>
                <w:b/>
                <w:bCs/>
                <w:iCs/>
              </w:rPr>
              <w:t>8.5</w:t>
            </w:r>
          </w:p>
        </w:tc>
        <w:tc>
          <w:tcPr>
            <w:tcW w:w="372" w:type="pct"/>
          </w:tcPr>
          <w:p w14:paraId="32FE2F04" w14:textId="77777777" w:rsidR="003D6E32" w:rsidRPr="00E763C1" w:rsidRDefault="00B61929">
            <w:pPr>
              <w:rPr>
                <w:rFonts w:ascii="Arial" w:hAnsi="Arial" w:cs="Arial"/>
                <w:b/>
                <w:bCs/>
                <w:iCs/>
              </w:rPr>
            </w:pPr>
            <w:r w:rsidRPr="00E763C1">
              <w:rPr>
                <w:rFonts w:ascii="Arial" w:hAnsi="Arial" w:cs="Arial"/>
                <w:b/>
                <w:bCs/>
                <w:iCs/>
              </w:rPr>
              <w:t>9.1</w:t>
            </w:r>
          </w:p>
        </w:tc>
        <w:tc>
          <w:tcPr>
            <w:tcW w:w="372" w:type="pct"/>
          </w:tcPr>
          <w:p w14:paraId="5C5E719C" w14:textId="77777777" w:rsidR="003D6E32" w:rsidRPr="00E763C1" w:rsidRDefault="00B61929">
            <w:pPr>
              <w:rPr>
                <w:rFonts w:ascii="Arial" w:hAnsi="Arial" w:cs="Arial"/>
                <w:b/>
                <w:bCs/>
                <w:iCs/>
              </w:rPr>
            </w:pPr>
            <w:r w:rsidRPr="00E763C1">
              <w:rPr>
                <w:rFonts w:ascii="Arial" w:hAnsi="Arial" w:cs="Arial"/>
                <w:b/>
                <w:bCs/>
                <w:iCs/>
              </w:rPr>
              <w:t>9.2</w:t>
            </w:r>
          </w:p>
        </w:tc>
        <w:tc>
          <w:tcPr>
            <w:tcW w:w="372" w:type="pct"/>
          </w:tcPr>
          <w:p w14:paraId="2E39609D" w14:textId="77777777" w:rsidR="003D6E32" w:rsidRPr="00E763C1" w:rsidRDefault="00B61929">
            <w:pPr>
              <w:rPr>
                <w:rFonts w:ascii="Arial" w:hAnsi="Arial" w:cs="Arial"/>
                <w:b/>
                <w:bCs/>
                <w:iCs/>
              </w:rPr>
            </w:pPr>
            <w:r w:rsidRPr="00E763C1">
              <w:rPr>
                <w:rFonts w:ascii="Arial" w:hAnsi="Arial" w:cs="Arial"/>
                <w:b/>
                <w:bCs/>
                <w:iCs/>
              </w:rPr>
              <w:t>9.3</w:t>
            </w:r>
          </w:p>
        </w:tc>
        <w:tc>
          <w:tcPr>
            <w:tcW w:w="372" w:type="pct"/>
          </w:tcPr>
          <w:p w14:paraId="6A3C32EF" w14:textId="77777777" w:rsidR="003D6E32" w:rsidRPr="00E763C1" w:rsidRDefault="00B61929">
            <w:pPr>
              <w:rPr>
                <w:rFonts w:ascii="Arial" w:hAnsi="Arial" w:cs="Arial"/>
                <w:b/>
                <w:bCs/>
                <w:iCs/>
              </w:rPr>
            </w:pPr>
            <w:r w:rsidRPr="00E763C1">
              <w:rPr>
                <w:rFonts w:ascii="Arial" w:hAnsi="Arial" w:cs="Arial"/>
                <w:b/>
                <w:bCs/>
                <w:iCs/>
              </w:rPr>
              <w:t>9.4</w:t>
            </w:r>
          </w:p>
        </w:tc>
        <w:tc>
          <w:tcPr>
            <w:tcW w:w="372" w:type="pct"/>
          </w:tcPr>
          <w:p w14:paraId="227AFB1B" w14:textId="77777777" w:rsidR="003D6E32" w:rsidRPr="00E763C1" w:rsidRDefault="00B61929">
            <w:pPr>
              <w:rPr>
                <w:rFonts w:ascii="Arial" w:hAnsi="Arial" w:cs="Arial"/>
                <w:b/>
                <w:bCs/>
                <w:iCs/>
              </w:rPr>
            </w:pPr>
            <w:r w:rsidRPr="00E763C1">
              <w:rPr>
                <w:rFonts w:ascii="Arial" w:hAnsi="Arial" w:cs="Arial"/>
                <w:b/>
                <w:bCs/>
                <w:iCs/>
              </w:rPr>
              <w:t>9.5</w:t>
            </w:r>
          </w:p>
        </w:tc>
      </w:tr>
      <w:tr w:rsidR="00097618" w14:paraId="0DE809B1" w14:textId="77777777">
        <w:tc>
          <w:tcPr>
            <w:tcW w:w="1279" w:type="pct"/>
          </w:tcPr>
          <w:p w14:paraId="0F373A44" w14:textId="42A54E62" w:rsidR="00097618" w:rsidRPr="00E763C1" w:rsidRDefault="00097618" w:rsidP="00097618">
            <w:pPr>
              <w:rPr>
                <w:rFonts w:ascii="Arial" w:hAnsi="Arial" w:cs="Arial"/>
                <w:iCs/>
              </w:rPr>
            </w:pPr>
            <w:r w:rsidRPr="00E763C1">
              <w:rPr>
                <w:rFonts w:ascii="Arial" w:hAnsi="Arial" w:cs="Arial"/>
                <w:iCs/>
              </w:rPr>
              <w:t>Moodle Quiz</w:t>
            </w:r>
          </w:p>
        </w:tc>
        <w:tc>
          <w:tcPr>
            <w:tcW w:w="372" w:type="pct"/>
            <w:vAlign w:val="bottom"/>
          </w:tcPr>
          <w:p w14:paraId="54C2EAF0" w14:textId="028F5FCA" w:rsidR="00097618" w:rsidRDefault="00097618" w:rsidP="00097618">
            <w:pPr>
              <w:jc w:val="center"/>
              <w:rPr>
                <w:rFonts w:ascii="Arial" w:hAnsi="Arial" w:cs="Arial"/>
                <w:b/>
              </w:rPr>
            </w:pPr>
            <w:r>
              <w:rPr>
                <w:rFonts w:ascii="Arial" w:hAnsi="Arial" w:cs="Arial"/>
                <w:b/>
              </w:rPr>
              <w:t>x</w:t>
            </w:r>
          </w:p>
        </w:tc>
        <w:tc>
          <w:tcPr>
            <w:tcW w:w="372" w:type="pct"/>
            <w:vAlign w:val="bottom"/>
          </w:tcPr>
          <w:p w14:paraId="54BBE7C8" w14:textId="169C409E" w:rsidR="00097618" w:rsidRDefault="00097618" w:rsidP="00097618">
            <w:pPr>
              <w:jc w:val="center"/>
              <w:rPr>
                <w:rFonts w:ascii="Arial" w:hAnsi="Arial" w:cs="Arial"/>
                <w:b/>
              </w:rPr>
            </w:pPr>
            <w:r>
              <w:rPr>
                <w:rFonts w:ascii="Arial" w:hAnsi="Arial" w:cs="Arial"/>
                <w:b/>
              </w:rPr>
              <w:t>x</w:t>
            </w:r>
          </w:p>
        </w:tc>
        <w:tc>
          <w:tcPr>
            <w:tcW w:w="372" w:type="pct"/>
            <w:vAlign w:val="bottom"/>
          </w:tcPr>
          <w:p w14:paraId="47B7C164" w14:textId="3B0092A0" w:rsidR="00097618" w:rsidRDefault="00097618" w:rsidP="00097618">
            <w:pPr>
              <w:jc w:val="center"/>
              <w:rPr>
                <w:rFonts w:ascii="Arial" w:hAnsi="Arial" w:cs="Arial"/>
                <w:b/>
              </w:rPr>
            </w:pPr>
            <w:r>
              <w:rPr>
                <w:rFonts w:ascii="Arial" w:hAnsi="Arial" w:cs="Arial"/>
                <w:b/>
              </w:rPr>
              <w:t>x</w:t>
            </w:r>
          </w:p>
        </w:tc>
        <w:tc>
          <w:tcPr>
            <w:tcW w:w="372" w:type="pct"/>
            <w:vAlign w:val="bottom"/>
          </w:tcPr>
          <w:p w14:paraId="6F82FC15" w14:textId="185E29BB" w:rsidR="00097618" w:rsidRDefault="00097618" w:rsidP="00097618">
            <w:pPr>
              <w:jc w:val="center"/>
              <w:rPr>
                <w:rFonts w:ascii="Arial" w:hAnsi="Arial" w:cs="Arial"/>
                <w:b/>
              </w:rPr>
            </w:pPr>
            <w:r>
              <w:rPr>
                <w:rFonts w:ascii="Arial" w:hAnsi="Arial" w:cs="Arial"/>
                <w:b/>
              </w:rPr>
              <w:t>x</w:t>
            </w:r>
          </w:p>
        </w:tc>
        <w:tc>
          <w:tcPr>
            <w:tcW w:w="372" w:type="pct"/>
            <w:vAlign w:val="bottom"/>
          </w:tcPr>
          <w:p w14:paraId="0F0D9AE8" w14:textId="416B957F" w:rsidR="00097618" w:rsidRDefault="00097618" w:rsidP="00097618">
            <w:pPr>
              <w:jc w:val="center"/>
              <w:rPr>
                <w:rFonts w:ascii="Arial" w:hAnsi="Arial" w:cs="Arial"/>
                <w:b/>
              </w:rPr>
            </w:pPr>
            <w:r>
              <w:rPr>
                <w:rFonts w:ascii="Arial" w:hAnsi="Arial" w:cs="Arial"/>
                <w:b/>
              </w:rPr>
              <w:t>x</w:t>
            </w:r>
          </w:p>
        </w:tc>
        <w:tc>
          <w:tcPr>
            <w:tcW w:w="372" w:type="pct"/>
            <w:vAlign w:val="bottom"/>
          </w:tcPr>
          <w:p w14:paraId="17FC71B4" w14:textId="28DF28E3" w:rsidR="00097618" w:rsidRDefault="00097618" w:rsidP="00097618">
            <w:pPr>
              <w:jc w:val="center"/>
              <w:rPr>
                <w:rFonts w:ascii="Arial" w:hAnsi="Arial" w:cs="Arial"/>
                <w:b/>
              </w:rPr>
            </w:pPr>
            <w:r>
              <w:rPr>
                <w:rFonts w:ascii="Arial" w:hAnsi="Arial" w:cs="Arial"/>
                <w:b/>
              </w:rPr>
              <w:t>x</w:t>
            </w:r>
          </w:p>
        </w:tc>
        <w:tc>
          <w:tcPr>
            <w:tcW w:w="372" w:type="pct"/>
            <w:vAlign w:val="bottom"/>
          </w:tcPr>
          <w:p w14:paraId="4AA2BB71" w14:textId="1E33A2A2" w:rsidR="00097618" w:rsidRDefault="00097618" w:rsidP="00097618">
            <w:pPr>
              <w:jc w:val="center"/>
              <w:rPr>
                <w:rFonts w:ascii="Arial" w:hAnsi="Arial" w:cs="Arial"/>
                <w:b/>
              </w:rPr>
            </w:pPr>
            <w:r>
              <w:rPr>
                <w:rFonts w:ascii="Arial" w:hAnsi="Arial" w:cs="Arial"/>
                <w:b/>
              </w:rPr>
              <w:t>x</w:t>
            </w:r>
          </w:p>
        </w:tc>
        <w:tc>
          <w:tcPr>
            <w:tcW w:w="372" w:type="pct"/>
            <w:vAlign w:val="bottom"/>
          </w:tcPr>
          <w:p w14:paraId="5FFDA89A" w14:textId="2A690DED" w:rsidR="00097618" w:rsidRDefault="00097618" w:rsidP="00097618">
            <w:pPr>
              <w:jc w:val="center"/>
              <w:rPr>
                <w:rFonts w:ascii="Arial" w:hAnsi="Arial" w:cs="Arial"/>
                <w:b/>
              </w:rPr>
            </w:pPr>
            <w:r>
              <w:rPr>
                <w:rFonts w:ascii="Arial" w:hAnsi="Arial" w:cs="Arial"/>
                <w:b/>
              </w:rPr>
              <w:t>x</w:t>
            </w:r>
          </w:p>
        </w:tc>
        <w:tc>
          <w:tcPr>
            <w:tcW w:w="372" w:type="pct"/>
            <w:vAlign w:val="bottom"/>
          </w:tcPr>
          <w:p w14:paraId="213A11E2" w14:textId="36CA50B0" w:rsidR="00097618" w:rsidRDefault="00097618" w:rsidP="00097618">
            <w:pPr>
              <w:jc w:val="center"/>
              <w:rPr>
                <w:rFonts w:ascii="Arial" w:hAnsi="Arial" w:cs="Arial"/>
                <w:b/>
              </w:rPr>
            </w:pPr>
            <w:r>
              <w:rPr>
                <w:rFonts w:ascii="Arial" w:hAnsi="Arial" w:cs="Arial"/>
                <w:b/>
              </w:rPr>
              <w:t>x</w:t>
            </w:r>
          </w:p>
        </w:tc>
        <w:tc>
          <w:tcPr>
            <w:tcW w:w="372" w:type="pct"/>
            <w:vAlign w:val="bottom"/>
          </w:tcPr>
          <w:p w14:paraId="4BCCE132" w14:textId="5DA95EE0" w:rsidR="00097618" w:rsidRDefault="00097618" w:rsidP="00097618">
            <w:pPr>
              <w:jc w:val="center"/>
              <w:rPr>
                <w:rFonts w:ascii="Arial" w:hAnsi="Arial" w:cs="Arial"/>
                <w:b/>
              </w:rPr>
            </w:pPr>
            <w:r>
              <w:rPr>
                <w:rFonts w:ascii="Arial" w:hAnsi="Arial" w:cs="Arial"/>
                <w:b/>
              </w:rPr>
              <w:t>x</w:t>
            </w:r>
          </w:p>
        </w:tc>
      </w:tr>
      <w:tr w:rsidR="00097618" w14:paraId="062AC4E4" w14:textId="77777777">
        <w:tc>
          <w:tcPr>
            <w:tcW w:w="1279" w:type="pct"/>
          </w:tcPr>
          <w:p w14:paraId="19C88C91" w14:textId="18B5944E" w:rsidR="00097618" w:rsidRPr="00E763C1" w:rsidRDefault="00097618" w:rsidP="00097618">
            <w:pPr>
              <w:rPr>
                <w:rFonts w:ascii="Arial" w:hAnsi="Arial" w:cs="Arial"/>
                <w:iCs/>
              </w:rPr>
            </w:pPr>
            <w:r w:rsidRPr="00E763C1">
              <w:rPr>
                <w:rFonts w:ascii="Arial" w:hAnsi="Arial" w:cs="Arial"/>
                <w:iCs/>
              </w:rPr>
              <w:t>Take away assignment</w:t>
            </w:r>
          </w:p>
        </w:tc>
        <w:tc>
          <w:tcPr>
            <w:tcW w:w="372" w:type="pct"/>
            <w:vAlign w:val="bottom"/>
          </w:tcPr>
          <w:p w14:paraId="3DC5522B" w14:textId="7546C8EF" w:rsidR="00097618" w:rsidRDefault="00097618" w:rsidP="00097618">
            <w:pPr>
              <w:jc w:val="center"/>
              <w:rPr>
                <w:rFonts w:ascii="Arial" w:hAnsi="Arial" w:cs="Arial"/>
                <w:b/>
              </w:rPr>
            </w:pPr>
            <w:r>
              <w:rPr>
                <w:rFonts w:ascii="Arial" w:hAnsi="Arial" w:cs="Arial"/>
                <w:b/>
              </w:rPr>
              <w:t>x</w:t>
            </w:r>
          </w:p>
        </w:tc>
        <w:tc>
          <w:tcPr>
            <w:tcW w:w="372" w:type="pct"/>
            <w:vAlign w:val="bottom"/>
          </w:tcPr>
          <w:p w14:paraId="55EE1E00" w14:textId="48FF53CF" w:rsidR="00097618" w:rsidRDefault="00097618" w:rsidP="00097618">
            <w:pPr>
              <w:jc w:val="center"/>
              <w:rPr>
                <w:rFonts w:ascii="Arial" w:hAnsi="Arial" w:cs="Arial"/>
                <w:b/>
              </w:rPr>
            </w:pPr>
            <w:r>
              <w:rPr>
                <w:rFonts w:ascii="Arial" w:hAnsi="Arial" w:cs="Arial"/>
                <w:b/>
              </w:rPr>
              <w:t>x</w:t>
            </w:r>
          </w:p>
        </w:tc>
        <w:tc>
          <w:tcPr>
            <w:tcW w:w="372" w:type="pct"/>
            <w:vAlign w:val="bottom"/>
          </w:tcPr>
          <w:p w14:paraId="2B01D2CC" w14:textId="388A39D1" w:rsidR="00097618" w:rsidRDefault="00097618" w:rsidP="00097618">
            <w:pPr>
              <w:jc w:val="center"/>
              <w:rPr>
                <w:rFonts w:ascii="Arial" w:hAnsi="Arial" w:cs="Arial"/>
                <w:b/>
              </w:rPr>
            </w:pPr>
            <w:r>
              <w:rPr>
                <w:rFonts w:ascii="Arial" w:hAnsi="Arial" w:cs="Arial"/>
                <w:b/>
              </w:rPr>
              <w:t>x</w:t>
            </w:r>
          </w:p>
        </w:tc>
        <w:tc>
          <w:tcPr>
            <w:tcW w:w="372" w:type="pct"/>
            <w:vAlign w:val="bottom"/>
          </w:tcPr>
          <w:p w14:paraId="0000AC10" w14:textId="0041F03C" w:rsidR="00097618" w:rsidRDefault="00097618" w:rsidP="00097618">
            <w:pPr>
              <w:jc w:val="center"/>
              <w:rPr>
                <w:rFonts w:ascii="Arial" w:hAnsi="Arial" w:cs="Arial"/>
                <w:b/>
              </w:rPr>
            </w:pPr>
            <w:r>
              <w:rPr>
                <w:rFonts w:ascii="Arial" w:hAnsi="Arial" w:cs="Arial"/>
                <w:b/>
              </w:rPr>
              <w:t>x</w:t>
            </w:r>
          </w:p>
        </w:tc>
        <w:tc>
          <w:tcPr>
            <w:tcW w:w="372" w:type="pct"/>
            <w:vAlign w:val="bottom"/>
          </w:tcPr>
          <w:p w14:paraId="34D58E05" w14:textId="190C5072" w:rsidR="00097618" w:rsidRDefault="00097618" w:rsidP="00097618">
            <w:pPr>
              <w:jc w:val="center"/>
              <w:rPr>
                <w:rFonts w:ascii="Arial" w:hAnsi="Arial" w:cs="Arial"/>
                <w:b/>
              </w:rPr>
            </w:pPr>
            <w:r>
              <w:rPr>
                <w:rFonts w:ascii="Arial" w:hAnsi="Arial" w:cs="Arial"/>
                <w:b/>
              </w:rPr>
              <w:t>x</w:t>
            </w:r>
          </w:p>
        </w:tc>
        <w:tc>
          <w:tcPr>
            <w:tcW w:w="372" w:type="pct"/>
            <w:vAlign w:val="bottom"/>
          </w:tcPr>
          <w:p w14:paraId="7FB63619" w14:textId="55961007" w:rsidR="00097618" w:rsidRDefault="00097618" w:rsidP="00097618">
            <w:pPr>
              <w:jc w:val="center"/>
              <w:rPr>
                <w:rFonts w:ascii="Arial" w:hAnsi="Arial" w:cs="Arial"/>
                <w:b/>
              </w:rPr>
            </w:pPr>
            <w:r>
              <w:rPr>
                <w:rFonts w:ascii="Arial" w:hAnsi="Arial" w:cs="Arial"/>
                <w:b/>
              </w:rPr>
              <w:t>x</w:t>
            </w:r>
          </w:p>
        </w:tc>
        <w:tc>
          <w:tcPr>
            <w:tcW w:w="372" w:type="pct"/>
            <w:vAlign w:val="bottom"/>
          </w:tcPr>
          <w:p w14:paraId="0C46545F" w14:textId="6FEDF13B" w:rsidR="00097618" w:rsidRDefault="00097618" w:rsidP="00097618">
            <w:pPr>
              <w:jc w:val="center"/>
              <w:rPr>
                <w:rFonts w:ascii="Arial" w:hAnsi="Arial" w:cs="Arial"/>
                <w:b/>
              </w:rPr>
            </w:pPr>
            <w:r>
              <w:rPr>
                <w:rFonts w:ascii="Arial" w:hAnsi="Arial" w:cs="Arial"/>
                <w:b/>
              </w:rPr>
              <w:t>x</w:t>
            </w:r>
          </w:p>
        </w:tc>
        <w:tc>
          <w:tcPr>
            <w:tcW w:w="372" w:type="pct"/>
            <w:vAlign w:val="bottom"/>
          </w:tcPr>
          <w:p w14:paraId="011F7A96" w14:textId="0A4DA385" w:rsidR="00097618" w:rsidRDefault="00097618" w:rsidP="00097618">
            <w:pPr>
              <w:jc w:val="center"/>
              <w:rPr>
                <w:rFonts w:ascii="Arial" w:hAnsi="Arial" w:cs="Arial"/>
                <w:b/>
              </w:rPr>
            </w:pPr>
            <w:r>
              <w:rPr>
                <w:rFonts w:ascii="Arial" w:hAnsi="Arial" w:cs="Arial"/>
                <w:b/>
              </w:rPr>
              <w:t>x</w:t>
            </w:r>
          </w:p>
        </w:tc>
        <w:tc>
          <w:tcPr>
            <w:tcW w:w="372" w:type="pct"/>
            <w:vAlign w:val="bottom"/>
          </w:tcPr>
          <w:p w14:paraId="2FAE7734" w14:textId="52C1DAB8" w:rsidR="00097618" w:rsidRDefault="00097618" w:rsidP="00097618">
            <w:pPr>
              <w:jc w:val="center"/>
              <w:rPr>
                <w:rFonts w:ascii="Arial" w:hAnsi="Arial" w:cs="Arial"/>
                <w:b/>
              </w:rPr>
            </w:pPr>
            <w:r>
              <w:rPr>
                <w:rFonts w:ascii="Arial" w:hAnsi="Arial" w:cs="Arial"/>
                <w:b/>
              </w:rPr>
              <w:t>x</w:t>
            </w:r>
          </w:p>
        </w:tc>
        <w:tc>
          <w:tcPr>
            <w:tcW w:w="372" w:type="pct"/>
            <w:vAlign w:val="bottom"/>
          </w:tcPr>
          <w:p w14:paraId="531FCDE6" w14:textId="39463741" w:rsidR="00097618" w:rsidRDefault="00097618" w:rsidP="00097618">
            <w:pPr>
              <w:jc w:val="center"/>
              <w:rPr>
                <w:rFonts w:ascii="Arial" w:hAnsi="Arial" w:cs="Arial"/>
                <w:b/>
              </w:rPr>
            </w:pPr>
            <w:r>
              <w:rPr>
                <w:rFonts w:ascii="Arial" w:hAnsi="Arial" w:cs="Arial"/>
                <w:b/>
              </w:rPr>
              <w:t>x</w:t>
            </w:r>
          </w:p>
        </w:tc>
      </w:tr>
      <w:tr w:rsidR="00097618" w14:paraId="78738706" w14:textId="77777777">
        <w:tc>
          <w:tcPr>
            <w:tcW w:w="1279" w:type="pct"/>
          </w:tcPr>
          <w:p w14:paraId="31D00FD5" w14:textId="2103E5A6" w:rsidR="00097618" w:rsidRPr="00E763C1" w:rsidRDefault="00097618" w:rsidP="00097618">
            <w:pPr>
              <w:rPr>
                <w:rFonts w:ascii="Arial" w:hAnsi="Arial" w:cs="Arial"/>
                <w:iCs/>
              </w:rPr>
            </w:pPr>
            <w:r w:rsidRPr="00E763C1">
              <w:rPr>
                <w:rFonts w:ascii="Arial" w:hAnsi="Arial" w:cs="Arial"/>
                <w:iCs/>
              </w:rPr>
              <w:t>Examination</w:t>
            </w:r>
          </w:p>
        </w:tc>
        <w:tc>
          <w:tcPr>
            <w:tcW w:w="372" w:type="pct"/>
            <w:vAlign w:val="bottom"/>
          </w:tcPr>
          <w:p w14:paraId="15FC3047" w14:textId="3330396A" w:rsidR="00097618" w:rsidRDefault="00097618" w:rsidP="00097618">
            <w:pPr>
              <w:jc w:val="center"/>
              <w:rPr>
                <w:rFonts w:ascii="Arial" w:hAnsi="Arial" w:cs="Arial"/>
                <w:b/>
              </w:rPr>
            </w:pPr>
            <w:r>
              <w:rPr>
                <w:rFonts w:ascii="Arial" w:hAnsi="Arial" w:cs="Arial"/>
                <w:b/>
              </w:rPr>
              <w:t>x</w:t>
            </w:r>
          </w:p>
        </w:tc>
        <w:tc>
          <w:tcPr>
            <w:tcW w:w="372" w:type="pct"/>
            <w:vAlign w:val="bottom"/>
          </w:tcPr>
          <w:p w14:paraId="06D4DBBA" w14:textId="09DA3B37" w:rsidR="00097618" w:rsidRDefault="00097618" w:rsidP="00097618">
            <w:pPr>
              <w:jc w:val="center"/>
              <w:rPr>
                <w:rFonts w:ascii="Arial" w:hAnsi="Arial" w:cs="Arial"/>
                <w:b/>
              </w:rPr>
            </w:pPr>
            <w:r>
              <w:rPr>
                <w:rFonts w:ascii="Arial" w:hAnsi="Arial" w:cs="Arial"/>
                <w:b/>
              </w:rPr>
              <w:t>x</w:t>
            </w:r>
          </w:p>
        </w:tc>
        <w:tc>
          <w:tcPr>
            <w:tcW w:w="372" w:type="pct"/>
            <w:vAlign w:val="bottom"/>
          </w:tcPr>
          <w:p w14:paraId="2EFE306F" w14:textId="6D3BF09A" w:rsidR="00097618" w:rsidRDefault="00097618" w:rsidP="00097618">
            <w:pPr>
              <w:jc w:val="center"/>
              <w:rPr>
                <w:rFonts w:ascii="Arial" w:hAnsi="Arial" w:cs="Arial"/>
                <w:b/>
              </w:rPr>
            </w:pPr>
            <w:r>
              <w:rPr>
                <w:rFonts w:ascii="Arial" w:hAnsi="Arial" w:cs="Arial"/>
                <w:b/>
              </w:rPr>
              <w:t>x</w:t>
            </w:r>
          </w:p>
        </w:tc>
        <w:tc>
          <w:tcPr>
            <w:tcW w:w="372" w:type="pct"/>
            <w:vAlign w:val="bottom"/>
          </w:tcPr>
          <w:p w14:paraId="6894DF33" w14:textId="669EB4F7" w:rsidR="00097618" w:rsidRDefault="00097618" w:rsidP="00097618">
            <w:pPr>
              <w:jc w:val="center"/>
              <w:rPr>
                <w:rFonts w:ascii="Arial" w:hAnsi="Arial" w:cs="Arial"/>
                <w:b/>
              </w:rPr>
            </w:pPr>
            <w:r>
              <w:rPr>
                <w:rFonts w:ascii="Arial" w:hAnsi="Arial" w:cs="Arial"/>
                <w:b/>
              </w:rPr>
              <w:t>x</w:t>
            </w:r>
          </w:p>
        </w:tc>
        <w:tc>
          <w:tcPr>
            <w:tcW w:w="372" w:type="pct"/>
            <w:vAlign w:val="bottom"/>
          </w:tcPr>
          <w:p w14:paraId="32438F4E" w14:textId="6CACEE49" w:rsidR="00097618" w:rsidRDefault="00097618" w:rsidP="00097618">
            <w:pPr>
              <w:jc w:val="center"/>
              <w:rPr>
                <w:rFonts w:ascii="Arial" w:hAnsi="Arial" w:cs="Arial"/>
                <w:b/>
              </w:rPr>
            </w:pPr>
            <w:r>
              <w:rPr>
                <w:rFonts w:ascii="Arial" w:hAnsi="Arial" w:cs="Arial"/>
                <w:b/>
              </w:rPr>
              <w:t>x</w:t>
            </w:r>
          </w:p>
        </w:tc>
        <w:tc>
          <w:tcPr>
            <w:tcW w:w="372" w:type="pct"/>
            <w:vAlign w:val="bottom"/>
          </w:tcPr>
          <w:p w14:paraId="64DD6CC4" w14:textId="10DDE5A2" w:rsidR="00097618" w:rsidRDefault="00097618" w:rsidP="00097618">
            <w:pPr>
              <w:jc w:val="center"/>
              <w:rPr>
                <w:rFonts w:ascii="Arial" w:hAnsi="Arial" w:cs="Arial"/>
                <w:b/>
              </w:rPr>
            </w:pPr>
            <w:r>
              <w:rPr>
                <w:rFonts w:ascii="Arial" w:hAnsi="Arial" w:cs="Arial"/>
                <w:b/>
              </w:rPr>
              <w:t>x</w:t>
            </w:r>
          </w:p>
        </w:tc>
        <w:tc>
          <w:tcPr>
            <w:tcW w:w="372" w:type="pct"/>
            <w:vAlign w:val="bottom"/>
          </w:tcPr>
          <w:p w14:paraId="1DA27558" w14:textId="5E307B3B" w:rsidR="00097618" w:rsidRDefault="00097618" w:rsidP="00097618">
            <w:pPr>
              <w:jc w:val="center"/>
              <w:rPr>
                <w:rFonts w:ascii="Arial" w:hAnsi="Arial" w:cs="Arial"/>
                <w:b/>
              </w:rPr>
            </w:pPr>
            <w:r>
              <w:rPr>
                <w:rFonts w:ascii="Arial" w:hAnsi="Arial" w:cs="Arial"/>
                <w:b/>
              </w:rPr>
              <w:t>x</w:t>
            </w:r>
          </w:p>
        </w:tc>
        <w:tc>
          <w:tcPr>
            <w:tcW w:w="372" w:type="pct"/>
            <w:vAlign w:val="bottom"/>
          </w:tcPr>
          <w:p w14:paraId="7C7C7826" w14:textId="31CA24D0" w:rsidR="00097618" w:rsidRDefault="00097618" w:rsidP="00097618">
            <w:pPr>
              <w:jc w:val="center"/>
              <w:rPr>
                <w:rFonts w:ascii="Arial" w:hAnsi="Arial" w:cs="Arial"/>
                <w:b/>
              </w:rPr>
            </w:pPr>
            <w:r>
              <w:rPr>
                <w:rFonts w:ascii="Arial" w:hAnsi="Arial" w:cs="Arial"/>
                <w:b/>
              </w:rPr>
              <w:t>x</w:t>
            </w:r>
          </w:p>
        </w:tc>
        <w:tc>
          <w:tcPr>
            <w:tcW w:w="372" w:type="pct"/>
            <w:vAlign w:val="bottom"/>
          </w:tcPr>
          <w:p w14:paraId="4E1A3913" w14:textId="32563F46" w:rsidR="00097618" w:rsidRDefault="00097618" w:rsidP="00097618">
            <w:pPr>
              <w:jc w:val="center"/>
              <w:rPr>
                <w:rFonts w:ascii="Arial" w:hAnsi="Arial" w:cs="Arial"/>
                <w:b/>
              </w:rPr>
            </w:pPr>
            <w:r>
              <w:rPr>
                <w:rFonts w:ascii="Arial" w:hAnsi="Arial" w:cs="Arial"/>
                <w:b/>
              </w:rPr>
              <w:t>x</w:t>
            </w:r>
          </w:p>
        </w:tc>
        <w:tc>
          <w:tcPr>
            <w:tcW w:w="372" w:type="pct"/>
            <w:vAlign w:val="bottom"/>
          </w:tcPr>
          <w:p w14:paraId="5F0C5DB3" w14:textId="1A7FF438" w:rsidR="00097618" w:rsidRDefault="00097618" w:rsidP="00097618">
            <w:pPr>
              <w:jc w:val="center"/>
              <w:rPr>
                <w:rFonts w:ascii="Arial" w:hAnsi="Arial" w:cs="Arial"/>
                <w:b/>
              </w:rPr>
            </w:pPr>
            <w:r>
              <w:rPr>
                <w:rFonts w:ascii="Arial" w:hAnsi="Arial" w:cs="Arial"/>
                <w:b/>
              </w:rPr>
              <w:t>x</w:t>
            </w:r>
          </w:p>
        </w:tc>
      </w:tr>
    </w:tbl>
    <w:p w14:paraId="65C4973E" w14:textId="77777777" w:rsidR="003D6E32" w:rsidRDefault="00B61929">
      <w:pPr>
        <w:pStyle w:val="Heading2"/>
        <w:rPr>
          <w:iCs/>
        </w:rPr>
      </w:pPr>
      <w:r>
        <w:t xml:space="preserve">Inclusive module design </w:t>
      </w:r>
    </w:p>
    <w:p w14:paraId="41EB0355" w14:textId="77777777" w:rsidR="003D6E32" w:rsidRDefault="00B61929" w:rsidP="00084238">
      <w:pPr>
        <w:pStyle w:val="BodyText"/>
      </w:pPr>
      <w: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EBBD9A" w14:textId="77777777" w:rsidR="003D6E32" w:rsidRDefault="00B61929" w:rsidP="00084238">
      <w:pPr>
        <w:pStyle w:val="BodyText"/>
      </w:pPr>
      <w:r>
        <w:t>The inclusive practices in the guidance (see Annex B Appendix A) have been considered in order to support all students in the following areas:</w:t>
      </w:r>
    </w:p>
    <w:p w14:paraId="41D5A219" w14:textId="77777777" w:rsidR="003D6E32" w:rsidRDefault="00B61929" w:rsidP="00084238">
      <w:pPr>
        <w:pStyle w:val="BodyText"/>
        <w:rPr>
          <w:bCs/>
        </w:rPr>
      </w:pPr>
      <w:r>
        <w:t xml:space="preserve">a) </w:t>
      </w:r>
      <w:r>
        <w:rPr>
          <w:bCs/>
        </w:rPr>
        <w:t>Accessible resources and curriculum</w:t>
      </w:r>
    </w:p>
    <w:p w14:paraId="3BB87B50" w14:textId="77777777" w:rsidR="003D6E32" w:rsidRDefault="00B61929" w:rsidP="00084238">
      <w:pPr>
        <w:pStyle w:val="BodyText"/>
        <w:rPr>
          <w:color w:val="000000"/>
        </w:rPr>
      </w:pPr>
      <w:r>
        <w:t xml:space="preserve">b) </w:t>
      </w:r>
      <w:r>
        <w:rPr>
          <w:bCs/>
        </w:rPr>
        <w:t>Learning, teaching and assessment methods.</w:t>
      </w:r>
    </w:p>
    <w:p w14:paraId="5476F0EB" w14:textId="77777777" w:rsidR="003D6E32" w:rsidRDefault="00B61929">
      <w:pPr>
        <w:pStyle w:val="Heading2"/>
      </w:pPr>
      <w:r>
        <w:t>Campus(es) or centre(s) where module will be delivered</w:t>
      </w:r>
    </w:p>
    <w:p w14:paraId="72054EB2" w14:textId="18273B4D" w:rsidR="003D6E32" w:rsidRDefault="00B61929" w:rsidP="00084238">
      <w:pPr>
        <w:pStyle w:val="BodyText"/>
      </w:pPr>
      <w:r>
        <w:t>Canterbury</w:t>
      </w:r>
    </w:p>
    <w:p w14:paraId="7BE612BD" w14:textId="77777777" w:rsidR="003D6E32" w:rsidRDefault="00B61929">
      <w:pPr>
        <w:pStyle w:val="Heading2"/>
      </w:pPr>
      <w:r>
        <w:t xml:space="preserve">Internationalisation </w:t>
      </w:r>
    </w:p>
    <w:p w14:paraId="4469D5E5" w14:textId="77777777" w:rsidR="003D6E32" w:rsidRDefault="00B61929" w:rsidP="00084238">
      <w:pPr>
        <w:pStyle w:val="BodyText"/>
      </w:pPr>
      <w:r>
        <w:t xml:space="preserve">The module has a global focus and exposes students to macroeconomic concepts and analyses from an international perspective. </w:t>
      </w:r>
    </w:p>
    <w:p w14:paraId="2B3F8823" w14:textId="545949E1" w:rsidR="003D6E32" w:rsidRDefault="003D6E32">
      <w:pPr>
        <w:ind w:right="543"/>
        <w:rPr>
          <w:rFonts w:ascii="Arial" w:hAnsi="Arial" w:cs="Arial"/>
          <w:sz w:val="24"/>
          <w:szCs w:val="24"/>
        </w:rPr>
      </w:pPr>
    </w:p>
    <w:p w14:paraId="5670BAE6" w14:textId="77777777" w:rsidR="00E763C1" w:rsidRDefault="00E763C1" w:rsidP="00E763C1">
      <w:pPr>
        <w:rPr>
          <w:rFonts w:ascii="Arial" w:hAnsi="Arial" w:cs="Arial"/>
          <w:sz w:val="24"/>
          <w:szCs w:val="24"/>
        </w:rPr>
      </w:pPr>
      <w:bookmarkStart w:id="0" w:name="_Hlk110347234"/>
    </w:p>
    <w:p w14:paraId="3DBEF77A" w14:textId="77777777" w:rsidR="00E763C1" w:rsidRPr="009D52D0" w:rsidRDefault="00E763C1" w:rsidP="00E763C1">
      <w:pPr>
        <w:pBdr>
          <w:bottom w:val="single" w:sz="6" w:space="1" w:color="auto"/>
        </w:pBdr>
        <w:ind w:right="543"/>
        <w:rPr>
          <w:rFonts w:ascii="Arial" w:hAnsi="Arial" w:cs="Arial"/>
          <w:sz w:val="24"/>
          <w:szCs w:val="24"/>
        </w:rPr>
      </w:pPr>
      <w:bookmarkStart w:id="1" w:name="_Hlk118801091"/>
    </w:p>
    <w:p w14:paraId="6228C8B4" w14:textId="77777777" w:rsidR="00E763C1" w:rsidRPr="005E5282" w:rsidRDefault="00E763C1" w:rsidP="00E763C1">
      <w:pPr>
        <w:ind w:right="543"/>
        <w:rPr>
          <w:rFonts w:ascii="Arial" w:hAnsi="Arial" w:cs="Arial"/>
          <w:b/>
        </w:rPr>
      </w:pPr>
      <w:r w:rsidRPr="005E5282">
        <w:rPr>
          <w:rFonts w:ascii="Arial" w:hAnsi="Arial" w:cs="Arial"/>
          <w:b/>
        </w:rPr>
        <w:t xml:space="preserve">DIVISIONAL USE ONLY </w:t>
      </w:r>
    </w:p>
    <w:bookmarkEnd w:id="1"/>
    <w:p w14:paraId="51A882DF" w14:textId="77777777" w:rsidR="00E763C1" w:rsidRPr="005E5282" w:rsidRDefault="00E763C1" w:rsidP="00E763C1">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8B18AEA" w14:textId="77777777" w:rsidR="00E763C1" w:rsidRPr="005E5282" w:rsidRDefault="00E763C1" w:rsidP="00E763C1">
      <w:pPr>
        <w:ind w:right="543"/>
        <w:rPr>
          <w:rFonts w:ascii="Arial" w:hAnsi="Arial" w:cs="Arial"/>
          <w:b/>
        </w:rPr>
      </w:pPr>
    </w:p>
    <w:tbl>
      <w:tblPr>
        <w:tblStyle w:val="TableGrid"/>
        <w:tblW w:w="9776" w:type="dxa"/>
        <w:tblLook w:val="04A0" w:firstRow="1" w:lastRow="0" w:firstColumn="1" w:lastColumn="0" w:noHBand="0" w:noVBand="1"/>
      </w:tblPr>
      <w:tblGrid>
        <w:gridCol w:w="1592"/>
        <w:gridCol w:w="1817"/>
        <w:gridCol w:w="2256"/>
        <w:gridCol w:w="2077"/>
        <w:gridCol w:w="2034"/>
      </w:tblGrid>
      <w:tr w:rsidR="00E763C1" w:rsidRPr="009D52D0" w14:paraId="03886468" w14:textId="77777777" w:rsidTr="00E763C1">
        <w:trPr>
          <w:trHeight w:val="317"/>
          <w:tblHeader/>
        </w:trPr>
        <w:tc>
          <w:tcPr>
            <w:tcW w:w="1592" w:type="dxa"/>
            <w:shd w:val="clear" w:color="auto" w:fill="F2F2F2" w:themeFill="background1" w:themeFillShade="F2"/>
          </w:tcPr>
          <w:p w14:paraId="5E2B0E0B" w14:textId="77777777" w:rsidR="00E763C1" w:rsidRPr="009D52D0" w:rsidRDefault="00E763C1" w:rsidP="00462B3C">
            <w:pPr>
              <w:pStyle w:val="Tableoutcomeshead"/>
            </w:pPr>
            <w:r w:rsidRPr="009D52D0">
              <w:t>Date approved</w:t>
            </w:r>
          </w:p>
        </w:tc>
        <w:tc>
          <w:tcPr>
            <w:tcW w:w="1817" w:type="dxa"/>
            <w:shd w:val="clear" w:color="auto" w:fill="F2F2F2" w:themeFill="background1" w:themeFillShade="F2"/>
          </w:tcPr>
          <w:p w14:paraId="34C6B070" w14:textId="77777777" w:rsidR="00E763C1" w:rsidRPr="009D52D0" w:rsidRDefault="00E763C1" w:rsidP="00462B3C">
            <w:pPr>
              <w:pStyle w:val="Tableoutcomeshead"/>
            </w:pPr>
            <w:r>
              <w:t>New/</w:t>
            </w:r>
            <w:r w:rsidRPr="009D52D0">
              <w:t>Major/</w:t>
            </w:r>
            <w:r>
              <w:t>M</w:t>
            </w:r>
            <w:r w:rsidRPr="009D52D0">
              <w:t>inor revision</w:t>
            </w:r>
          </w:p>
        </w:tc>
        <w:tc>
          <w:tcPr>
            <w:tcW w:w="2256" w:type="dxa"/>
            <w:shd w:val="clear" w:color="auto" w:fill="F2F2F2" w:themeFill="background1" w:themeFillShade="F2"/>
          </w:tcPr>
          <w:p w14:paraId="456B7681" w14:textId="77777777" w:rsidR="00E763C1" w:rsidRPr="009D52D0" w:rsidRDefault="00E763C1" w:rsidP="00462B3C">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46AE0715" w14:textId="77777777" w:rsidR="00E763C1" w:rsidRPr="009D52D0" w:rsidRDefault="00E763C1" w:rsidP="00462B3C">
            <w:pPr>
              <w:pStyle w:val="Tableoutcomeshead"/>
            </w:pPr>
            <w:r w:rsidRPr="009D52D0">
              <w:t>Section revised</w:t>
            </w:r>
            <w:r>
              <w:t xml:space="preserve"> (if applicable)</w:t>
            </w:r>
          </w:p>
        </w:tc>
        <w:tc>
          <w:tcPr>
            <w:tcW w:w="2034" w:type="dxa"/>
            <w:shd w:val="clear" w:color="auto" w:fill="F2F2F2" w:themeFill="background1" w:themeFillShade="F2"/>
          </w:tcPr>
          <w:p w14:paraId="1D5290C4" w14:textId="77777777" w:rsidR="00E763C1" w:rsidRPr="009D52D0" w:rsidRDefault="00E763C1" w:rsidP="00462B3C">
            <w:pPr>
              <w:pStyle w:val="Tableoutcomeshead"/>
            </w:pPr>
            <w:r w:rsidRPr="009D52D0">
              <w:t>Impacts PLOs (Q6</w:t>
            </w:r>
            <w:r>
              <w:t xml:space="preserve"> </w:t>
            </w:r>
            <w:r w:rsidRPr="009D52D0">
              <w:t>&amp;</w:t>
            </w:r>
            <w:r>
              <w:t xml:space="preserve"> </w:t>
            </w:r>
            <w:r w:rsidRPr="009D52D0">
              <w:t>7 cover sheet)</w:t>
            </w:r>
          </w:p>
        </w:tc>
      </w:tr>
      <w:tr w:rsidR="00E763C1" w:rsidRPr="009D52D0" w14:paraId="4F954EDD" w14:textId="77777777" w:rsidTr="00E763C1">
        <w:trPr>
          <w:trHeight w:val="305"/>
        </w:trPr>
        <w:tc>
          <w:tcPr>
            <w:tcW w:w="1592" w:type="dxa"/>
          </w:tcPr>
          <w:p w14:paraId="22809BE9" w14:textId="19137703" w:rsidR="00E763C1" w:rsidRPr="009D52D0" w:rsidRDefault="00E763C1" w:rsidP="00462B3C">
            <w:pPr>
              <w:pStyle w:val="Tabledivuseonly"/>
            </w:pPr>
            <w:r>
              <w:t>11.01.23</w:t>
            </w:r>
          </w:p>
        </w:tc>
        <w:tc>
          <w:tcPr>
            <w:tcW w:w="1817" w:type="dxa"/>
          </w:tcPr>
          <w:p w14:paraId="3AEA00FA" w14:textId="130D79B3" w:rsidR="00E763C1" w:rsidRPr="009D52D0" w:rsidRDefault="00E763C1" w:rsidP="00462B3C">
            <w:pPr>
              <w:pStyle w:val="Tabledivuseonly"/>
            </w:pPr>
            <w:r>
              <w:t>Major</w:t>
            </w:r>
          </w:p>
        </w:tc>
        <w:tc>
          <w:tcPr>
            <w:tcW w:w="2256" w:type="dxa"/>
          </w:tcPr>
          <w:p w14:paraId="3E344DAA" w14:textId="5550A1B6" w:rsidR="00E763C1" w:rsidRPr="009D52D0" w:rsidRDefault="00E763C1" w:rsidP="00462B3C">
            <w:pPr>
              <w:pStyle w:val="Tabledivuseonly"/>
            </w:pPr>
            <w:r>
              <w:t>September 2023</w:t>
            </w:r>
          </w:p>
        </w:tc>
        <w:tc>
          <w:tcPr>
            <w:tcW w:w="2077" w:type="dxa"/>
          </w:tcPr>
          <w:p w14:paraId="77943A3D" w14:textId="3D5EF39D" w:rsidR="00E763C1" w:rsidRPr="009D52D0" w:rsidRDefault="00E763C1" w:rsidP="00462B3C">
            <w:pPr>
              <w:pStyle w:val="Tabledivuseonly"/>
            </w:pPr>
            <w:r>
              <w:t>13.1</w:t>
            </w:r>
          </w:p>
        </w:tc>
        <w:tc>
          <w:tcPr>
            <w:tcW w:w="2034" w:type="dxa"/>
          </w:tcPr>
          <w:p w14:paraId="0C8B1AF1" w14:textId="733ACC34" w:rsidR="00E763C1" w:rsidRPr="009D52D0" w:rsidRDefault="00E763C1" w:rsidP="00462B3C">
            <w:pPr>
              <w:pStyle w:val="Tabledivuseonly"/>
            </w:pPr>
            <w:r>
              <w:t>No</w:t>
            </w:r>
          </w:p>
        </w:tc>
      </w:tr>
      <w:bookmarkEnd w:id="0"/>
    </w:tbl>
    <w:p w14:paraId="48D60AFF" w14:textId="77777777" w:rsidR="00E763C1" w:rsidRDefault="00E763C1" w:rsidP="00E763C1">
      <w:pPr>
        <w:ind w:right="543"/>
        <w:rPr>
          <w:rFonts w:ascii="Arial" w:hAnsi="Arial" w:cs="Arial"/>
          <w:sz w:val="24"/>
          <w:szCs w:val="24"/>
        </w:rPr>
      </w:pPr>
    </w:p>
    <w:sectPr w:rsidR="00E763C1" w:rsidSect="00084238">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9C11" w14:textId="77777777" w:rsidR="003D6E32" w:rsidRDefault="00B61929">
      <w:r>
        <w:separator/>
      </w:r>
    </w:p>
  </w:endnote>
  <w:endnote w:type="continuationSeparator" w:id="0">
    <w:p w14:paraId="234E1A20" w14:textId="77777777" w:rsidR="003D6E32" w:rsidRDefault="00B6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AutoText"/>
      </w:docPartObj>
    </w:sdtPr>
    <w:sdtEndPr/>
    <w:sdtContent>
      <w:p w14:paraId="3E668A36" w14:textId="77777777" w:rsidR="003D6E32" w:rsidRDefault="00B61929">
        <w:pPr>
          <w:pStyle w:val="Footer"/>
          <w:jc w:val="center"/>
        </w:pPr>
        <w:r>
          <w:fldChar w:fldCharType="begin"/>
        </w:r>
        <w:r>
          <w:instrText xml:space="preserve"> PAGE   \* MERGEFORMAT </w:instrText>
        </w:r>
        <w:r>
          <w:fldChar w:fldCharType="separate"/>
        </w:r>
        <w:r>
          <w:t>7</w:t>
        </w:r>
        <w:r>
          <w:fldChar w:fldCharType="end"/>
        </w:r>
      </w:p>
    </w:sdtContent>
  </w:sdt>
  <w:p w14:paraId="7ED1163A" w14:textId="77777777" w:rsidR="003D6E32" w:rsidRDefault="00B61929" w:rsidP="00084238">
    <w:pPr>
      <w:spacing w:after="0"/>
      <w:ind w:left="567" w:right="544"/>
      <w:jc w:val="both"/>
      <w:rPr>
        <w:rFonts w:ascii="Arial" w:hAnsi="Arial"/>
        <w:sz w:val="18"/>
      </w:rPr>
    </w:pPr>
    <w:r>
      <w:rPr>
        <w:rFonts w:ascii="Arial" w:hAnsi="Arial"/>
        <w:sz w:val="18"/>
      </w:rPr>
      <w:t>Module Specification: ECON5480 International Finance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B90" w14:textId="77777777" w:rsidR="003D6E32" w:rsidRDefault="00B61929">
    <w:pPr>
      <w:pStyle w:val="Footer"/>
      <w:jc w:val="center"/>
    </w:pPr>
    <w:r>
      <w:fldChar w:fldCharType="begin"/>
    </w:r>
    <w:r>
      <w:instrText xml:space="preserve"> PAGE   \* MERGEFORMAT </w:instrText>
    </w:r>
    <w:r>
      <w:fldChar w:fldCharType="separate"/>
    </w:r>
    <w:r>
      <w:t>1</w:t>
    </w:r>
    <w:r>
      <w:fldChar w:fldCharType="end"/>
    </w:r>
  </w:p>
  <w:p w14:paraId="182FD7DE" w14:textId="77777777" w:rsidR="003D6E32" w:rsidRDefault="00B61929">
    <w:pPr>
      <w:pStyle w:val="Footer"/>
      <w:ind w:right="-330"/>
      <w:rPr>
        <w:sz w:val="18"/>
      </w:rPr>
    </w:pPr>
    <w:r>
      <w:rPr>
        <w:sz w:val="18"/>
      </w:rPr>
      <w:t>Module Specification Template with Guidance (last revised September 2021)</w:t>
    </w:r>
  </w:p>
  <w:p w14:paraId="7E793058" w14:textId="77777777" w:rsidR="003D6E32" w:rsidRDefault="003D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3596" w14:textId="77777777" w:rsidR="003D6E32" w:rsidRDefault="00B61929">
      <w:pPr>
        <w:spacing w:after="0"/>
      </w:pPr>
      <w:r>
        <w:separator/>
      </w:r>
    </w:p>
  </w:footnote>
  <w:footnote w:type="continuationSeparator" w:id="0">
    <w:p w14:paraId="00BA3C8B" w14:textId="77777777" w:rsidR="003D6E32" w:rsidRDefault="00B619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4747" w14:textId="77777777" w:rsidR="003D6E32" w:rsidRDefault="00B61929">
    <w:pPr>
      <w:pStyle w:val="Heading1"/>
      <w:rPr>
        <w:rFonts w:ascii="Arial" w:hAnsi="Arial" w:cs="Arial"/>
        <w:sz w:val="28"/>
        <w:szCs w:val="28"/>
      </w:rPr>
    </w:pPr>
    <w:r>
      <w:rPr>
        <w:rFonts w:ascii="Arial" w:hAnsi="Arial" w:cs="Arial"/>
        <w:noProof/>
        <w:sz w:val="28"/>
        <w:szCs w:val="28"/>
        <w:lang w:eastAsia="en-GB"/>
      </w:rPr>
      <w:drawing>
        <wp:anchor distT="0" distB="0" distL="114300" distR="114300" simplePos="0" relativeHeight="251659264" behindDoc="1" locked="0" layoutInCell="1" allowOverlap="1" wp14:anchorId="2F1DCA4E" wp14:editId="24E6E5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70940" cy="590550"/>
                  </a:xfrm>
                  <a:prstGeom prst="rect">
                    <a:avLst/>
                  </a:prstGeom>
                  <a:noFill/>
                  <a:ln>
                    <a:noFill/>
                  </a:ln>
                </pic:spPr>
              </pic:pic>
            </a:graphicData>
          </a:graphic>
        </wp:anchor>
      </w:drawing>
    </w:r>
    <w:r>
      <w:rPr>
        <w:rFonts w:ascii="Arial" w:hAnsi="Arial" w:cs="Arial"/>
        <w:sz w:val="28"/>
        <w:szCs w:val="28"/>
      </w:rPr>
      <w:t>MODULE SPECIFICATION</w:t>
    </w:r>
  </w:p>
  <w:p w14:paraId="09FA49E9" w14:textId="77777777" w:rsidR="003D6E32" w:rsidRDefault="003D6E32">
    <w:pPr>
      <w:pStyle w:val="Heading1"/>
      <w:spacing w:before="60" w:after="60"/>
      <w:rPr>
        <w:rFonts w:ascii="Arial" w:hAnsi="Arial" w:cs="Arial"/>
      </w:rPr>
    </w:pPr>
  </w:p>
  <w:p w14:paraId="61F21E53" w14:textId="77777777" w:rsidR="003D6E32" w:rsidRDefault="003D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2C5" w14:textId="77777777" w:rsidR="003D6E32" w:rsidRDefault="00B61929">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1" locked="0" layoutInCell="1" allowOverlap="1" wp14:anchorId="49081724" wp14:editId="566CA29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26EF7C43" w14:textId="77777777" w:rsidR="003D6E32" w:rsidRDefault="003D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A2D8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2E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A9162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67F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CE2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62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EB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601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341E5"/>
    <w:multiLevelType w:val="multilevel"/>
    <w:tmpl w:val="55D341E5"/>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9AA10F9"/>
    <w:multiLevelType w:val="multilevel"/>
    <w:tmpl w:val="59AA10F9"/>
    <w:lvl w:ilvl="0">
      <w:start w:val="1"/>
      <w:numFmt w:val="decimal"/>
      <w:lvlText w:val="%1."/>
      <w:lvlJc w:val="left"/>
      <w:pPr>
        <w:ind w:left="360" w:hanging="360"/>
      </w:pPr>
      <w:rPr>
        <w:rFonts w:ascii="Arial" w:hAnsi="Arial" w:cs="Arial" w:hint="default"/>
        <w:b w:val="0"/>
        <w:bCs/>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B2738F6"/>
    <w:multiLevelType w:val="multilevel"/>
    <w:tmpl w:val="5B2738F6"/>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15" w15:restartNumberingAfterBreak="0">
    <w:nsid w:val="7DEE55C8"/>
    <w:multiLevelType w:val="multilevel"/>
    <w:tmpl w:val="7DEE55C8"/>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689720971">
    <w:abstractNumId w:val="11"/>
  </w:num>
  <w:num w:numId="2" w16cid:durableId="1173033857">
    <w:abstractNumId w:val="9"/>
  </w:num>
  <w:num w:numId="3" w16cid:durableId="1101336935">
    <w:abstractNumId w:val="13"/>
  </w:num>
  <w:num w:numId="4" w16cid:durableId="1084255080">
    <w:abstractNumId w:val="12"/>
  </w:num>
  <w:num w:numId="5" w16cid:durableId="1597982192">
    <w:abstractNumId w:val="14"/>
  </w:num>
  <w:num w:numId="6" w16cid:durableId="428086271">
    <w:abstractNumId w:val="15"/>
  </w:num>
  <w:num w:numId="7" w16cid:durableId="465394465">
    <w:abstractNumId w:val="7"/>
  </w:num>
  <w:num w:numId="8" w16cid:durableId="212085131">
    <w:abstractNumId w:val="6"/>
  </w:num>
  <w:num w:numId="9" w16cid:durableId="1586183019">
    <w:abstractNumId w:val="5"/>
  </w:num>
  <w:num w:numId="10" w16cid:durableId="538324331">
    <w:abstractNumId w:val="4"/>
  </w:num>
  <w:num w:numId="11" w16cid:durableId="1736392572">
    <w:abstractNumId w:val="8"/>
  </w:num>
  <w:num w:numId="12" w16cid:durableId="761292476">
    <w:abstractNumId w:val="3"/>
  </w:num>
  <w:num w:numId="13" w16cid:durableId="62602124">
    <w:abstractNumId w:val="2"/>
  </w:num>
  <w:num w:numId="14" w16cid:durableId="2032219574">
    <w:abstractNumId w:val="1"/>
  </w:num>
  <w:num w:numId="15" w16cid:durableId="958490194">
    <w:abstractNumId w:val="0"/>
  </w:num>
  <w:num w:numId="16" w16cid:durableId="526405879">
    <w:abstractNumId w:val="11"/>
  </w:num>
  <w:num w:numId="17" w16cid:durableId="1761292900">
    <w:abstractNumId w:val="11"/>
  </w:num>
  <w:num w:numId="18" w16cid:durableId="1500383440">
    <w:abstractNumId w:val="9"/>
  </w:num>
  <w:num w:numId="19" w16cid:durableId="1054547466">
    <w:abstractNumId w:val="2"/>
  </w:num>
  <w:num w:numId="20" w16cid:durableId="271672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4MzM5YzIwYmFhYzgxMzgzNjdkODBiMjUwYTViZjgifQ=="/>
  </w:docVars>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84238"/>
    <w:rsid w:val="00094810"/>
    <w:rsid w:val="00094825"/>
    <w:rsid w:val="00096DA4"/>
    <w:rsid w:val="00097618"/>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6E32"/>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5EC0"/>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243"/>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72C30"/>
    <w:rsid w:val="00787070"/>
    <w:rsid w:val="007906FD"/>
    <w:rsid w:val="007965A0"/>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169D"/>
    <w:rsid w:val="007F393D"/>
    <w:rsid w:val="008029AF"/>
    <w:rsid w:val="00802FFA"/>
    <w:rsid w:val="008102E5"/>
    <w:rsid w:val="008111B4"/>
    <w:rsid w:val="008133F0"/>
    <w:rsid w:val="00815880"/>
    <w:rsid w:val="0082322C"/>
    <w:rsid w:val="00823942"/>
    <w:rsid w:val="00827FFD"/>
    <w:rsid w:val="0085331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8CC"/>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65F1"/>
    <w:rsid w:val="00A3007E"/>
    <w:rsid w:val="00A32048"/>
    <w:rsid w:val="00A41F06"/>
    <w:rsid w:val="00A50FD4"/>
    <w:rsid w:val="00A52DB4"/>
    <w:rsid w:val="00A618E1"/>
    <w:rsid w:val="00A629B9"/>
    <w:rsid w:val="00A70C20"/>
    <w:rsid w:val="00A74292"/>
    <w:rsid w:val="00A776DE"/>
    <w:rsid w:val="00A80640"/>
    <w:rsid w:val="00A83C6D"/>
    <w:rsid w:val="00A87FFD"/>
    <w:rsid w:val="00A97038"/>
    <w:rsid w:val="00A97CB8"/>
    <w:rsid w:val="00AA3C15"/>
    <w:rsid w:val="00AA6330"/>
    <w:rsid w:val="00AC7501"/>
    <w:rsid w:val="00AD569C"/>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4EEF"/>
    <w:rsid w:val="00B52FF5"/>
    <w:rsid w:val="00B5498B"/>
    <w:rsid w:val="00B55B73"/>
    <w:rsid w:val="00B57219"/>
    <w:rsid w:val="00B6192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63C1"/>
    <w:rsid w:val="00E77786"/>
    <w:rsid w:val="00E806FB"/>
    <w:rsid w:val="00EA3101"/>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5445BF7"/>
    <w:rsid w:val="055D813E"/>
    <w:rsid w:val="16584667"/>
    <w:rsid w:val="1A85A8F2"/>
    <w:rsid w:val="1E9DB0FA"/>
    <w:rsid w:val="2B4FF4F8"/>
    <w:rsid w:val="35FDB0DE"/>
    <w:rsid w:val="500941D5"/>
    <w:rsid w:val="576F482A"/>
    <w:rsid w:val="5D414205"/>
    <w:rsid w:val="696E6FAD"/>
    <w:rsid w:val="6AB97845"/>
    <w:rsid w:val="6D8F20E4"/>
    <w:rsid w:val="7207CF2B"/>
    <w:rsid w:val="7B1F039B"/>
    <w:rsid w:val="7CA7BC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8E0B4"/>
  <w15:docId w15:val="{FD8DAFFF-5490-4CF8-AD5A-721D3D50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238"/>
    <w:pPr>
      <w:spacing w:after="120"/>
    </w:pPr>
    <w:rPr>
      <w:rFonts w:eastAsiaTheme="minorEastAsia"/>
      <w:sz w:val="22"/>
      <w:szCs w:val="22"/>
      <w:lang w:eastAsia="en-GB"/>
    </w:rPr>
  </w:style>
  <w:style w:type="paragraph" w:styleId="Heading1">
    <w:name w:val="heading 1"/>
    <w:basedOn w:val="Normal"/>
    <w:next w:val="Normal"/>
    <w:link w:val="Heading1Char"/>
    <w:qFormat/>
    <w:rsid w:val="00084238"/>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84238"/>
    <w:pPr>
      <w:ind w:left="567" w:hanging="567"/>
      <w:outlineLvl w:val="1"/>
    </w:pPr>
  </w:style>
  <w:style w:type="paragraph" w:styleId="Heading3">
    <w:name w:val="heading 3"/>
    <w:basedOn w:val="Normal"/>
    <w:next w:val="Normal"/>
    <w:link w:val="Heading3Char"/>
    <w:uiPriority w:val="9"/>
    <w:unhideWhenUsed/>
    <w:qFormat/>
    <w:rsid w:val="00084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084238"/>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0842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238"/>
  </w:style>
  <w:style w:type="paragraph" w:customStyle="1" w:styleId="header2">
    <w:name w:val="header 2"/>
    <w:basedOn w:val="Normal"/>
    <w:next w:val="BodyText"/>
    <w:link w:val="header2Char"/>
    <w:qFormat/>
    <w:rsid w:val="00084238"/>
    <w:pPr>
      <w:numPr>
        <w:numId w:val="17"/>
      </w:numPr>
      <w:spacing w:before="600"/>
    </w:pPr>
    <w:rPr>
      <w:rFonts w:ascii="Arial" w:hAnsi="Arial" w:cs="Arial"/>
      <w:b/>
      <w:sz w:val="24"/>
      <w:szCs w:val="24"/>
    </w:rPr>
  </w:style>
  <w:style w:type="paragraph" w:styleId="ListBullet">
    <w:name w:val="List Bullet"/>
    <w:basedOn w:val="Normal"/>
    <w:uiPriority w:val="99"/>
    <w:unhideWhenUsed/>
    <w:rsid w:val="00084238"/>
    <w:pPr>
      <w:numPr>
        <w:numId w:val="18"/>
      </w:numPr>
      <w:spacing w:before="120"/>
      <w:ind w:left="1066" w:hanging="357"/>
    </w:pPr>
    <w:rPr>
      <w:rFonts w:ascii="Arial" w:hAnsi="Arial"/>
      <w:sz w:val="24"/>
    </w:rPr>
  </w:style>
  <w:style w:type="paragraph" w:styleId="CommentText">
    <w:name w:val="annotation text"/>
    <w:basedOn w:val="Normal"/>
    <w:link w:val="CommentTextChar"/>
    <w:uiPriority w:val="99"/>
    <w:semiHidden/>
    <w:unhideWhenUsed/>
    <w:rsid w:val="00084238"/>
    <w:rPr>
      <w:sz w:val="20"/>
      <w:szCs w:val="20"/>
    </w:rPr>
  </w:style>
  <w:style w:type="paragraph" w:styleId="PlainText">
    <w:name w:val="Plain Text"/>
    <w:basedOn w:val="Normal"/>
    <w:link w:val="PlainTextChar"/>
    <w:uiPriority w:val="99"/>
    <w:unhideWhenUsed/>
    <w:rsid w:val="00084238"/>
    <w:pPr>
      <w:spacing w:after="0"/>
    </w:pPr>
    <w:rPr>
      <w:rFonts w:ascii="Calibri" w:eastAsiaTheme="minorHAnsi" w:hAnsi="Calibri"/>
      <w:szCs w:val="21"/>
      <w:lang w:eastAsia="en-US"/>
    </w:rPr>
  </w:style>
  <w:style w:type="paragraph" w:styleId="BalloonText">
    <w:name w:val="Balloon Text"/>
    <w:basedOn w:val="Normal"/>
    <w:link w:val="BalloonTextChar"/>
    <w:uiPriority w:val="99"/>
    <w:semiHidden/>
    <w:unhideWhenUsed/>
    <w:rsid w:val="00084238"/>
    <w:pPr>
      <w:spacing w:after="0"/>
    </w:pPr>
    <w:rPr>
      <w:rFonts w:ascii="Tahoma" w:hAnsi="Tahoma" w:cs="Tahoma"/>
      <w:sz w:val="16"/>
      <w:szCs w:val="16"/>
    </w:rPr>
  </w:style>
  <w:style w:type="paragraph" w:styleId="Footer">
    <w:name w:val="footer"/>
    <w:basedOn w:val="Normal"/>
    <w:link w:val="FooterChar"/>
    <w:uiPriority w:val="99"/>
    <w:unhideWhenUsed/>
    <w:rsid w:val="00084238"/>
    <w:pPr>
      <w:tabs>
        <w:tab w:val="center" w:pos="4513"/>
        <w:tab w:val="right" w:pos="9026"/>
      </w:tabs>
      <w:spacing w:before="120"/>
    </w:pPr>
    <w:rPr>
      <w:rFonts w:ascii="Arial" w:hAnsi="Arial"/>
      <w:sz w:val="20"/>
    </w:rPr>
  </w:style>
  <w:style w:type="paragraph" w:styleId="Header">
    <w:name w:val="header"/>
    <w:basedOn w:val="Normal"/>
    <w:link w:val="HeaderChar"/>
    <w:uiPriority w:val="99"/>
    <w:unhideWhenUsed/>
    <w:rsid w:val="00084238"/>
    <w:pPr>
      <w:tabs>
        <w:tab w:val="center" w:pos="4513"/>
        <w:tab w:val="right" w:pos="9026"/>
      </w:tabs>
      <w:spacing w:after="0"/>
    </w:pPr>
  </w:style>
  <w:style w:type="paragraph" w:styleId="FootnoteText">
    <w:name w:val="footnote text"/>
    <w:basedOn w:val="Normal"/>
    <w:link w:val="FootnoteTextChar"/>
    <w:semiHidden/>
    <w:rsid w:val="00084238"/>
    <w:pPr>
      <w:spacing w:after="0"/>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084238"/>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084238"/>
    <w:pPr>
      <w:spacing w:after="0"/>
      <w:jc w:val="center"/>
    </w:pPr>
    <w:rPr>
      <w:rFonts w:ascii="Plantin" w:eastAsia="Times New Roman" w:hAnsi="Plantin" w:cs="Times New Roman"/>
      <w:b/>
      <w:sz w:val="24"/>
      <w:szCs w:val="20"/>
      <w:lang w:eastAsia="en-US"/>
    </w:rPr>
  </w:style>
  <w:style w:type="paragraph" w:styleId="CommentSubject">
    <w:name w:val="annotation subject"/>
    <w:basedOn w:val="CommentText"/>
    <w:next w:val="CommentText"/>
    <w:link w:val="CommentSubjectChar"/>
    <w:uiPriority w:val="99"/>
    <w:semiHidden/>
    <w:unhideWhenUsed/>
    <w:rsid w:val="00084238"/>
    <w:rPr>
      <w:b/>
      <w:bCs/>
    </w:rPr>
  </w:style>
  <w:style w:type="table" w:styleId="TableGrid">
    <w:name w:val="Table Grid"/>
    <w:basedOn w:val="TableNormal"/>
    <w:uiPriority w:val="59"/>
    <w:rsid w:val="00084238"/>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84238"/>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084238"/>
    <w:rPr>
      <w:b/>
      <w:bCs/>
    </w:rPr>
  </w:style>
  <w:style w:type="character" w:styleId="FollowedHyperlink">
    <w:name w:val="FollowedHyperlink"/>
    <w:basedOn w:val="DefaultParagraphFont"/>
    <w:uiPriority w:val="99"/>
    <w:semiHidden/>
    <w:unhideWhenUsed/>
    <w:rsid w:val="00084238"/>
    <w:rPr>
      <w:color w:val="800080" w:themeColor="followedHyperlink"/>
      <w:u w:val="single"/>
    </w:rPr>
  </w:style>
  <w:style w:type="character" w:styleId="Hyperlink">
    <w:name w:val="Hyperlink"/>
    <w:rsid w:val="00084238"/>
    <w:rPr>
      <w:color w:val="0000FF"/>
      <w:u w:val="single"/>
    </w:rPr>
  </w:style>
  <w:style w:type="character" w:styleId="CommentReference">
    <w:name w:val="annotation reference"/>
    <w:basedOn w:val="DefaultParagraphFont"/>
    <w:uiPriority w:val="99"/>
    <w:semiHidden/>
    <w:unhideWhenUsed/>
    <w:rsid w:val="00084238"/>
    <w:rPr>
      <w:sz w:val="16"/>
      <w:szCs w:val="16"/>
    </w:rPr>
  </w:style>
  <w:style w:type="character" w:styleId="FootnoteReference">
    <w:name w:val="footnote reference"/>
    <w:semiHidden/>
    <w:rsid w:val="00084238"/>
    <w:rPr>
      <w:vertAlign w:val="superscript"/>
    </w:rPr>
  </w:style>
  <w:style w:type="paragraph" w:customStyle="1" w:styleId="Default">
    <w:name w:val="Default"/>
    <w:rsid w:val="00084238"/>
    <w:pPr>
      <w:autoSpaceDE w:val="0"/>
      <w:autoSpaceDN w:val="0"/>
      <w:adjustRightInd w:val="0"/>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084238"/>
    <w:pPr>
      <w:ind w:left="720"/>
      <w:contextualSpacing/>
    </w:pPr>
  </w:style>
  <w:style w:type="character" w:customStyle="1" w:styleId="HeaderChar">
    <w:name w:val="Header Char"/>
    <w:basedOn w:val="DefaultParagraphFont"/>
    <w:link w:val="Header"/>
    <w:uiPriority w:val="99"/>
    <w:rsid w:val="00084238"/>
    <w:rPr>
      <w:rFonts w:eastAsiaTheme="minorEastAsia"/>
      <w:sz w:val="22"/>
      <w:szCs w:val="22"/>
      <w:lang w:eastAsia="en-GB"/>
    </w:rPr>
  </w:style>
  <w:style w:type="character" w:customStyle="1" w:styleId="FooterChar">
    <w:name w:val="Footer Char"/>
    <w:basedOn w:val="DefaultParagraphFont"/>
    <w:link w:val="Footer"/>
    <w:uiPriority w:val="99"/>
    <w:rsid w:val="00084238"/>
    <w:rPr>
      <w:rFonts w:ascii="Arial" w:eastAsiaTheme="minorEastAsia" w:hAnsi="Arial"/>
      <w:szCs w:val="22"/>
      <w:lang w:eastAsia="en-GB"/>
    </w:rPr>
  </w:style>
  <w:style w:type="character" w:customStyle="1" w:styleId="Heading1Char">
    <w:name w:val="Heading 1 Char"/>
    <w:basedOn w:val="DefaultParagraphFont"/>
    <w:link w:val="Heading1"/>
    <w:rsid w:val="00084238"/>
    <w:rPr>
      <w:rFonts w:ascii="Plantin" w:eastAsia="Times New Roman" w:hAnsi="Plantin" w:cs="Times New Roman"/>
      <w:b/>
      <w:sz w:val="24"/>
      <w:lang w:eastAsia="en-US"/>
    </w:rPr>
  </w:style>
  <w:style w:type="character" w:customStyle="1" w:styleId="TitleChar">
    <w:name w:val="Title Char"/>
    <w:basedOn w:val="DefaultParagraphFont"/>
    <w:link w:val="Title"/>
    <w:rsid w:val="00084238"/>
    <w:rPr>
      <w:rFonts w:ascii="Plantin" w:eastAsia="Times New Roman" w:hAnsi="Plantin" w:cs="Times New Roman"/>
      <w:b/>
      <w:sz w:val="24"/>
      <w:lang w:eastAsia="en-US"/>
    </w:rPr>
  </w:style>
  <w:style w:type="character" w:customStyle="1" w:styleId="FootnoteTextChar">
    <w:name w:val="Footnote Text Char"/>
    <w:basedOn w:val="DefaultParagraphFont"/>
    <w:link w:val="FootnoteText"/>
    <w:semiHidden/>
    <w:rsid w:val="00084238"/>
    <w:rPr>
      <w:rFonts w:ascii="Times New Roman" w:eastAsia="Times New Roman" w:hAnsi="Times New Roman" w:cs="Times New Roman"/>
      <w:lang w:eastAsia="en-US"/>
    </w:rPr>
  </w:style>
  <w:style w:type="character" w:customStyle="1" w:styleId="BalloonTextChar">
    <w:name w:val="Balloon Text Char"/>
    <w:basedOn w:val="DefaultParagraphFont"/>
    <w:link w:val="BalloonText"/>
    <w:uiPriority w:val="99"/>
    <w:semiHidden/>
    <w:rsid w:val="00084238"/>
    <w:rPr>
      <w:rFonts w:ascii="Tahoma" w:eastAsiaTheme="minorEastAsia" w:hAnsi="Tahoma" w:cs="Tahoma"/>
      <w:sz w:val="16"/>
      <w:szCs w:val="16"/>
      <w:lang w:eastAsia="en-GB"/>
    </w:rPr>
  </w:style>
  <w:style w:type="character" w:customStyle="1" w:styleId="CommentTextChar">
    <w:name w:val="Comment Text Char"/>
    <w:basedOn w:val="DefaultParagraphFont"/>
    <w:link w:val="CommentText"/>
    <w:uiPriority w:val="99"/>
    <w:semiHidden/>
    <w:rsid w:val="00084238"/>
    <w:rPr>
      <w:rFonts w:eastAsiaTheme="minorEastAsia"/>
      <w:lang w:eastAsia="en-GB"/>
    </w:rPr>
  </w:style>
  <w:style w:type="character" w:customStyle="1" w:styleId="CommentSubjectChar">
    <w:name w:val="Comment Subject Char"/>
    <w:basedOn w:val="CommentTextChar"/>
    <w:link w:val="CommentSubject"/>
    <w:uiPriority w:val="99"/>
    <w:semiHidden/>
    <w:rsid w:val="00084238"/>
    <w:rPr>
      <w:rFonts w:eastAsiaTheme="minorEastAsia"/>
      <w:b/>
      <w:bCs/>
      <w:lang w:eastAsia="en-GB"/>
    </w:rPr>
  </w:style>
  <w:style w:type="table" w:customStyle="1" w:styleId="TableGrid1">
    <w:name w:val="Table Grid1"/>
    <w:basedOn w:val="TableNormal"/>
    <w:next w:val="TableGrid"/>
    <w:uiPriority w:val="59"/>
    <w:rsid w:val="000842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084238"/>
  </w:style>
  <w:style w:type="character" w:customStyle="1" w:styleId="PlainTextChar">
    <w:name w:val="Plain Text Char"/>
    <w:basedOn w:val="DefaultParagraphFont"/>
    <w:link w:val="PlainText"/>
    <w:uiPriority w:val="99"/>
    <w:rsid w:val="00084238"/>
    <w:rPr>
      <w:rFonts w:ascii="Calibri" w:hAnsi="Calibri"/>
      <w:sz w:val="22"/>
      <w:szCs w:val="21"/>
      <w:lang w:eastAsia="en-US"/>
    </w:rPr>
  </w:style>
  <w:style w:type="character" w:customStyle="1" w:styleId="UnresolvedMention1">
    <w:name w:val="Unresolved Mention1"/>
    <w:basedOn w:val="DefaultParagraphFont"/>
    <w:uiPriority w:val="99"/>
    <w:semiHidden/>
    <w:unhideWhenUsed/>
    <w:rsid w:val="00084238"/>
    <w:rPr>
      <w:color w:val="605E5C"/>
      <w:shd w:val="clear" w:color="auto" w:fill="E1DFDD"/>
    </w:rPr>
  </w:style>
  <w:style w:type="table" w:customStyle="1" w:styleId="TableGrid11">
    <w:name w:val="Table Grid11"/>
    <w:basedOn w:val="TableNormal"/>
    <w:next w:val="TableGrid"/>
    <w:uiPriority w:val="59"/>
    <w:rsid w:val="000842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2Char">
    <w:name w:val="header 2 Char"/>
    <w:basedOn w:val="DefaultParagraphFont"/>
    <w:link w:val="header2"/>
    <w:rsid w:val="0008423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84238"/>
    <w:rPr>
      <w:rFonts w:ascii="Arial" w:eastAsiaTheme="minorEastAsia" w:hAnsi="Arial" w:cs="Arial"/>
      <w:b/>
      <w:sz w:val="24"/>
      <w:szCs w:val="24"/>
      <w:lang w:eastAsia="en-GB"/>
    </w:rPr>
  </w:style>
  <w:style w:type="paragraph" w:customStyle="1" w:styleId="Revision1">
    <w:name w:val="Revision1"/>
    <w:hidden/>
    <w:uiPriority w:val="99"/>
    <w:semiHidden/>
    <w:rPr>
      <w:rFonts w:eastAsiaTheme="minorEastAsia"/>
      <w:sz w:val="22"/>
      <w:szCs w:val="22"/>
      <w:lang w:eastAsia="en-GB"/>
    </w:rPr>
  </w:style>
  <w:style w:type="paragraph" w:styleId="Revision">
    <w:name w:val="Revision"/>
    <w:hidden/>
    <w:uiPriority w:val="99"/>
    <w:semiHidden/>
    <w:rsid w:val="00B61929"/>
    <w:rPr>
      <w:rFonts w:eastAsiaTheme="minorEastAsia"/>
      <w:sz w:val="22"/>
      <w:szCs w:val="22"/>
      <w:lang w:eastAsia="en-GB"/>
    </w:rPr>
  </w:style>
  <w:style w:type="paragraph" w:styleId="BodyText">
    <w:name w:val="Body Text"/>
    <w:basedOn w:val="Normal"/>
    <w:link w:val="BodyTextChar"/>
    <w:uiPriority w:val="99"/>
    <w:unhideWhenUsed/>
    <w:rsid w:val="00084238"/>
    <w:pPr>
      <w:ind w:left="567"/>
    </w:pPr>
    <w:rPr>
      <w:rFonts w:ascii="Arial" w:hAnsi="Arial"/>
      <w:sz w:val="24"/>
    </w:rPr>
  </w:style>
  <w:style w:type="character" w:customStyle="1" w:styleId="BodyTextChar">
    <w:name w:val="Body Text Char"/>
    <w:basedOn w:val="DefaultParagraphFont"/>
    <w:link w:val="BodyText"/>
    <w:uiPriority w:val="99"/>
    <w:rsid w:val="00084238"/>
    <w:rPr>
      <w:rFonts w:ascii="Arial" w:eastAsiaTheme="minorEastAsia" w:hAnsi="Arial"/>
      <w:sz w:val="24"/>
      <w:szCs w:val="22"/>
      <w:lang w:eastAsia="en-GB"/>
    </w:rPr>
  </w:style>
  <w:style w:type="character" w:customStyle="1" w:styleId="Heading3Char">
    <w:name w:val="Heading 3 Char"/>
    <w:basedOn w:val="DefaultParagraphFont"/>
    <w:link w:val="Heading3"/>
    <w:uiPriority w:val="9"/>
    <w:rsid w:val="0008423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084238"/>
    <w:rPr>
      <w:rFonts w:ascii="Arial" w:eastAsiaTheme="majorEastAsia" w:hAnsi="Arial" w:cstheme="majorBidi"/>
      <w:b/>
      <w:i/>
      <w:iCs/>
      <w:sz w:val="22"/>
      <w:szCs w:val="22"/>
      <w:lang w:eastAsia="en-GB"/>
    </w:rPr>
  </w:style>
  <w:style w:type="paragraph" w:styleId="ListNumber2">
    <w:name w:val="List Number 2"/>
    <w:basedOn w:val="BodyText"/>
    <w:uiPriority w:val="99"/>
    <w:unhideWhenUsed/>
    <w:rsid w:val="00084238"/>
    <w:pPr>
      <w:ind w:left="1021" w:hanging="454"/>
    </w:pPr>
  </w:style>
  <w:style w:type="paragraph" w:styleId="ListNumber3">
    <w:name w:val="List Number 3"/>
    <w:basedOn w:val="Normal"/>
    <w:uiPriority w:val="99"/>
    <w:unhideWhenUsed/>
    <w:rsid w:val="00084238"/>
    <w:pPr>
      <w:numPr>
        <w:numId w:val="19"/>
      </w:numPr>
      <w:spacing w:before="120" w:after="240"/>
    </w:pPr>
    <w:rPr>
      <w:rFonts w:ascii="Arial" w:hAnsi="Arial"/>
      <w:sz w:val="24"/>
    </w:rPr>
  </w:style>
  <w:style w:type="paragraph" w:customStyle="1" w:styleId="Tableanswer">
    <w:name w:val="Table answer"/>
    <w:basedOn w:val="Normal"/>
    <w:qFormat/>
    <w:rsid w:val="00084238"/>
    <w:pPr>
      <w:spacing w:before="40" w:after="40"/>
    </w:pPr>
    <w:rPr>
      <w:rFonts w:ascii="Arial" w:eastAsiaTheme="minorHAnsi" w:hAnsi="Arial" w:cs="Arial"/>
      <w:bCs/>
      <w:lang w:eastAsia="en-US"/>
    </w:rPr>
  </w:style>
  <w:style w:type="paragraph" w:customStyle="1" w:styleId="Tabledivuseonly">
    <w:name w:val="Table div use only"/>
    <w:basedOn w:val="Normal"/>
    <w:qFormat/>
    <w:rsid w:val="00084238"/>
    <w:rPr>
      <w:rFonts w:ascii="Arial" w:hAnsi="Arial" w:cs="Arial"/>
      <w:sz w:val="20"/>
      <w:szCs w:val="20"/>
    </w:rPr>
  </w:style>
  <w:style w:type="paragraph" w:customStyle="1" w:styleId="Tableoutcomecrosses">
    <w:name w:val="Table outcome crosses"/>
    <w:basedOn w:val="Normal"/>
    <w:qFormat/>
    <w:rsid w:val="00084238"/>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084238"/>
    <w:pPr>
      <w:spacing w:before="60" w:after="60"/>
      <w:ind w:left="34"/>
    </w:pPr>
    <w:rPr>
      <w:rFonts w:ascii="Arial" w:hAnsi="Arial" w:cs="Arial"/>
      <w:b/>
      <w:sz w:val="20"/>
      <w:szCs w:val="20"/>
    </w:rPr>
  </w:style>
  <w:style w:type="paragraph" w:customStyle="1" w:styleId="Tableoutcomeshead">
    <w:name w:val="Table outcomes head"/>
    <w:basedOn w:val="Normal"/>
    <w:qFormat/>
    <w:rsid w:val="00084238"/>
    <w:rPr>
      <w:rFonts w:ascii="Arial" w:hAnsi="Arial" w:cs="Arial"/>
      <w:b/>
      <w:sz w:val="20"/>
      <w:szCs w:val="20"/>
    </w:rPr>
  </w:style>
  <w:style w:type="character" w:styleId="UnresolvedMention">
    <w:name w:val="Unresolved Mention"/>
    <w:basedOn w:val="DefaultParagraphFont"/>
    <w:uiPriority w:val="99"/>
    <w:semiHidden/>
    <w:unhideWhenUsed/>
    <w:rsid w:val="00084238"/>
    <w:rPr>
      <w:color w:val="605E5C"/>
      <w:shd w:val="clear" w:color="auto" w:fill="E1DFDD"/>
    </w:rPr>
  </w:style>
  <w:style w:type="paragraph" w:styleId="ListBullet2">
    <w:name w:val="List Bullet 2"/>
    <w:basedOn w:val="Normal"/>
    <w:uiPriority w:val="99"/>
    <w:unhideWhenUsed/>
    <w:rsid w:val="00084238"/>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datastoreItem>
</file>

<file path=customXml/itemProps2.xml><?xml version="1.0" encoding="utf-8"?>
<ds:datastoreItem xmlns:ds="http://schemas.openxmlformats.org/officeDocument/2006/customXml" ds:itemID="{7456CE3F-AE1A-405B-B7FD-985EF9730B36}">
  <ds:schemaRefs/>
</ds:datastoreItem>
</file>

<file path=customXml/itemProps3.xml><?xml version="1.0" encoding="utf-8"?>
<ds:datastoreItem xmlns:ds="http://schemas.openxmlformats.org/officeDocument/2006/customXml" ds:itemID="{A503F23B-619F-42EF-9FE8-919DB07475C2}"/>
</file>

<file path=customXml/itemProps4.xml><?xml version="1.0" encoding="utf-8"?>
<ds:datastoreItem xmlns:ds="http://schemas.openxmlformats.org/officeDocument/2006/customXml" ds:itemID="{27A36E62-4575-49CE-81BE-06C62403A9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5287</Characters>
  <Application>Microsoft Office Word</Application>
  <DocSecurity>0</DocSecurity>
  <Lines>44</Lines>
  <Paragraphs>12</Paragraphs>
  <ScaleCrop>false</ScaleCrop>
  <Company>University of Kent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2023-01-12T10:57:00Z</dcterms:created>
  <dcterms:modified xsi:type="dcterms:W3CDTF">2023-01-12T11:15:00Z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KSOProductBuildVer">
    <vt:lpwstr>2052-11.1.0.12598</vt:lpwstr>
  </property>
  <property fmtid="{D5CDD505-2E9C-101B-9397-08002B2CF9AE}" pid="4" name="ICV">
    <vt:lpwstr>3C4799AB97A342049C61684F06FB6BE5</vt:lpwstr>
  </property>
</Properties>
</file>