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F22268">
      <w:pPr>
        <w:pStyle w:val="Heading2"/>
        <w:spacing w:before="0"/>
      </w:pPr>
      <w:r>
        <w:t>KentVision Code and t</w:t>
      </w:r>
      <w:r w:rsidR="009A2D37" w:rsidRPr="00072357">
        <w:t>itle of the module</w:t>
      </w:r>
    </w:p>
    <w:p w14:paraId="4AE52586" w14:textId="64A7D957" w:rsidR="009A2D37" w:rsidRPr="00694B52" w:rsidRDefault="008A0D1E" w:rsidP="00F22268">
      <w:pPr>
        <w:pStyle w:val="BodyText"/>
      </w:pPr>
      <w:r>
        <w:t>ECON5460 Games for Economics and Business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2C6A569" w:rsidR="009A2D37" w:rsidRDefault="008A0D1E" w:rsidP="00F22268">
      <w:pPr>
        <w:pStyle w:val="BodyText"/>
      </w:pPr>
      <w:r>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DA34755" w:rsidR="009A2D37" w:rsidRDefault="008A0D1E" w:rsidP="00F22268">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BEF53C8" w:rsidR="009A2D37" w:rsidRDefault="008A0D1E" w:rsidP="00F22268">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78BAB71C" w:rsidR="009A2D37" w:rsidRDefault="008A0D1E" w:rsidP="00F22268">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C5230BA" w14:textId="77777777" w:rsidR="009940FE" w:rsidRPr="009940FE" w:rsidRDefault="009940FE" w:rsidP="00F22268">
      <w:pPr>
        <w:pStyle w:val="BodyText"/>
      </w:pPr>
      <w:r w:rsidRPr="009940FE">
        <w:t>Prerequisites:</w:t>
      </w:r>
    </w:p>
    <w:p w14:paraId="582432ED" w14:textId="10C534FA" w:rsidR="009940FE" w:rsidRDefault="009940FE" w:rsidP="00F22268">
      <w:pPr>
        <w:pStyle w:val="BodyText"/>
      </w:pPr>
      <w:r w:rsidRPr="009940FE">
        <w:t>ECON5000 Microeconomics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D88326D" w14:textId="7457A8D3" w:rsidR="009940FE" w:rsidRPr="00AD41E6" w:rsidRDefault="009940FE" w:rsidP="00F22268">
      <w:pPr>
        <w:pStyle w:val="BodyText"/>
      </w:pPr>
      <w:r w:rsidRPr="00AD41E6">
        <w:t xml:space="preserve">This is an </w:t>
      </w:r>
      <w:r w:rsidR="00AD41E6">
        <w:t>optional</w:t>
      </w:r>
      <w:r w:rsidR="00AD41E6" w:rsidRPr="00AD41E6">
        <w:t xml:space="preserve"> </w:t>
      </w:r>
      <w:r w:rsidRPr="00AD41E6">
        <w:t xml:space="preserve">module for all Single and Joint Honours Degree </w:t>
      </w:r>
      <w:r w:rsidR="0009182F">
        <w:t>course</w:t>
      </w:r>
      <w:r w:rsidRPr="00AD41E6">
        <w:t>s in Economics.</w:t>
      </w:r>
    </w:p>
    <w:p w14:paraId="26009EA0" w14:textId="298E30CE" w:rsidR="009940FE" w:rsidRPr="00AD41E6" w:rsidRDefault="009940FE" w:rsidP="00F22268">
      <w:pPr>
        <w:pStyle w:val="BodyText"/>
        <w:spacing w:before="240"/>
        <w:rPr>
          <w:color w:val="000000" w:themeColor="text1"/>
        </w:rPr>
      </w:pPr>
      <w:r w:rsidRPr="00AD41E6">
        <w:rPr>
          <w:color w:val="000000" w:themeColor="text1"/>
        </w:rPr>
        <w:t xml:space="preserve">The module is </w:t>
      </w:r>
      <w:r w:rsidRPr="00AD41E6">
        <w:rPr>
          <w:b/>
          <w:color w:val="000000" w:themeColor="text1"/>
        </w:rPr>
        <w:t xml:space="preserve">NOT </w:t>
      </w:r>
      <w:r w:rsidRPr="00AD41E6">
        <w:rPr>
          <w:color w:val="000000" w:themeColor="text1"/>
        </w:rPr>
        <w:t xml:space="preserve">available to students across other degree </w:t>
      </w:r>
      <w:r w:rsidR="0009182F">
        <w:rPr>
          <w:color w:val="000000" w:themeColor="text1"/>
        </w:rPr>
        <w:t>cours</w:t>
      </w:r>
      <w:r w:rsidRPr="00AD41E6">
        <w:rPr>
          <w:color w:val="000000" w:themeColor="text1"/>
        </w:rPr>
        <w:t>es in the University</w:t>
      </w:r>
      <w:r w:rsidR="00AD41E6">
        <w:rPr>
          <w:color w:val="000000" w:themeColor="text1"/>
        </w:rPr>
        <w:t>.</w:t>
      </w:r>
    </w:p>
    <w:p w14:paraId="3839F6AB" w14:textId="2DA01E27" w:rsidR="009A2D37"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0C68288D" w14:textId="65C14B7B" w:rsidR="002769D8" w:rsidRPr="008A1A4E" w:rsidRDefault="002769D8" w:rsidP="002769D8">
      <w:pPr>
        <w:pStyle w:val="ListNumber2"/>
      </w:pPr>
      <w:r>
        <w:t>8.1</w:t>
      </w:r>
      <w:r>
        <w:tab/>
      </w:r>
      <w:r w:rsidRPr="00C943C3">
        <w:rPr>
          <w:rFonts w:cs="Arial"/>
          <w:szCs w:val="24"/>
        </w:rPr>
        <w:t>Understand the different types of games and their uses in strategic thinking</w:t>
      </w:r>
    </w:p>
    <w:p w14:paraId="12E85608" w14:textId="13ABAAD1" w:rsidR="002769D8" w:rsidRDefault="002769D8" w:rsidP="002769D8">
      <w:pPr>
        <w:pStyle w:val="ListNumber2"/>
      </w:pPr>
      <w:r w:rsidRPr="008A1A4E">
        <w:t>8.2</w:t>
      </w:r>
      <w:r w:rsidRPr="008A1A4E">
        <w:tab/>
      </w:r>
      <w:r w:rsidRPr="002769D8">
        <w:t>Set up and solve games that arise in business and economics</w:t>
      </w:r>
    </w:p>
    <w:p w14:paraId="76393C35" w14:textId="6E628030" w:rsidR="002769D8" w:rsidRDefault="002769D8" w:rsidP="002769D8">
      <w:pPr>
        <w:pStyle w:val="ListNumber2"/>
      </w:pPr>
      <w:r>
        <w:t>8.3</w:t>
      </w:r>
      <w:r>
        <w:tab/>
      </w:r>
      <w:r w:rsidRPr="002769D8">
        <w:t>Critically assess the importance of information in games and how this changes behaviours</w:t>
      </w:r>
    </w:p>
    <w:p w14:paraId="0CC7AC27" w14:textId="63D067B8" w:rsidR="002769D8" w:rsidRDefault="002769D8" w:rsidP="002769D8">
      <w:pPr>
        <w:pStyle w:val="ListNumber2"/>
      </w:pPr>
      <w:r>
        <w:t>8.4</w:t>
      </w:r>
      <w:r>
        <w:tab/>
      </w:r>
      <w:r w:rsidRPr="002769D8">
        <w:t>Critically apply analytical skills to economic problems and issues</w:t>
      </w:r>
      <w:r w:rsidR="00F22268">
        <w:t>.</w:t>
      </w:r>
    </w:p>
    <w:p w14:paraId="72B18F2A" w14:textId="77777777" w:rsidR="002769D8" w:rsidRPr="002769D8" w:rsidRDefault="002769D8" w:rsidP="002769D8"/>
    <w:p w14:paraId="035A14B0" w14:textId="4A2C560D" w:rsidR="00C729D7"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46626D9A" w14:textId="520FB9EE" w:rsidR="002769D8" w:rsidRDefault="002769D8" w:rsidP="002769D8">
      <w:pPr>
        <w:pStyle w:val="ListNumber2"/>
      </w:pPr>
      <w:r>
        <w:t>9.1</w:t>
      </w:r>
      <w:r>
        <w:tab/>
      </w:r>
      <w:r w:rsidRPr="002769D8">
        <w:t>Reflect critically on the potential application of games to real-world issues</w:t>
      </w:r>
    </w:p>
    <w:p w14:paraId="491389A2" w14:textId="2AED5641" w:rsidR="002769D8" w:rsidRDefault="002769D8" w:rsidP="002769D8">
      <w:pPr>
        <w:pStyle w:val="ListNumber2"/>
      </w:pPr>
      <w:r>
        <w:t>9.2</w:t>
      </w:r>
      <w:r>
        <w:tab/>
      </w:r>
      <w:r w:rsidRPr="002769D8">
        <w:t>Address an economic problem using deductive and inductive reasoning</w:t>
      </w:r>
    </w:p>
    <w:p w14:paraId="0D93D9C8" w14:textId="062107D5" w:rsidR="002769D8" w:rsidRDefault="002769D8" w:rsidP="002769D8">
      <w:pPr>
        <w:pStyle w:val="ListNumber2"/>
      </w:pPr>
      <w:r>
        <w:t>9.3</w:t>
      </w:r>
      <w:r>
        <w:tab/>
      </w:r>
      <w:r w:rsidRPr="002769D8">
        <w:t>Communicate coherent economic arguments graphically, by a variety of methods</w:t>
      </w:r>
    </w:p>
    <w:p w14:paraId="7C167D88" w14:textId="2F37ED12" w:rsidR="002769D8" w:rsidRDefault="002769D8" w:rsidP="002769D8">
      <w:pPr>
        <w:pStyle w:val="ListNumber2"/>
      </w:pPr>
      <w:r>
        <w:t>9.4</w:t>
      </w:r>
      <w:r>
        <w:tab/>
      </w:r>
      <w:r w:rsidRPr="002769D8">
        <w:t>Communicate coherent economic arguments graphically, by a variety of methods</w:t>
      </w:r>
    </w:p>
    <w:p w14:paraId="21EE19D9" w14:textId="4D27DDAD" w:rsidR="002769D8" w:rsidRPr="002769D8" w:rsidRDefault="002769D8" w:rsidP="002769D8">
      <w:pPr>
        <w:pStyle w:val="ListNumber2"/>
      </w:pPr>
      <w:r>
        <w:t>9.5</w:t>
      </w:r>
      <w:r w:rsidR="00F22268">
        <w:tab/>
      </w:r>
      <w:r w:rsidRPr="002769D8">
        <w:t>Plan work and study independently</w:t>
      </w:r>
      <w:r w:rsidR="00F22268">
        <w:t>.</w:t>
      </w:r>
    </w:p>
    <w:p w14:paraId="73386C6A" w14:textId="77777777" w:rsidR="009A2D37" w:rsidRPr="009D52D0" w:rsidRDefault="009A2D37" w:rsidP="00072357">
      <w:pPr>
        <w:pStyle w:val="Heading2"/>
      </w:pPr>
      <w:r w:rsidRPr="009D52D0">
        <w:t>A synopsis of the curriculum</w:t>
      </w:r>
    </w:p>
    <w:p w14:paraId="7040E90A" w14:textId="1BFE20CD" w:rsidR="008D4447" w:rsidRPr="00F22268" w:rsidRDefault="00416A83" w:rsidP="00F22268">
      <w:pPr>
        <w:pStyle w:val="BodyText"/>
      </w:pPr>
      <w:r w:rsidRPr="00416A83">
        <w:t xml:space="preserve">The module provides an introduction to game theory and its use by economists as a professional tool for understanding and analysing economic decision making under uncertainty. The module introduces students to topical and important research areas of microeconomic analysis, and develops their skills in setting up and solving games that arise in business and economics.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F22268">
      <w:pPr>
        <w:pStyle w:val="BodyText"/>
        <w:rPr>
          <w:b/>
        </w:rPr>
      </w:pPr>
      <w:r w:rsidRPr="00636058">
        <w:t xml:space="preserve">The University is committed to ensuring that core reading materials are in accessible electronic format in line with the Kent Inclusive Practices. </w:t>
      </w:r>
    </w:p>
    <w:p w14:paraId="65C929EC" w14:textId="4D208EC2" w:rsidR="008D4447" w:rsidRPr="00F22268" w:rsidRDefault="00636058" w:rsidP="00F22268">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0BFCFC16" w:rsidR="00636058" w:rsidRPr="00636058" w:rsidRDefault="00636058" w:rsidP="00F22268">
      <w:pPr>
        <w:pStyle w:val="BodyText"/>
      </w:pPr>
      <w:r w:rsidRPr="00636058">
        <w:t>Private Study</w:t>
      </w:r>
      <w:r w:rsidR="007A3F31">
        <w:t>:</w:t>
      </w:r>
      <w:r w:rsidR="00416A83">
        <w:t xml:space="preserve"> 134 hours</w:t>
      </w:r>
    </w:p>
    <w:p w14:paraId="3BE5E6D9" w14:textId="34A1256A" w:rsidR="00636058" w:rsidRPr="00636058" w:rsidRDefault="00636058" w:rsidP="00F22268">
      <w:pPr>
        <w:pStyle w:val="BodyText"/>
      </w:pPr>
      <w:r w:rsidRPr="00636058">
        <w:t>Contact Hours</w:t>
      </w:r>
      <w:r w:rsidR="007A3F31">
        <w:t>:</w:t>
      </w:r>
      <w:r w:rsidR="00416A83">
        <w:t xml:space="preserve"> 16 hours</w:t>
      </w:r>
    </w:p>
    <w:p w14:paraId="260000FF" w14:textId="51A4E9B5" w:rsidR="00636058" w:rsidRPr="00636058" w:rsidRDefault="00636058" w:rsidP="00F22268">
      <w:pPr>
        <w:pStyle w:val="BodyText"/>
      </w:pPr>
      <w:r w:rsidRPr="00636058">
        <w:t>Total</w:t>
      </w:r>
      <w:r w:rsidR="007A3F31">
        <w:t>:</w:t>
      </w:r>
      <w:r w:rsidR="00416A83">
        <w:t xml:space="preserve"> 150 hours</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F22268">
      <w:pPr>
        <w:pStyle w:val="header2"/>
        <w:numPr>
          <w:ilvl w:val="1"/>
          <w:numId w:val="11"/>
        </w:numPr>
        <w:spacing w:before="0"/>
        <w:ind w:left="567" w:hanging="567"/>
        <w:rPr>
          <w:b w:val="0"/>
          <w:bCs/>
          <w:i/>
          <w:iCs/>
        </w:rPr>
      </w:pPr>
      <w:r w:rsidRPr="00B2615D">
        <w:rPr>
          <w:b w:val="0"/>
          <w:bCs/>
          <w:iCs/>
        </w:rPr>
        <w:t>Main assessment methods</w:t>
      </w:r>
    </w:p>
    <w:p w14:paraId="092327CC" w14:textId="1F20D045" w:rsidR="00416A83" w:rsidRPr="00416A83" w:rsidRDefault="00416A83" w:rsidP="00F22268">
      <w:pPr>
        <w:pStyle w:val="BodyText"/>
      </w:pPr>
      <w:r w:rsidRPr="00416A83">
        <w:t>In Course Test  (45 minutes) (10%)</w:t>
      </w:r>
    </w:p>
    <w:p w14:paraId="24BA8352" w14:textId="28BF2DFB" w:rsidR="00416A83" w:rsidRPr="00416A83" w:rsidRDefault="00CC341F" w:rsidP="00F22268">
      <w:pPr>
        <w:pStyle w:val="BodyText"/>
      </w:pPr>
      <w:r>
        <w:t>Online</w:t>
      </w:r>
      <w:r w:rsidR="00416A83" w:rsidRPr="00416A83">
        <w:t xml:space="preserve"> Test   (10%)</w:t>
      </w:r>
    </w:p>
    <w:p w14:paraId="603BE617" w14:textId="224C9BD6" w:rsidR="003F3578" w:rsidRDefault="00416A83" w:rsidP="00F22268">
      <w:pPr>
        <w:pStyle w:val="BodyText"/>
      </w:pPr>
      <w:r w:rsidRPr="00416A83">
        <w:t>Examination, 2 hours (80%)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3148DF1"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EA1E7F2" w14:textId="65DD85BC" w:rsidR="00416A83" w:rsidRPr="00416A83" w:rsidRDefault="00416A83" w:rsidP="00F22268">
      <w:pPr>
        <w:pStyle w:val="BodyText"/>
      </w:pPr>
      <w:r w:rsidRPr="00416A83">
        <w:t>Reassessment Instrument: 100% exam</w:t>
      </w:r>
    </w:p>
    <w:p w14:paraId="00B1CF1B" w14:textId="79DCEE59" w:rsidR="00B72470" w:rsidRDefault="00B72470"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08A7D849" w:rsidR="00636058" w:rsidRDefault="00636058" w:rsidP="00F22268">
      <w:pPr>
        <w:spacing w:before="48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2"/>
        <w:tblW w:w="4474" w:type="pct"/>
        <w:tblInd w:w="607" w:type="dxa"/>
        <w:tblLook w:val="04A0" w:firstRow="1" w:lastRow="0" w:firstColumn="1" w:lastColumn="0" w:noHBand="0" w:noVBand="1"/>
      </w:tblPr>
      <w:tblGrid>
        <w:gridCol w:w="2396"/>
        <w:gridCol w:w="696"/>
        <w:gridCol w:w="696"/>
        <w:gridCol w:w="696"/>
        <w:gridCol w:w="696"/>
        <w:gridCol w:w="696"/>
        <w:gridCol w:w="696"/>
        <w:gridCol w:w="696"/>
        <w:gridCol w:w="696"/>
        <w:gridCol w:w="696"/>
        <w:gridCol w:w="696"/>
      </w:tblGrid>
      <w:tr w:rsidR="00416A83" w:rsidRPr="00416A83" w14:paraId="30851181" w14:textId="77777777" w:rsidTr="00416A83">
        <w:tc>
          <w:tcPr>
            <w:tcW w:w="1280" w:type="pct"/>
            <w:shd w:val="clear" w:color="auto" w:fill="D9D9D9" w:themeFill="background1" w:themeFillShade="D9"/>
          </w:tcPr>
          <w:p w14:paraId="3182AF6F" w14:textId="77777777" w:rsidR="00416A83" w:rsidRPr="00416A83" w:rsidRDefault="00416A83" w:rsidP="002637CB">
            <w:pPr>
              <w:spacing w:after="120"/>
              <w:ind w:left="33"/>
              <w:rPr>
                <w:rFonts w:ascii="Arial" w:hAnsi="Arial" w:cs="Arial"/>
                <w:b/>
              </w:rPr>
            </w:pPr>
            <w:r w:rsidRPr="00416A83">
              <w:rPr>
                <w:rFonts w:ascii="Arial" w:hAnsi="Arial" w:cs="Arial"/>
                <w:b/>
              </w:rPr>
              <w:t>Module learning outcome</w:t>
            </w:r>
          </w:p>
        </w:tc>
        <w:tc>
          <w:tcPr>
            <w:tcW w:w="372" w:type="pct"/>
          </w:tcPr>
          <w:p w14:paraId="7D90FC21" w14:textId="77777777" w:rsidR="00416A83" w:rsidRPr="00F22268" w:rsidRDefault="00416A83" w:rsidP="00416A83">
            <w:pPr>
              <w:spacing w:after="120"/>
              <w:rPr>
                <w:rFonts w:ascii="Arial" w:hAnsi="Arial" w:cs="Arial"/>
                <w:b/>
                <w:bCs/>
                <w:iCs/>
              </w:rPr>
            </w:pPr>
            <w:r w:rsidRPr="00F22268">
              <w:rPr>
                <w:rFonts w:ascii="Arial" w:hAnsi="Arial" w:cs="Arial"/>
                <w:b/>
                <w:bCs/>
                <w:iCs/>
              </w:rPr>
              <w:t>8.1</w:t>
            </w:r>
          </w:p>
        </w:tc>
        <w:tc>
          <w:tcPr>
            <w:tcW w:w="372" w:type="pct"/>
          </w:tcPr>
          <w:p w14:paraId="3E2570C7" w14:textId="77777777" w:rsidR="00416A83" w:rsidRPr="00F22268" w:rsidRDefault="00416A83" w:rsidP="00416A83">
            <w:pPr>
              <w:spacing w:after="120"/>
              <w:rPr>
                <w:rFonts w:ascii="Arial" w:hAnsi="Arial" w:cs="Arial"/>
                <w:b/>
                <w:bCs/>
                <w:iCs/>
              </w:rPr>
            </w:pPr>
            <w:r w:rsidRPr="00F22268">
              <w:rPr>
                <w:rFonts w:ascii="Arial" w:hAnsi="Arial" w:cs="Arial"/>
                <w:b/>
                <w:bCs/>
                <w:iCs/>
              </w:rPr>
              <w:t>8.2</w:t>
            </w:r>
          </w:p>
        </w:tc>
        <w:tc>
          <w:tcPr>
            <w:tcW w:w="372" w:type="pct"/>
          </w:tcPr>
          <w:p w14:paraId="3D64669F" w14:textId="77777777" w:rsidR="00416A83" w:rsidRPr="00F22268" w:rsidRDefault="00416A83" w:rsidP="00416A83">
            <w:pPr>
              <w:spacing w:after="120"/>
              <w:rPr>
                <w:rFonts w:ascii="Arial" w:hAnsi="Arial" w:cs="Arial"/>
                <w:b/>
                <w:bCs/>
                <w:iCs/>
              </w:rPr>
            </w:pPr>
            <w:r w:rsidRPr="00F22268">
              <w:rPr>
                <w:rFonts w:ascii="Arial" w:hAnsi="Arial" w:cs="Arial"/>
                <w:b/>
                <w:bCs/>
                <w:iCs/>
              </w:rPr>
              <w:t>8.3</w:t>
            </w:r>
          </w:p>
        </w:tc>
        <w:tc>
          <w:tcPr>
            <w:tcW w:w="372" w:type="pct"/>
          </w:tcPr>
          <w:p w14:paraId="4FC1C3EB" w14:textId="77777777" w:rsidR="00416A83" w:rsidRPr="00F22268" w:rsidRDefault="00416A83" w:rsidP="00416A83">
            <w:pPr>
              <w:spacing w:after="120"/>
              <w:rPr>
                <w:rFonts w:ascii="Arial" w:hAnsi="Arial" w:cs="Arial"/>
                <w:b/>
                <w:bCs/>
                <w:iCs/>
              </w:rPr>
            </w:pPr>
            <w:r w:rsidRPr="00F22268">
              <w:rPr>
                <w:rFonts w:ascii="Arial" w:hAnsi="Arial" w:cs="Arial"/>
                <w:b/>
                <w:bCs/>
                <w:iCs/>
              </w:rPr>
              <w:t>8.4</w:t>
            </w:r>
          </w:p>
        </w:tc>
        <w:tc>
          <w:tcPr>
            <w:tcW w:w="372" w:type="pct"/>
          </w:tcPr>
          <w:p w14:paraId="5785E643" w14:textId="77777777" w:rsidR="00416A83" w:rsidRPr="00F22268" w:rsidRDefault="00416A83" w:rsidP="00416A83">
            <w:pPr>
              <w:spacing w:after="120"/>
              <w:rPr>
                <w:rFonts w:ascii="Arial" w:hAnsi="Arial" w:cs="Arial"/>
                <w:b/>
                <w:bCs/>
                <w:iCs/>
              </w:rPr>
            </w:pPr>
            <w:r w:rsidRPr="00F22268">
              <w:rPr>
                <w:rFonts w:ascii="Arial" w:hAnsi="Arial" w:cs="Arial"/>
                <w:b/>
                <w:bCs/>
                <w:iCs/>
              </w:rPr>
              <w:t>8.5</w:t>
            </w:r>
          </w:p>
        </w:tc>
        <w:tc>
          <w:tcPr>
            <w:tcW w:w="372" w:type="pct"/>
          </w:tcPr>
          <w:p w14:paraId="46DF74A7" w14:textId="77777777" w:rsidR="00416A83" w:rsidRPr="00F22268" w:rsidRDefault="00416A83" w:rsidP="00416A83">
            <w:pPr>
              <w:spacing w:after="120"/>
              <w:rPr>
                <w:rFonts w:ascii="Arial" w:hAnsi="Arial" w:cs="Arial"/>
                <w:b/>
                <w:bCs/>
                <w:iCs/>
              </w:rPr>
            </w:pPr>
            <w:r w:rsidRPr="00F22268">
              <w:rPr>
                <w:rFonts w:ascii="Arial" w:hAnsi="Arial" w:cs="Arial"/>
                <w:b/>
                <w:bCs/>
                <w:iCs/>
              </w:rPr>
              <w:t>9.1</w:t>
            </w:r>
          </w:p>
        </w:tc>
        <w:tc>
          <w:tcPr>
            <w:tcW w:w="372" w:type="pct"/>
          </w:tcPr>
          <w:p w14:paraId="058AFC1E" w14:textId="77777777" w:rsidR="00416A83" w:rsidRPr="00F22268" w:rsidRDefault="00416A83" w:rsidP="00416A83">
            <w:pPr>
              <w:spacing w:after="120"/>
              <w:rPr>
                <w:rFonts w:ascii="Arial" w:hAnsi="Arial" w:cs="Arial"/>
                <w:b/>
                <w:bCs/>
                <w:iCs/>
              </w:rPr>
            </w:pPr>
            <w:r w:rsidRPr="00F22268">
              <w:rPr>
                <w:rFonts w:ascii="Arial" w:hAnsi="Arial" w:cs="Arial"/>
                <w:b/>
                <w:bCs/>
                <w:iCs/>
              </w:rPr>
              <w:t>9.2</w:t>
            </w:r>
          </w:p>
        </w:tc>
        <w:tc>
          <w:tcPr>
            <w:tcW w:w="372" w:type="pct"/>
          </w:tcPr>
          <w:p w14:paraId="3FF6CF62" w14:textId="77777777" w:rsidR="00416A83" w:rsidRPr="00F22268" w:rsidRDefault="00416A83" w:rsidP="00416A83">
            <w:pPr>
              <w:spacing w:after="120"/>
              <w:rPr>
                <w:rFonts w:ascii="Arial" w:hAnsi="Arial" w:cs="Arial"/>
                <w:b/>
                <w:bCs/>
                <w:iCs/>
              </w:rPr>
            </w:pPr>
            <w:r w:rsidRPr="00F22268">
              <w:rPr>
                <w:rFonts w:ascii="Arial" w:hAnsi="Arial" w:cs="Arial"/>
                <w:b/>
                <w:bCs/>
                <w:iCs/>
              </w:rPr>
              <w:t>9.3</w:t>
            </w:r>
          </w:p>
        </w:tc>
        <w:tc>
          <w:tcPr>
            <w:tcW w:w="372" w:type="pct"/>
          </w:tcPr>
          <w:p w14:paraId="7A7EBD30" w14:textId="77777777" w:rsidR="00416A83" w:rsidRPr="00F22268" w:rsidRDefault="00416A83" w:rsidP="00416A83">
            <w:pPr>
              <w:spacing w:after="120"/>
              <w:rPr>
                <w:rFonts w:ascii="Arial" w:hAnsi="Arial" w:cs="Arial"/>
                <w:b/>
                <w:bCs/>
                <w:iCs/>
              </w:rPr>
            </w:pPr>
            <w:r w:rsidRPr="00F22268">
              <w:rPr>
                <w:rFonts w:ascii="Arial" w:hAnsi="Arial" w:cs="Arial"/>
                <w:b/>
                <w:bCs/>
                <w:iCs/>
              </w:rPr>
              <w:t>9.4</w:t>
            </w:r>
          </w:p>
        </w:tc>
        <w:tc>
          <w:tcPr>
            <w:tcW w:w="372" w:type="pct"/>
          </w:tcPr>
          <w:p w14:paraId="6B2CCB6D" w14:textId="77777777" w:rsidR="00416A83" w:rsidRPr="00F22268" w:rsidRDefault="00416A83" w:rsidP="00416A83">
            <w:pPr>
              <w:spacing w:after="120"/>
              <w:rPr>
                <w:rFonts w:ascii="Arial" w:hAnsi="Arial" w:cs="Arial"/>
                <w:b/>
                <w:bCs/>
                <w:iCs/>
              </w:rPr>
            </w:pPr>
            <w:r w:rsidRPr="00F22268">
              <w:rPr>
                <w:rFonts w:ascii="Arial" w:hAnsi="Arial" w:cs="Arial"/>
                <w:b/>
                <w:bCs/>
                <w:iCs/>
              </w:rPr>
              <w:t>9.5</w:t>
            </w:r>
          </w:p>
        </w:tc>
      </w:tr>
      <w:tr w:rsidR="00DA626D" w:rsidRPr="00416A83" w14:paraId="3B9534B0" w14:textId="77777777" w:rsidTr="00416A83">
        <w:tc>
          <w:tcPr>
            <w:tcW w:w="1280" w:type="pct"/>
          </w:tcPr>
          <w:p w14:paraId="042110DD" w14:textId="66BBEBBF" w:rsidR="00DA626D" w:rsidRPr="00F22268" w:rsidRDefault="00CC341F" w:rsidP="00416A83">
            <w:pPr>
              <w:spacing w:after="120"/>
              <w:rPr>
                <w:rFonts w:ascii="Arial" w:hAnsi="Arial" w:cs="Arial"/>
                <w:iCs/>
              </w:rPr>
            </w:pPr>
            <w:r w:rsidRPr="00F22268">
              <w:rPr>
                <w:rFonts w:ascii="Arial" w:hAnsi="Arial" w:cs="Arial"/>
                <w:iCs/>
              </w:rPr>
              <w:t>Private Study</w:t>
            </w:r>
          </w:p>
        </w:tc>
        <w:tc>
          <w:tcPr>
            <w:tcW w:w="372" w:type="pct"/>
            <w:vAlign w:val="center"/>
          </w:tcPr>
          <w:p w14:paraId="0390B300" w14:textId="4C3798F9" w:rsidR="00DA626D" w:rsidRPr="00416A83" w:rsidRDefault="00CC341F" w:rsidP="00416A83">
            <w:pPr>
              <w:spacing w:after="120"/>
              <w:jc w:val="center"/>
              <w:rPr>
                <w:rFonts w:ascii="Arial" w:hAnsi="Arial" w:cs="Arial"/>
                <w:b/>
              </w:rPr>
            </w:pPr>
            <w:r>
              <w:rPr>
                <w:rFonts w:ascii="Arial" w:hAnsi="Arial" w:cs="Arial"/>
                <w:b/>
              </w:rPr>
              <w:t>x</w:t>
            </w:r>
          </w:p>
        </w:tc>
        <w:tc>
          <w:tcPr>
            <w:tcW w:w="372" w:type="pct"/>
            <w:vAlign w:val="center"/>
          </w:tcPr>
          <w:p w14:paraId="612FA9C4" w14:textId="6AD2AA9E" w:rsidR="00DA626D" w:rsidRPr="00416A83" w:rsidRDefault="00CC341F" w:rsidP="00416A83">
            <w:pPr>
              <w:spacing w:after="120"/>
              <w:jc w:val="center"/>
              <w:rPr>
                <w:rFonts w:ascii="Arial" w:hAnsi="Arial" w:cs="Arial"/>
                <w:b/>
              </w:rPr>
            </w:pPr>
            <w:r>
              <w:rPr>
                <w:rFonts w:ascii="Arial" w:hAnsi="Arial" w:cs="Arial"/>
                <w:b/>
              </w:rPr>
              <w:t>x</w:t>
            </w:r>
          </w:p>
        </w:tc>
        <w:tc>
          <w:tcPr>
            <w:tcW w:w="372" w:type="pct"/>
            <w:vAlign w:val="center"/>
          </w:tcPr>
          <w:p w14:paraId="7C90A8D4" w14:textId="08ADABB4" w:rsidR="00DA626D" w:rsidRPr="00416A83" w:rsidRDefault="00CC341F" w:rsidP="00416A83">
            <w:pPr>
              <w:spacing w:after="120"/>
              <w:jc w:val="center"/>
              <w:rPr>
                <w:rFonts w:ascii="Arial" w:hAnsi="Arial" w:cs="Arial"/>
                <w:b/>
              </w:rPr>
            </w:pPr>
            <w:r>
              <w:rPr>
                <w:rFonts w:ascii="Arial" w:hAnsi="Arial" w:cs="Arial"/>
                <w:b/>
              </w:rPr>
              <w:t>x</w:t>
            </w:r>
          </w:p>
        </w:tc>
        <w:tc>
          <w:tcPr>
            <w:tcW w:w="372" w:type="pct"/>
            <w:vAlign w:val="center"/>
          </w:tcPr>
          <w:p w14:paraId="54A9CB0B" w14:textId="3D5A745A" w:rsidR="00DA626D" w:rsidRPr="00416A83" w:rsidRDefault="00CC341F" w:rsidP="00416A83">
            <w:pPr>
              <w:spacing w:after="120"/>
              <w:jc w:val="center"/>
              <w:rPr>
                <w:rFonts w:ascii="Arial" w:hAnsi="Arial" w:cs="Arial"/>
                <w:b/>
              </w:rPr>
            </w:pPr>
            <w:r>
              <w:rPr>
                <w:rFonts w:ascii="Arial" w:hAnsi="Arial" w:cs="Arial"/>
                <w:b/>
              </w:rPr>
              <w:t>x</w:t>
            </w:r>
          </w:p>
        </w:tc>
        <w:tc>
          <w:tcPr>
            <w:tcW w:w="372" w:type="pct"/>
            <w:vAlign w:val="center"/>
          </w:tcPr>
          <w:p w14:paraId="10DF52EB" w14:textId="1D081211" w:rsidR="00DA626D" w:rsidRPr="00416A83" w:rsidRDefault="00CC341F" w:rsidP="00416A83">
            <w:pPr>
              <w:spacing w:after="120"/>
              <w:jc w:val="center"/>
              <w:rPr>
                <w:rFonts w:ascii="Arial" w:hAnsi="Arial" w:cs="Arial"/>
                <w:b/>
              </w:rPr>
            </w:pPr>
            <w:r>
              <w:rPr>
                <w:rFonts w:ascii="Arial" w:hAnsi="Arial" w:cs="Arial"/>
                <w:b/>
              </w:rPr>
              <w:t>x</w:t>
            </w:r>
          </w:p>
        </w:tc>
        <w:tc>
          <w:tcPr>
            <w:tcW w:w="372" w:type="pct"/>
            <w:vAlign w:val="center"/>
          </w:tcPr>
          <w:p w14:paraId="627CC6C1" w14:textId="500554D6" w:rsidR="00DA626D" w:rsidRPr="00416A83" w:rsidRDefault="00CC341F" w:rsidP="00416A83">
            <w:pPr>
              <w:spacing w:after="120"/>
              <w:jc w:val="center"/>
              <w:rPr>
                <w:rFonts w:ascii="Arial" w:hAnsi="Arial" w:cs="Arial"/>
                <w:b/>
              </w:rPr>
            </w:pPr>
            <w:r>
              <w:rPr>
                <w:rFonts w:ascii="Arial" w:hAnsi="Arial" w:cs="Arial"/>
                <w:b/>
              </w:rPr>
              <w:t>x</w:t>
            </w:r>
          </w:p>
        </w:tc>
        <w:tc>
          <w:tcPr>
            <w:tcW w:w="372" w:type="pct"/>
            <w:vAlign w:val="center"/>
          </w:tcPr>
          <w:p w14:paraId="67E1BB98" w14:textId="5E663675" w:rsidR="00DA626D" w:rsidRPr="00416A83" w:rsidRDefault="00CC341F" w:rsidP="00416A83">
            <w:pPr>
              <w:spacing w:after="120"/>
              <w:jc w:val="center"/>
              <w:rPr>
                <w:rFonts w:ascii="Arial" w:hAnsi="Arial" w:cs="Arial"/>
                <w:b/>
              </w:rPr>
            </w:pPr>
            <w:r>
              <w:rPr>
                <w:rFonts w:ascii="Arial" w:hAnsi="Arial" w:cs="Arial"/>
                <w:b/>
              </w:rPr>
              <w:t>x</w:t>
            </w:r>
          </w:p>
        </w:tc>
        <w:tc>
          <w:tcPr>
            <w:tcW w:w="372" w:type="pct"/>
            <w:vAlign w:val="center"/>
          </w:tcPr>
          <w:p w14:paraId="59E69C1F" w14:textId="1ECFD951" w:rsidR="00DA626D" w:rsidRPr="00416A83" w:rsidRDefault="00CC341F" w:rsidP="00416A83">
            <w:pPr>
              <w:spacing w:after="120"/>
              <w:jc w:val="center"/>
              <w:rPr>
                <w:rFonts w:ascii="Arial" w:hAnsi="Arial" w:cs="Arial"/>
                <w:b/>
              </w:rPr>
            </w:pPr>
            <w:r>
              <w:rPr>
                <w:rFonts w:ascii="Arial" w:hAnsi="Arial" w:cs="Arial"/>
                <w:b/>
              </w:rPr>
              <w:t>x</w:t>
            </w:r>
          </w:p>
        </w:tc>
        <w:tc>
          <w:tcPr>
            <w:tcW w:w="372" w:type="pct"/>
            <w:vAlign w:val="center"/>
          </w:tcPr>
          <w:p w14:paraId="7F002C4C" w14:textId="3ECB6584" w:rsidR="00DA626D" w:rsidRPr="00416A83" w:rsidRDefault="00CC341F" w:rsidP="00416A83">
            <w:pPr>
              <w:spacing w:after="120"/>
              <w:jc w:val="center"/>
              <w:rPr>
                <w:rFonts w:ascii="Arial" w:hAnsi="Arial" w:cs="Arial"/>
                <w:b/>
              </w:rPr>
            </w:pPr>
            <w:r>
              <w:rPr>
                <w:rFonts w:ascii="Arial" w:hAnsi="Arial" w:cs="Arial"/>
                <w:b/>
              </w:rPr>
              <w:t>x</w:t>
            </w:r>
          </w:p>
        </w:tc>
        <w:tc>
          <w:tcPr>
            <w:tcW w:w="372" w:type="pct"/>
            <w:vAlign w:val="center"/>
          </w:tcPr>
          <w:p w14:paraId="44B0540C" w14:textId="78AF8ED6" w:rsidR="00DA626D" w:rsidRPr="00416A83" w:rsidRDefault="00CC341F" w:rsidP="00416A83">
            <w:pPr>
              <w:spacing w:after="120"/>
              <w:jc w:val="center"/>
              <w:rPr>
                <w:rFonts w:ascii="Arial" w:hAnsi="Arial" w:cs="Arial"/>
                <w:b/>
              </w:rPr>
            </w:pPr>
            <w:r>
              <w:rPr>
                <w:rFonts w:ascii="Arial" w:hAnsi="Arial" w:cs="Arial"/>
                <w:b/>
              </w:rPr>
              <w:t>x</w:t>
            </w:r>
          </w:p>
        </w:tc>
      </w:tr>
      <w:tr w:rsidR="00416A83" w:rsidRPr="00416A83" w14:paraId="71AE0429" w14:textId="77777777" w:rsidTr="00416A83">
        <w:tc>
          <w:tcPr>
            <w:tcW w:w="1280" w:type="pct"/>
          </w:tcPr>
          <w:p w14:paraId="185C8670" w14:textId="77777777" w:rsidR="00416A83" w:rsidRPr="00F22268" w:rsidRDefault="00416A83" w:rsidP="00416A83">
            <w:pPr>
              <w:spacing w:after="120"/>
              <w:rPr>
                <w:rFonts w:ascii="Arial" w:hAnsi="Arial" w:cs="Arial"/>
                <w:iCs/>
              </w:rPr>
            </w:pPr>
            <w:r w:rsidRPr="00F22268">
              <w:rPr>
                <w:rFonts w:ascii="Arial" w:hAnsi="Arial" w:cs="Arial"/>
                <w:iCs/>
              </w:rPr>
              <w:t>Lecture</w:t>
            </w:r>
          </w:p>
        </w:tc>
        <w:tc>
          <w:tcPr>
            <w:tcW w:w="372" w:type="pct"/>
            <w:vAlign w:val="center"/>
          </w:tcPr>
          <w:p w14:paraId="309E2B5D"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3EF25CDC"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72E14819"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4797E1AA"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28B916E4"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5FB00464"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7EA548D1"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25E7679F"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397F159B" w14:textId="77777777" w:rsidR="00416A83" w:rsidRPr="00416A83" w:rsidRDefault="00416A83" w:rsidP="00416A83">
            <w:pPr>
              <w:spacing w:after="120"/>
              <w:jc w:val="center"/>
              <w:rPr>
                <w:rFonts w:ascii="Arial" w:hAnsi="Arial" w:cs="Arial"/>
                <w:b/>
              </w:rPr>
            </w:pPr>
          </w:p>
        </w:tc>
        <w:tc>
          <w:tcPr>
            <w:tcW w:w="372" w:type="pct"/>
            <w:vAlign w:val="center"/>
          </w:tcPr>
          <w:p w14:paraId="5B6CA2CA" w14:textId="77777777" w:rsidR="00416A83" w:rsidRPr="00416A83" w:rsidRDefault="00416A83" w:rsidP="00416A83">
            <w:pPr>
              <w:spacing w:after="120"/>
              <w:jc w:val="center"/>
              <w:rPr>
                <w:rFonts w:ascii="Arial" w:hAnsi="Arial" w:cs="Arial"/>
                <w:b/>
              </w:rPr>
            </w:pPr>
          </w:p>
        </w:tc>
      </w:tr>
      <w:tr w:rsidR="00416A83" w:rsidRPr="00416A83" w14:paraId="6CF133ED" w14:textId="77777777" w:rsidTr="00416A83">
        <w:tc>
          <w:tcPr>
            <w:tcW w:w="1280" w:type="pct"/>
          </w:tcPr>
          <w:p w14:paraId="3BE27E7F" w14:textId="77777777" w:rsidR="00416A83" w:rsidRPr="00F22268" w:rsidRDefault="00416A83" w:rsidP="00416A83">
            <w:pPr>
              <w:spacing w:after="120"/>
              <w:rPr>
                <w:rFonts w:ascii="Arial" w:hAnsi="Arial" w:cs="Arial"/>
                <w:iCs/>
              </w:rPr>
            </w:pPr>
            <w:r w:rsidRPr="00F22268">
              <w:rPr>
                <w:rFonts w:ascii="Arial" w:hAnsi="Arial" w:cs="Arial"/>
                <w:iCs/>
              </w:rPr>
              <w:t>Seminar</w:t>
            </w:r>
          </w:p>
        </w:tc>
        <w:tc>
          <w:tcPr>
            <w:tcW w:w="372" w:type="pct"/>
            <w:vAlign w:val="center"/>
          </w:tcPr>
          <w:p w14:paraId="7B1BB3A9"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70C85F51"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51FD8941"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068772EF"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1550F905"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5E6DDF26"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3816A6B2"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5805D819"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73402453" w14:textId="77777777" w:rsidR="00416A83" w:rsidRPr="00416A83" w:rsidRDefault="00416A83" w:rsidP="00416A83">
            <w:pPr>
              <w:spacing w:after="120"/>
              <w:jc w:val="center"/>
              <w:rPr>
                <w:rFonts w:ascii="Arial" w:hAnsi="Arial" w:cs="Arial"/>
                <w:b/>
              </w:rPr>
            </w:pPr>
            <w:r w:rsidRPr="00416A83">
              <w:rPr>
                <w:rFonts w:ascii="Arial" w:hAnsi="Arial" w:cs="Arial"/>
                <w:b/>
              </w:rPr>
              <w:t>x</w:t>
            </w:r>
          </w:p>
        </w:tc>
        <w:tc>
          <w:tcPr>
            <w:tcW w:w="372" w:type="pct"/>
            <w:vAlign w:val="center"/>
          </w:tcPr>
          <w:p w14:paraId="7EBE7DE8" w14:textId="77777777" w:rsidR="00416A83" w:rsidRPr="00416A83" w:rsidRDefault="00416A83" w:rsidP="00416A83">
            <w:pPr>
              <w:spacing w:after="120"/>
              <w:jc w:val="center"/>
              <w:rPr>
                <w:rFonts w:ascii="Arial" w:hAnsi="Arial" w:cs="Arial"/>
                <w:b/>
              </w:rPr>
            </w:pPr>
            <w:r w:rsidRPr="00416A83">
              <w:rPr>
                <w:rFonts w:ascii="Arial" w:hAnsi="Arial" w:cs="Arial"/>
                <w:b/>
              </w:rPr>
              <w:t>x</w:t>
            </w:r>
          </w:p>
        </w:tc>
      </w:tr>
    </w:tbl>
    <w:p w14:paraId="0C992BDB" w14:textId="5BE1B63E" w:rsidR="00636058" w:rsidRDefault="00636058" w:rsidP="00DA626D">
      <w:pPr>
        <w:spacing w:after="120" w:line="240" w:lineRule="auto"/>
        <w:ind w:left="567" w:right="543"/>
        <w:jc w:val="both"/>
        <w:rPr>
          <w:rFonts w:ascii="Arial" w:hAnsi="Arial" w:cs="Arial"/>
          <w:b/>
          <w:bCs/>
          <w:sz w:val="24"/>
          <w:szCs w:val="24"/>
        </w:rPr>
      </w:pPr>
    </w:p>
    <w:p w14:paraId="1DF2B576" w14:textId="0A51DE40" w:rsidR="007A6245" w:rsidRDefault="00636058" w:rsidP="00F22268">
      <w:pPr>
        <w:spacing w:before="480"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3"/>
        <w:tblW w:w="4542" w:type="pct"/>
        <w:tblInd w:w="562" w:type="dxa"/>
        <w:tblLook w:val="04A0" w:firstRow="1" w:lastRow="0" w:firstColumn="1" w:lastColumn="0" w:noHBand="0" w:noVBand="1"/>
      </w:tblPr>
      <w:tblGrid>
        <w:gridCol w:w="2541"/>
        <w:gridCol w:w="696"/>
        <w:gridCol w:w="696"/>
        <w:gridCol w:w="696"/>
        <w:gridCol w:w="696"/>
        <w:gridCol w:w="696"/>
        <w:gridCol w:w="696"/>
        <w:gridCol w:w="696"/>
        <w:gridCol w:w="695"/>
        <w:gridCol w:w="695"/>
        <w:gridCol w:w="695"/>
      </w:tblGrid>
      <w:tr w:rsidR="00DA626D" w:rsidRPr="00DA626D" w14:paraId="009E05BE" w14:textId="77777777" w:rsidTr="00F22268">
        <w:tc>
          <w:tcPr>
            <w:tcW w:w="1336" w:type="pct"/>
            <w:shd w:val="clear" w:color="auto" w:fill="D9D9D9" w:themeFill="background1" w:themeFillShade="D9"/>
          </w:tcPr>
          <w:p w14:paraId="3823CB3A" w14:textId="77777777" w:rsidR="00DA626D" w:rsidRPr="00DA626D" w:rsidRDefault="00DA626D" w:rsidP="002637CB">
            <w:pPr>
              <w:spacing w:after="120"/>
              <w:ind w:left="33"/>
              <w:rPr>
                <w:rFonts w:ascii="Arial" w:hAnsi="Arial" w:cs="Arial"/>
                <w:b/>
              </w:rPr>
            </w:pPr>
            <w:r w:rsidRPr="00DA626D">
              <w:rPr>
                <w:rFonts w:ascii="Arial" w:hAnsi="Arial" w:cs="Arial"/>
                <w:b/>
              </w:rPr>
              <w:t>Module learning outcome</w:t>
            </w:r>
          </w:p>
        </w:tc>
        <w:tc>
          <w:tcPr>
            <w:tcW w:w="366" w:type="pct"/>
          </w:tcPr>
          <w:p w14:paraId="50384EB4" w14:textId="77777777" w:rsidR="00DA626D" w:rsidRPr="00F22268" w:rsidRDefault="00DA626D" w:rsidP="00F22268">
            <w:pPr>
              <w:spacing w:after="120"/>
              <w:jc w:val="right"/>
              <w:rPr>
                <w:rFonts w:ascii="Arial" w:hAnsi="Arial" w:cs="Arial"/>
                <w:b/>
                <w:bCs/>
                <w:iCs/>
              </w:rPr>
            </w:pPr>
            <w:r w:rsidRPr="00F22268">
              <w:rPr>
                <w:rFonts w:ascii="Arial" w:hAnsi="Arial" w:cs="Arial"/>
                <w:b/>
                <w:bCs/>
                <w:iCs/>
              </w:rPr>
              <w:t>8.1</w:t>
            </w:r>
          </w:p>
        </w:tc>
        <w:tc>
          <w:tcPr>
            <w:tcW w:w="366" w:type="pct"/>
          </w:tcPr>
          <w:p w14:paraId="1B30390B" w14:textId="77777777" w:rsidR="00DA626D" w:rsidRPr="00F22268" w:rsidRDefault="00DA626D" w:rsidP="00F22268">
            <w:pPr>
              <w:spacing w:after="120"/>
              <w:jc w:val="right"/>
              <w:rPr>
                <w:rFonts w:ascii="Arial" w:hAnsi="Arial" w:cs="Arial"/>
                <w:b/>
                <w:bCs/>
                <w:iCs/>
              </w:rPr>
            </w:pPr>
            <w:r w:rsidRPr="00F22268">
              <w:rPr>
                <w:rFonts w:ascii="Arial" w:hAnsi="Arial" w:cs="Arial"/>
                <w:b/>
                <w:bCs/>
                <w:iCs/>
              </w:rPr>
              <w:t>8.2</w:t>
            </w:r>
          </w:p>
        </w:tc>
        <w:tc>
          <w:tcPr>
            <w:tcW w:w="366" w:type="pct"/>
          </w:tcPr>
          <w:p w14:paraId="240912D2" w14:textId="77777777" w:rsidR="00DA626D" w:rsidRPr="00F22268" w:rsidRDefault="00DA626D" w:rsidP="00F22268">
            <w:pPr>
              <w:spacing w:after="120"/>
              <w:jc w:val="right"/>
              <w:rPr>
                <w:rFonts w:ascii="Arial" w:hAnsi="Arial" w:cs="Arial"/>
                <w:b/>
                <w:bCs/>
                <w:iCs/>
              </w:rPr>
            </w:pPr>
            <w:r w:rsidRPr="00F22268">
              <w:rPr>
                <w:rFonts w:ascii="Arial" w:hAnsi="Arial" w:cs="Arial"/>
                <w:b/>
                <w:bCs/>
                <w:iCs/>
              </w:rPr>
              <w:t>8.3</w:t>
            </w:r>
          </w:p>
        </w:tc>
        <w:tc>
          <w:tcPr>
            <w:tcW w:w="366" w:type="pct"/>
          </w:tcPr>
          <w:p w14:paraId="0B23C222" w14:textId="77777777" w:rsidR="00DA626D" w:rsidRPr="00F22268" w:rsidRDefault="00DA626D" w:rsidP="00F22268">
            <w:pPr>
              <w:spacing w:after="120"/>
              <w:jc w:val="right"/>
              <w:rPr>
                <w:rFonts w:ascii="Arial" w:hAnsi="Arial" w:cs="Arial"/>
                <w:b/>
                <w:bCs/>
                <w:iCs/>
              </w:rPr>
            </w:pPr>
            <w:r w:rsidRPr="00F22268">
              <w:rPr>
                <w:rFonts w:ascii="Arial" w:hAnsi="Arial" w:cs="Arial"/>
                <w:b/>
                <w:bCs/>
                <w:iCs/>
              </w:rPr>
              <w:t>8.4</w:t>
            </w:r>
          </w:p>
        </w:tc>
        <w:tc>
          <w:tcPr>
            <w:tcW w:w="366" w:type="pct"/>
          </w:tcPr>
          <w:p w14:paraId="75DB3C89" w14:textId="77777777" w:rsidR="00DA626D" w:rsidRPr="00F22268" w:rsidRDefault="00DA626D" w:rsidP="00F22268">
            <w:pPr>
              <w:spacing w:after="120"/>
              <w:jc w:val="right"/>
              <w:rPr>
                <w:rFonts w:ascii="Arial" w:hAnsi="Arial" w:cs="Arial"/>
                <w:b/>
                <w:bCs/>
                <w:iCs/>
              </w:rPr>
            </w:pPr>
            <w:r w:rsidRPr="00F22268">
              <w:rPr>
                <w:rFonts w:ascii="Arial" w:hAnsi="Arial" w:cs="Arial"/>
                <w:b/>
                <w:bCs/>
                <w:iCs/>
              </w:rPr>
              <w:t>8.5</w:t>
            </w:r>
          </w:p>
        </w:tc>
        <w:tc>
          <w:tcPr>
            <w:tcW w:w="366" w:type="pct"/>
          </w:tcPr>
          <w:p w14:paraId="76AE37B9" w14:textId="77777777" w:rsidR="00DA626D" w:rsidRPr="00F22268" w:rsidRDefault="00DA626D" w:rsidP="00F22268">
            <w:pPr>
              <w:spacing w:after="120"/>
              <w:jc w:val="right"/>
              <w:rPr>
                <w:rFonts w:ascii="Arial" w:hAnsi="Arial" w:cs="Arial"/>
                <w:b/>
                <w:bCs/>
                <w:iCs/>
              </w:rPr>
            </w:pPr>
            <w:r w:rsidRPr="00F22268">
              <w:rPr>
                <w:rFonts w:ascii="Arial" w:hAnsi="Arial" w:cs="Arial"/>
                <w:b/>
                <w:bCs/>
                <w:iCs/>
              </w:rPr>
              <w:t>9.1</w:t>
            </w:r>
          </w:p>
        </w:tc>
        <w:tc>
          <w:tcPr>
            <w:tcW w:w="366" w:type="pct"/>
          </w:tcPr>
          <w:p w14:paraId="149C9A0A" w14:textId="77777777" w:rsidR="00DA626D" w:rsidRPr="00F22268" w:rsidRDefault="00DA626D" w:rsidP="00F22268">
            <w:pPr>
              <w:spacing w:after="120"/>
              <w:jc w:val="right"/>
              <w:rPr>
                <w:rFonts w:ascii="Arial" w:hAnsi="Arial" w:cs="Arial"/>
                <w:b/>
                <w:bCs/>
                <w:iCs/>
              </w:rPr>
            </w:pPr>
            <w:r w:rsidRPr="00F22268">
              <w:rPr>
                <w:rFonts w:ascii="Arial" w:hAnsi="Arial" w:cs="Arial"/>
                <w:b/>
                <w:bCs/>
                <w:iCs/>
              </w:rPr>
              <w:t>9.2</w:t>
            </w:r>
          </w:p>
        </w:tc>
        <w:tc>
          <w:tcPr>
            <w:tcW w:w="366" w:type="pct"/>
          </w:tcPr>
          <w:p w14:paraId="56CE1F6A" w14:textId="77777777" w:rsidR="00DA626D" w:rsidRPr="00F22268" w:rsidRDefault="00DA626D" w:rsidP="00F22268">
            <w:pPr>
              <w:spacing w:after="120"/>
              <w:jc w:val="right"/>
              <w:rPr>
                <w:rFonts w:ascii="Arial" w:hAnsi="Arial" w:cs="Arial"/>
                <w:b/>
                <w:bCs/>
                <w:iCs/>
              </w:rPr>
            </w:pPr>
            <w:r w:rsidRPr="00F22268">
              <w:rPr>
                <w:rFonts w:ascii="Arial" w:hAnsi="Arial" w:cs="Arial"/>
                <w:b/>
                <w:bCs/>
                <w:iCs/>
              </w:rPr>
              <w:t>9.3</w:t>
            </w:r>
          </w:p>
        </w:tc>
        <w:tc>
          <w:tcPr>
            <w:tcW w:w="366" w:type="pct"/>
          </w:tcPr>
          <w:p w14:paraId="3C97FEAC" w14:textId="77777777" w:rsidR="00DA626D" w:rsidRPr="00F22268" w:rsidRDefault="00DA626D" w:rsidP="00F22268">
            <w:pPr>
              <w:spacing w:after="120"/>
              <w:jc w:val="right"/>
              <w:rPr>
                <w:rFonts w:ascii="Arial" w:hAnsi="Arial" w:cs="Arial"/>
                <w:b/>
                <w:bCs/>
                <w:iCs/>
              </w:rPr>
            </w:pPr>
            <w:r w:rsidRPr="00F22268">
              <w:rPr>
                <w:rFonts w:ascii="Arial" w:hAnsi="Arial" w:cs="Arial"/>
                <w:b/>
                <w:bCs/>
                <w:iCs/>
              </w:rPr>
              <w:t>9.4</w:t>
            </w:r>
          </w:p>
        </w:tc>
        <w:tc>
          <w:tcPr>
            <w:tcW w:w="366" w:type="pct"/>
          </w:tcPr>
          <w:p w14:paraId="2E11EC2B" w14:textId="77777777" w:rsidR="00DA626D" w:rsidRPr="00F22268" w:rsidRDefault="00DA626D" w:rsidP="00F22268">
            <w:pPr>
              <w:spacing w:after="120"/>
              <w:jc w:val="right"/>
              <w:rPr>
                <w:rFonts w:ascii="Arial" w:hAnsi="Arial" w:cs="Arial"/>
                <w:b/>
                <w:bCs/>
                <w:iCs/>
              </w:rPr>
            </w:pPr>
            <w:r w:rsidRPr="00F22268">
              <w:rPr>
                <w:rFonts w:ascii="Arial" w:hAnsi="Arial" w:cs="Arial"/>
                <w:b/>
                <w:bCs/>
                <w:iCs/>
              </w:rPr>
              <w:t>9.5</w:t>
            </w:r>
          </w:p>
        </w:tc>
      </w:tr>
      <w:tr w:rsidR="00DA626D" w:rsidRPr="00DA626D" w14:paraId="4C273832" w14:textId="77777777" w:rsidTr="00F22268">
        <w:tc>
          <w:tcPr>
            <w:tcW w:w="1336" w:type="pct"/>
          </w:tcPr>
          <w:p w14:paraId="0F2459F9" w14:textId="4953B0B4" w:rsidR="00DA626D" w:rsidRPr="00F22268" w:rsidRDefault="00DA626D" w:rsidP="00DA626D">
            <w:pPr>
              <w:spacing w:after="120"/>
              <w:rPr>
                <w:rFonts w:ascii="Arial" w:hAnsi="Arial" w:cs="Arial"/>
                <w:iCs/>
              </w:rPr>
            </w:pPr>
            <w:r w:rsidRPr="00F22268">
              <w:rPr>
                <w:rFonts w:ascii="Arial" w:hAnsi="Arial" w:cs="Arial"/>
                <w:iCs/>
              </w:rPr>
              <w:t xml:space="preserve">ICT </w:t>
            </w:r>
          </w:p>
        </w:tc>
        <w:tc>
          <w:tcPr>
            <w:tcW w:w="366" w:type="pct"/>
            <w:vAlign w:val="center"/>
          </w:tcPr>
          <w:p w14:paraId="009C51AB"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07F5C70B"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7AE1B421"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3FC8581A"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03E8B44B"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1159425E"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2853CE91"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32284FEB"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4F8EA989"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2F0ACB55" w14:textId="77777777" w:rsidR="00DA626D" w:rsidRPr="00DA626D" w:rsidRDefault="00DA626D" w:rsidP="00DA626D">
            <w:pPr>
              <w:spacing w:after="120"/>
              <w:jc w:val="center"/>
              <w:rPr>
                <w:rFonts w:ascii="Arial" w:hAnsi="Arial" w:cs="Arial"/>
                <w:b/>
              </w:rPr>
            </w:pPr>
            <w:r w:rsidRPr="00DA626D">
              <w:rPr>
                <w:rFonts w:ascii="Arial" w:hAnsi="Arial" w:cs="Arial"/>
                <w:b/>
              </w:rPr>
              <w:t>x</w:t>
            </w:r>
          </w:p>
        </w:tc>
      </w:tr>
      <w:tr w:rsidR="00DA626D" w:rsidRPr="00DA626D" w14:paraId="4A6C36F1" w14:textId="77777777" w:rsidTr="00F22268">
        <w:tc>
          <w:tcPr>
            <w:tcW w:w="1336" w:type="pct"/>
          </w:tcPr>
          <w:p w14:paraId="17A3B879" w14:textId="2AAEBDE9" w:rsidR="00DA626D" w:rsidRPr="00F22268" w:rsidRDefault="00CC341F" w:rsidP="00DA626D">
            <w:pPr>
              <w:spacing w:after="120"/>
              <w:rPr>
                <w:rFonts w:ascii="Arial" w:hAnsi="Arial" w:cs="Arial"/>
                <w:iCs/>
              </w:rPr>
            </w:pPr>
            <w:r w:rsidRPr="00F22268">
              <w:rPr>
                <w:rFonts w:ascii="Arial" w:hAnsi="Arial" w:cs="Arial"/>
                <w:iCs/>
              </w:rPr>
              <w:t>Online Test</w:t>
            </w:r>
          </w:p>
        </w:tc>
        <w:tc>
          <w:tcPr>
            <w:tcW w:w="366" w:type="pct"/>
            <w:vAlign w:val="center"/>
          </w:tcPr>
          <w:p w14:paraId="7EE8B96B"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411E384E"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3F62DAAF"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4E6C36F4"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2884FE24"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11167A35"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265AEF8A"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09A44206"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7D859F31"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0A3911CA" w14:textId="77777777" w:rsidR="00DA626D" w:rsidRPr="00DA626D" w:rsidRDefault="00DA626D" w:rsidP="00DA626D">
            <w:pPr>
              <w:spacing w:after="120"/>
              <w:jc w:val="center"/>
              <w:rPr>
                <w:rFonts w:ascii="Arial" w:hAnsi="Arial" w:cs="Arial"/>
                <w:b/>
              </w:rPr>
            </w:pPr>
            <w:r w:rsidRPr="00DA626D">
              <w:rPr>
                <w:rFonts w:ascii="Arial" w:hAnsi="Arial" w:cs="Arial"/>
                <w:b/>
              </w:rPr>
              <w:t>x</w:t>
            </w:r>
          </w:p>
        </w:tc>
      </w:tr>
      <w:tr w:rsidR="00DA626D" w:rsidRPr="00DA626D" w14:paraId="159EE244" w14:textId="77777777" w:rsidTr="00F22268">
        <w:tc>
          <w:tcPr>
            <w:tcW w:w="1336" w:type="pct"/>
          </w:tcPr>
          <w:p w14:paraId="34849D1C" w14:textId="77777777" w:rsidR="00DA626D" w:rsidRPr="00F22268" w:rsidRDefault="00DA626D" w:rsidP="00DA626D">
            <w:pPr>
              <w:spacing w:after="120"/>
              <w:rPr>
                <w:rFonts w:ascii="Arial" w:hAnsi="Arial" w:cs="Arial"/>
                <w:iCs/>
              </w:rPr>
            </w:pPr>
            <w:r w:rsidRPr="00F22268">
              <w:rPr>
                <w:rFonts w:ascii="Arial" w:hAnsi="Arial" w:cs="Arial"/>
                <w:iCs/>
              </w:rPr>
              <w:t>Examination</w:t>
            </w:r>
          </w:p>
        </w:tc>
        <w:tc>
          <w:tcPr>
            <w:tcW w:w="366" w:type="pct"/>
            <w:vAlign w:val="center"/>
          </w:tcPr>
          <w:p w14:paraId="5E8C01AE"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3C294721"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169A8B71"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41E42858"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68EC9DF2"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58742EEB"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7C38DDAF"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2C9D8D7E"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3349EB9F" w14:textId="77777777" w:rsidR="00DA626D" w:rsidRPr="00DA626D" w:rsidRDefault="00DA626D" w:rsidP="00DA626D">
            <w:pPr>
              <w:spacing w:after="120"/>
              <w:jc w:val="center"/>
              <w:rPr>
                <w:rFonts w:ascii="Arial" w:hAnsi="Arial" w:cs="Arial"/>
                <w:b/>
              </w:rPr>
            </w:pPr>
            <w:r w:rsidRPr="00DA626D">
              <w:rPr>
                <w:rFonts w:ascii="Arial" w:hAnsi="Arial" w:cs="Arial"/>
                <w:b/>
              </w:rPr>
              <w:t>x</w:t>
            </w:r>
          </w:p>
        </w:tc>
        <w:tc>
          <w:tcPr>
            <w:tcW w:w="366" w:type="pct"/>
            <w:vAlign w:val="center"/>
          </w:tcPr>
          <w:p w14:paraId="35E10C3A" w14:textId="77777777" w:rsidR="00DA626D" w:rsidRPr="00DA626D" w:rsidRDefault="00DA626D" w:rsidP="00DA626D">
            <w:pPr>
              <w:spacing w:after="120"/>
              <w:jc w:val="center"/>
              <w:rPr>
                <w:rFonts w:ascii="Arial" w:hAnsi="Arial" w:cs="Arial"/>
                <w:b/>
              </w:rPr>
            </w:pPr>
            <w:r w:rsidRPr="00DA626D">
              <w:rPr>
                <w:rFonts w:ascii="Arial" w:hAnsi="Arial" w:cs="Arial"/>
                <w:b/>
              </w:rPr>
              <w:t>x</w:t>
            </w:r>
          </w:p>
        </w:tc>
      </w:tr>
    </w:tbl>
    <w:p w14:paraId="08036FBD" w14:textId="4A74B45F" w:rsidR="00636058" w:rsidRDefault="00636058" w:rsidP="00DA626D">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05B272A6" w14:textId="77777777" w:rsidR="008A0D1E" w:rsidRPr="008A0D1E" w:rsidRDefault="008A0D1E" w:rsidP="00F22268">
      <w:pPr>
        <w:pStyle w:val="BodyText"/>
      </w:pPr>
      <w:r w:rsidRPr="008A0D1E">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E4F7A3" w14:textId="77777777" w:rsidR="008A0D1E" w:rsidRPr="008A0D1E" w:rsidRDefault="008A0D1E" w:rsidP="00F22268">
      <w:pPr>
        <w:pStyle w:val="BodyText"/>
      </w:pPr>
      <w:r w:rsidRPr="008A0D1E">
        <w:t>The inclusive practices in the guidance (see Annex B Appendix A) have been considered in order to support all students in the following areas:</w:t>
      </w:r>
    </w:p>
    <w:p w14:paraId="4FFCFDEF" w14:textId="77777777" w:rsidR="008A0D1E" w:rsidRPr="008A0D1E" w:rsidRDefault="008A0D1E" w:rsidP="00F22268">
      <w:pPr>
        <w:pStyle w:val="BodyText"/>
      </w:pPr>
      <w:r w:rsidRPr="008A0D1E">
        <w:t>a) Accessible resources and curriculum</w:t>
      </w:r>
    </w:p>
    <w:p w14:paraId="7D22CEC9" w14:textId="37A68BDF" w:rsidR="00883204" w:rsidRPr="009D52D0" w:rsidRDefault="008A0D1E" w:rsidP="00F22268">
      <w:pPr>
        <w:pStyle w:val="BodyText"/>
        <w:rPr>
          <w:i/>
          <w:iCs/>
        </w:rPr>
      </w:pPr>
      <w:r w:rsidRPr="008A0D1E">
        <w:t>b) 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18740CC" w:rsidR="009A2D37" w:rsidRDefault="008A0D1E" w:rsidP="00F22268">
      <w:pPr>
        <w:pStyle w:val="BodyText"/>
      </w:pPr>
      <w:r>
        <w:t>Canterbury</w:t>
      </w:r>
    </w:p>
    <w:p w14:paraId="654C7CE7" w14:textId="77777777" w:rsidR="00883204" w:rsidRPr="009D52D0" w:rsidRDefault="00883204" w:rsidP="00072357">
      <w:pPr>
        <w:pStyle w:val="Heading2"/>
      </w:pPr>
      <w:r w:rsidRPr="009D52D0">
        <w:t xml:space="preserve">Internationalisation </w:t>
      </w:r>
    </w:p>
    <w:p w14:paraId="5C3EF884" w14:textId="40A7669B" w:rsidR="004528EB" w:rsidRDefault="004528EB" w:rsidP="00F22268">
      <w:pPr>
        <w:pStyle w:val="BodyText"/>
        <w:rPr>
          <w:shd w:val="clear" w:color="auto" w:fill="FFFFFF"/>
        </w:rPr>
      </w:pPr>
      <w:r w:rsidRPr="004528EB">
        <w:rPr>
          <w:shd w:val="clear" w:color="auto" w:fill="FFFFFF"/>
        </w:rPr>
        <w:t xml:space="preserve">Game theory is a branch of mathematics and global language which is used internationally. </w:t>
      </w:r>
    </w:p>
    <w:p w14:paraId="71183254" w14:textId="484FC18B" w:rsidR="00F22268" w:rsidRDefault="00F22268" w:rsidP="00F22268">
      <w:pPr>
        <w:pStyle w:val="BodyText"/>
        <w:rPr>
          <w:shd w:val="clear" w:color="auto" w:fill="FFFFFF"/>
        </w:rPr>
      </w:pPr>
    </w:p>
    <w:p w14:paraId="67E577F1" w14:textId="77777777" w:rsidR="00F22268" w:rsidRPr="009D52D0" w:rsidRDefault="00F22268" w:rsidP="00F22268">
      <w:pPr>
        <w:pBdr>
          <w:bottom w:val="single" w:sz="6" w:space="1" w:color="auto"/>
        </w:pBdr>
        <w:spacing w:after="120" w:line="240" w:lineRule="auto"/>
        <w:ind w:right="543"/>
        <w:rPr>
          <w:rFonts w:ascii="Arial" w:hAnsi="Arial" w:cs="Arial"/>
          <w:sz w:val="24"/>
          <w:szCs w:val="24"/>
        </w:rPr>
      </w:pPr>
      <w:bookmarkStart w:id="0" w:name="_Hlk110347234"/>
      <w:bookmarkStart w:id="1" w:name="_Hlk121209876"/>
      <w:bookmarkStart w:id="2" w:name="_Hlk118801091"/>
    </w:p>
    <w:p w14:paraId="793AA2B7" w14:textId="77777777" w:rsidR="00F22268" w:rsidRPr="005E5282" w:rsidRDefault="00F22268" w:rsidP="00F22268">
      <w:pPr>
        <w:spacing w:after="120" w:line="240" w:lineRule="auto"/>
        <w:ind w:right="543"/>
        <w:rPr>
          <w:rFonts w:ascii="Arial" w:hAnsi="Arial" w:cs="Arial"/>
          <w:b/>
        </w:rPr>
      </w:pPr>
      <w:r w:rsidRPr="005E5282">
        <w:rPr>
          <w:rFonts w:ascii="Arial" w:hAnsi="Arial" w:cs="Arial"/>
          <w:b/>
        </w:rPr>
        <w:t xml:space="preserve">DIVISIONAL USE ONLY </w:t>
      </w:r>
    </w:p>
    <w:bookmarkEnd w:id="2"/>
    <w:p w14:paraId="598151FF" w14:textId="77777777" w:rsidR="00F22268" w:rsidRPr="005E5282" w:rsidRDefault="00F22268" w:rsidP="00F22268">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513385DE" w14:textId="77777777" w:rsidR="00F22268" w:rsidRPr="005E5282" w:rsidRDefault="00F22268" w:rsidP="00F22268">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F22268" w:rsidRPr="009D52D0" w14:paraId="31437A76" w14:textId="77777777" w:rsidTr="00F22268">
        <w:trPr>
          <w:trHeight w:val="317"/>
          <w:tblHeader/>
        </w:trPr>
        <w:tc>
          <w:tcPr>
            <w:tcW w:w="1592" w:type="dxa"/>
            <w:shd w:val="clear" w:color="auto" w:fill="F2F2F2" w:themeFill="background1" w:themeFillShade="F2"/>
          </w:tcPr>
          <w:p w14:paraId="40A37482" w14:textId="77777777" w:rsidR="00F22268" w:rsidRPr="009D52D0" w:rsidRDefault="00F22268" w:rsidP="003D1049">
            <w:pPr>
              <w:pStyle w:val="Tableoutcomeshead"/>
            </w:pPr>
            <w:r w:rsidRPr="009D52D0">
              <w:t>Date approved</w:t>
            </w:r>
          </w:p>
        </w:tc>
        <w:tc>
          <w:tcPr>
            <w:tcW w:w="1817" w:type="dxa"/>
            <w:shd w:val="clear" w:color="auto" w:fill="F2F2F2" w:themeFill="background1" w:themeFillShade="F2"/>
          </w:tcPr>
          <w:p w14:paraId="59B9776A" w14:textId="77777777" w:rsidR="00F22268" w:rsidRPr="009D52D0" w:rsidRDefault="00F22268"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3B2715B2" w14:textId="77777777" w:rsidR="00F22268" w:rsidRPr="009D52D0" w:rsidRDefault="00F22268"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65780EA0" w14:textId="77777777" w:rsidR="00F22268" w:rsidRPr="009D52D0" w:rsidRDefault="00F22268" w:rsidP="003D1049">
            <w:pPr>
              <w:pStyle w:val="Tableoutcomeshead"/>
            </w:pPr>
            <w:r w:rsidRPr="009D52D0">
              <w:t>Section revised</w:t>
            </w:r>
            <w:r>
              <w:t xml:space="preserve"> (if applicable)</w:t>
            </w:r>
          </w:p>
        </w:tc>
        <w:tc>
          <w:tcPr>
            <w:tcW w:w="2318" w:type="dxa"/>
            <w:shd w:val="clear" w:color="auto" w:fill="F2F2F2" w:themeFill="background1" w:themeFillShade="F2"/>
          </w:tcPr>
          <w:p w14:paraId="49D5FC79" w14:textId="77777777" w:rsidR="00F22268" w:rsidRPr="009D52D0" w:rsidRDefault="00F22268" w:rsidP="003D1049">
            <w:pPr>
              <w:pStyle w:val="Tableoutcomeshead"/>
            </w:pPr>
            <w:r w:rsidRPr="009D52D0">
              <w:t>Impacts PLOs (Q6</w:t>
            </w:r>
            <w:r>
              <w:t xml:space="preserve"> </w:t>
            </w:r>
            <w:r w:rsidRPr="009D52D0">
              <w:t>&amp;</w:t>
            </w:r>
            <w:r>
              <w:t xml:space="preserve"> </w:t>
            </w:r>
            <w:r w:rsidRPr="009D52D0">
              <w:t>7 cover sheet)</w:t>
            </w:r>
          </w:p>
        </w:tc>
      </w:tr>
      <w:tr w:rsidR="00F22268" w:rsidRPr="009D52D0" w14:paraId="3EDC4375" w14:textId="77777777" w:rsidTr="00F22268">
        <w:trPr>
          <w:trHeight w:val="305"/>
        </w:trPr>
        <w:tc>
          <w:tcPr>
            <w:tcW w:w="1592" w:type="dxa"/>
          </w:tcPr>
          <w:p w14:paraId="04BDC5CE" w14:textId="664A841C" w:rsidR="00F22268" w:rsidRPr="009D52D0" w:rsidRDefault="00F22268" w:rsidP="00F22268">
            <w:pPr>
              <w:pStyle w:val="Tabledivuseonly"/>
            </w:pPr>
            <w:r w:rsidRPr="000A53FA">
              <w:t>12.10.2022</w:t>
            </w:r>
          </w:p>
        </w:tc>
        <w:tc>
          <w:tcPr>
            <w:tcW w:w="1817" w:type="dxa"/>
          </w:tcPr>
          <w:p w14:paraId="7F5A2781" w14:textId="53BB26AC" w:rsidR="00F22268" w:rsidRPr="009D52D0" w:rsidRDefault="00F22268" w:rsidP="00F22268">
            <w:pPr>
              <w:pStyle w:val="Tabledivuseonly"/>
            </w:pPr>
            <w:r w:rsidRPr="000A53FA">
              <w:t>Minor</w:t>
            </w:r>
          </w:p>
        </w:tc>
        <w:tc>
          <w:tcPr>
            <w:tcW w:w="2256" w:type="dxa"/>
          </w:tcPr>
          <w:p w14:paraId="40AA7E7E" w14:textId="4DC78207" w:rsidR="00F22268" w:rsidRPr="009D52D0" w:rsidRDefault="00F22268" w:rsidP="00F22268">
            <w:pPr>
              <w:pStyle w:val="Tabledivuseonly"/>
            </w:pPr>
            <w:r w:rsidRPr="000A53FA">
              <w:t>Sep 2023</w:t>
            </w:r>
          </w:p>
        </w:tc>
        <w:tc>
          <w:tcPr>
            <w:tcW w:w="2077" w:type="dxa"/>
          </w:tcPr>
          <w:p w14:paraId="67C380B6" w14:textId="79D435CF" w:rsidR="00F22268" w:rsidRPr="009D52D0" w:rsidRDefault="00F22268" w:rsidP="00F22268">
            <w:pPr>
              <w:pStyle w:val="Tabledivuseonly"/>
            </w:pPr>
            <w:r w:rsidRPr="000A53FA">
              <w:t>13</w:t>
            </w:r>
          </w:p>
        </w:tc>
        <w:tc>
          <w:tcPr>
            <w:tcW w:w="2318" w:type="dxa"/>
          </w:tcPr>
          <w:p w14:paraId="522DB742" w14:textId="5D213C49" w:rsidR="00F22268" w:rsidRPr="009D52D0" w:rsidRDefault="00F22268" w:rsidP="00F22268">
            <w:pPr>
              <w:pStyle w:val="Tabledivuseonly"/>
            </w:pPr>
            <w:r w:rsidRPr="000A53FA">
              <w:t>No</w:t>
            </w:r>
          </w:p>
        </w:tc>
      </w:tr>
      <w:tr w:rsidR="00F22268" w:rsidRPr="009D52D0" w14:paraId="1395FA97" w14:textId="77777777" w:rsidTr="00F22268">
        <w:trPr>
          <w:trHeight w:val="305"/>
        </w:trPr>
        <w:tc>
          <w:tcPr>
            <w:tcW w:w="1592" w:type="dxa"/>
          </w:tcPr>
          <w:p w14:paraId="2314A93C" w14:textId="77777777" w:rsidR="00F22268" w:rsidRPr="009D52D0" w:rsidRDefault="00F22268" w:rsidP="003D1049">
            <w:pPr>
              <w:pStyle w:val="Tabledivuseonly"/>
            </w:pPr>
          </w:p>
        </w:tc>
        <w:tc>
          <w:tcPr>
            <w:tcW w:w="1817" w:type="dxa"/>
          </w:tcPr>
          <w:p w14:paraId="6AAD3272" w14:textId="77777777" w:rsidR="00F22268" w:rsidRPr="009D52D0" w:rsidRDefault="00F22268" w:rsidP="003D1049">
            <w:pPr>
              <w:pStyle w:val="Tabledivuseonly"/>
            </w:pPr>
          </w:p>
        </w:tc>
        <w:tc>
          <w:tcPr>
            <w:tcW w:w="2256" w:type="dxa"/>
          </w:tcPr>
          <w:p w14:paraId="11751C7A" w14:textId="77777777" w:rsidR="00F22268" w:rsidRPr="009D52D0" w:rsidRDefault="00F22268" w:rsidP="003D1049">
            <w:pPr>
              <w:pStyle w:val="Tabledivuseonly"/>
            </w:pPr>
          </w:p>
        </w:tc>
        <w:tc>
          <w:tcPr>
            <w:tcW w:w="2077" w:type="dxa"/>
          </w:tcPr>
          <w:p w14:paraId="54D23EB9" w14:textId="77777777" w:rsidR="00F22268" w:rsidRPr="009D52D0" w:rsidRDefault="00F22268" w:rsidP="003D1049">
            <w:pPr>
              <w:pStyle w:val="Tabledivuseonly"/>
            </w:pPr>
          </w:p>
        </w:tc>
        <w:tc>
          <w:tcPr>
            <w:tcW w:w="2318" w:type="dxa"/>
          </w:tcPr>
          <w:p w14:paraId="20BD2736" w14:textId="77777777" w:rsidR="00F22268" w:rsidRPr="009D52D0" w:rsidRDefault="00F22268" w:rsidP="003D1049">
            <w:pPr>
              <w:pStyle w:val="Tabledivuseonly"/>
            </w:pPr>
          </w:p>
        </w:tc>
      </w:tr>
    </w:tbl>
    <w:p w14:paraId="7BBB40A1" w14:textId="77777777" w:rsidR="00F22268" w:rsidRDefault="00F22268" w:rsidP="00F22268">
      <w:pPr>
        <w:spacing w:after="120" w:line="240" w:lineRule="auto"/>
        <w:ind w:right="543"/>
        <w:rPr>
          <w:rFonts w:ascii="Arial" w:hAnsi="Arial" w:cs="Arial"/>
          <w:sz w:val="24"/>
          <w:szCs w:val="24"/>
        </w:rPr>
      </w:pPr>
    </w:p>
    <w:bookmarkEnd w:id="0"/>
    <w:p w14:paraId="59AB4F28" w14:textId="77777777" w:rsidR="00F22268" w:rsidRPr="00FC217A" w:rsidRDefault="00F22268" w:rsidP="00F22268">
      <w:pPr>
        <w:rPr>
          <w:rFonts w:ascii="Arial" w:hAnsi="Arial" w:cs="Arial"/>
          <w:sz w:val="24"/>
          <w:szCs w:val="24"/>
        </w:rPr>
      </w:pPr>
    </w:p>
    <w:bookmarkEnd w:id="1"/>
    <w:p w14:paraId="753E895D" w14:textId="77777777" w:rsidR="00F22268" w:rsidRPr="009D52D0" w:rsidRDefault="00F22268" w:rsidP="009D52D0">
      <w:pPr>
        <w:spacing w:after="120" w:line="240" w:lineRule="auto"/>
        <w:ind w:right="543"/>
        <w:rPr>
          <w:rFonts w:ascii="Arial" w:hAnsi="Arial" w:cs="Arial"/>
          <w:sz w:val="24"/>
          <w:szCs w:val="24"/>
        </w:rPr>
      </w:pPr>
    </w:p>
    <w:sectPr w:rsidR="00F22268"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8A811A6" w:rsidR="008B2543" w:rsidRDefault="0019787E" w:rsidP="009A2D37">
        <w:pPr>
          <w:pStyle w:val="Footer"/>
          <w:jc w:val="center"/>
        </w:pPr>
        <w:r>
          <w:fldChar w:fldCharType="begin"/>
        </w:r>
        <w:r>
          <w:instrText xml:space="preserve"> PAGE   \* MERGEFORMAT </w:instrText>
        </w:r>
        <w:r>
          <w:fldChar w:fldCharType="separate"/>
        </w:r>
        <w:r w:rsidR="00CC341F">
          <w:rPr>
            <w:noProof/>
          </w:rPr>
          <w:t>6</w:t>
        </w:r>
        <w:r>
          <w:rPr>
            <w:noProof/>
          </w:rPr>
          <w:fldChar w:fldCharType="end"/>
        </w:r>
      </w:p>
    </w:sdtContent>
  </w:sdt>
  <w:p w14:paraId="26569854" w14:textId="092280C5" w:rsidR="008B2543" w:rsidRPr="007B7724" w:rsidRDefault="008B2543" w:rsidP="00F22268">
    <w:pPr>
      <w:spacing w:after="0" w:line="240" w:lineRule="auto"/>
      <w:ind w:left="567" w:right="544"/>
      <w:jc w:val="both"/>
      <w:rPr>
        <w:rFonts w:ascii="Arial" w:hAnsi="Arial"/>
        <w:sz w:val="18"/>
      </w:rPr>
    </w:pPr>
    <w:r w:rsidRPr="007B7724">
      <w:rPr>
        <w:rFonts w:ascii="Arial" w:hAnsi="Arial"/>
        <w:sz w:val="18"/>
      </w:rPr>
      <w:t>Module Specification</w:t>
    </w:r>
    <w:r w:rsidR="00AD41E6">
      <w:rPr>
        <w:rFonts w:ascii="Arial" w:hAnsi="Arial"/>
        <w:sz w:val="18"/>
      </w:rPr>
      <w:t xml:space="preserve">: </w:t>
    </w:r>
    <w:r w:rsidR="00AD41E6" w:rsidRPr="00AD41E6">
      <w:rPr>
        <w:rFonts w:ascii="Arial" w:hAnsi="Arial"/>
        <w:sz w:val="18"/>
      </w:rPr>
      <w:t>ECON5460 Games for Economics and Business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2C77B8C" w:rsidR="00EB41D1" w:rsidRDefault="00EB41D1" w:rsidP="00EB41D1">
        <w:pPr>
          <w:pStyle w:val="Footer"/>
          <w:jc w:val="center"/>
        </w:pPr>
        <w:r>
          <w:fldChar w:fldCharType="begin"/>
        </w:r>
        <w:r>
          <w:instrText xml:space="preserve"> PAGE   \* MERGEFORMAT </w:instrText>
        </w:r>
        <w:r>
          <w:fldChar w:fldCharType="separate"/>
        </w:r>
        <w:r w:rsidR="00CC341F">
          <w:rPr>
            <w:noProof/>
          </w:rPr>
          <w:t>1</w:t>
        </w:r>
        <w:r>
          <w:rPr>
            <w:noProof/>
          </w:rPr>
          <w:fldChar w:fldCharType="end"/>
        </w:r>
      </w:p>
    </w:sdtContent>
  </w:sdt>
  <w:p w14:paraId="24F79DDC" w14:textId="6A66A607" w:rsidR="00F17B94" w:rsidRPr="002769D8" w:rsidRDefault="002769D8" w:rsidP="002769D8">
    <w:pPr>
      <w:spacing w:after="120" w:line="240" w:lineRule="auto"/>
      <w:ind w:left="567" w:right="543"/>
      <w:jc w:val="both"/>
      <w:rPr>
        <w:rFonts w:ascii="Arial" w:hAnsi="Arial"/>
        <w:sz w:val="18"/>
      </w:rPr>
    </w:pPr>
    <w:r w:rsidRPr="007B7724">
      <w:rPr>
        <w:rFonts w:ascii="Arial" w:hAnsi="Arial"/>
        <w:sz w:val="18"/>
      </w:rPr>
      <w:t>Module Specification</w:t>
    </w:r>
    <w:r>
      <w:rPr>
        <w:rFonts w:ascii="Arial" w:hAnsi="Arial"/>
        <w:sz w:val="18"/>
      </w:rPr>
      <w:t xml:space="preserve">: </w:t>
    </w:r>
    <w:r w:rsidRPr="00AD41E6">
      <w:rPr>
        <w:rFonts w:ascii="Arial" w:hAnsi="Arial"/>
        <w:sz w:val="18"/>
      </w:rPr>
      <w:t>ECON5460 Games for Economics and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E5D1CB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C4DB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1A2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DC92915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74EF3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3A879C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3C0B7C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0C2E2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A14784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B84DC0"/>
    <w:multiLevelType w:val="hybridMultilevel"/>
    <w:tmpl w:val="17242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45202971">
    <w:abstractNumId w:val="12"/>
  </w:num>
  <w:num w:numId="2" w16cid:durableId="497113062">
    <w:abstractNumId w:val="8"/>
  </w:num>
  <w:num w:numId="3" w16cid:durableId="1077437689">
    <w:abstractNumId w:val="13"/>
  </w:num>
  <w:num w:numId="4" w16cid:durableId="616107916">
    <w:abstractNumId w:val="10"/>
  </w:num>
  <w:num w:numId="5" w16cid:durableId="1615403955">
    <w:abstractNumId w:val="18"/>
  </w:num>
  <w:num w:numId="6" w16cid:durableId="1733969519">
    <w:abstractNumId w:val="16"/>
  </w:num>
  <w:num w:numId="7" w16cid:durableId="351490556">
    <w:abstractNumId w:val="19"/>
  </w:num>
  <w:num w:numId="8" w16cid:durableId="781343285">
    <w:abstractNumId w:val="17"/>
  </w:num>
  <w:num w:numId="9" w16cid:durableId="2084792248">
    <w:abstractNumId w:val="14"/>
  </w:num>
  <w:num w:numId="10" w16cid:durableId="21908650">
    <w:abstractNumId w:val="15"/>
  </w:num>
  <w:num w:numId="11" w16cid:durableId="1821462993">
    <w:abstractNumId w:val="20"/>
  </w:num>
  <w:num w:numId="12" w16cid:durableId="77102472">
    <w:abstractNumId w:val="9"/>
  </w:num>
  <w:num w:numId="13" w16cid:durableId="1104615992">
    <w:abstractNumId w:val="11"/>
  </w:num>
  <w:num w:numId="14" w16cid:durableId="612833571">
    <w:abstractNumId w:val="6"/>
  </w:num>
  <w:num w:numId="15" w16cid:durableId="368648472">
    <w:abstractNumId w:val="5"/>
  </w:num>
  <w:num w:numId="16" w16cid:durableId="983894975">
    <w:abstractNumId w:val="4"/>
  </w:num>
  <w:num w:numId="17" w16cid:durableId="413402433">
    <w:abstractNumId w:val="3"/>
  </w:num>
  <w:num w:numId="18" w16cid:durableId="727874444">
    <w:abstractNumId w:val="7"/>
  </w:num>
  <w:num w:numId="19" w16cid:durableId="176624670">
    <w:abstractNumId w:val="2"/>
  </w:num>
  <w:num w:numId="20" w16cid:durableId="1545366364">
    <w:abstractNumId w:val="1"/>
  </w:num>
  <w:num w:numId="21" w16cid:durableId="1262953390">
    <w:abstractNumId w:val="0"/>
  </w:num>
  <w:num w:numId="22" w16cid:durableId="1738749195">
    <w:abstractNumId w:val="12"/>
  </w:num>
  <w:num w:numId="23" w16cid:durableId="2077431805">
    <w:abstractNumId w:val="12"/>
  </w:num>
  <w:num w:numId="24" w16cid:durableId="185753543">
    <w:abstractNumId w:val="8"/>
  </w:num>
  <w:num w:numId="25" w16cid:durableId="1425416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182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769D8"/>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31DF"/>
    <w:rsid w:val="003262B9"/>
    <w:rsid w:val="00334A02"/>
    <w:rsid w:val="00335875"/>
    <w:rsid w:val="00335FBE"/>
    <w:rsid w:val="00350749"/>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6A83"/>
    <w:rsid w:val="00422B69"/>
    <w:rsid w:val="00423D86"/>
    <w:rsid w:val="00424C90"/>
    <w:rsid w:val="00426833"/>
    <w:rsid w:val="004323FD"/>
    <w:rsid w:val="00436BE9"/>
    <w:rsid w:val="00441E76"/>
    <w:rsid w:val="004443DA"/>
    <w:rsid w:val="00446A75"/>
    <w:rsid w:val="004474A2"/>
    <w:rsid w:val="004528EB"/>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D1E"/>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40FE"/>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41E6"/>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910"/>
    <w:rsid w:val="00C83354"/>
    <w:rsid w:val="00C84004"/>
    <w:rsid w:val="00C843F6"/>
    <w:rsid w:val="00C84507"/>
    <w:rsid w:val="00C862C7"/>
    <w:rsid w:val="00C866AE"/>
    <w:rsid w:val="00C943C3"/>
    <w:rsid w:val="00CA3254"/>
    <w:rsid w:val="00CB11CE"/>
    <w:rsid w:val="00CC25A2"/>
    <w:rsid w:val="00CC341F"/>
    <w:rsid w:val="00CD7F07"/>
    <w:rsid w:val="00CE04F3"/>
    <w:rsid w:val="00CE12D8"/>
    <w:rsid w:val="00CE4574"/>
    <w:rsid w:val="00CE70E6"/>
    <w:rsid w:val="00CF0BCA"/>
    <w:rsid w:val="00CF2E1E"/>
    <w:rsid w:val="00CF308D"/>
    <w:rsid w:val="00D02E99"/>
    <w:rsid w:val="00D13357"/>
    <w:rsid w:val="00D13A13"/>
    <w:rsid w:val="00D2689A"/>
    <w:rsid w:val="00D57DBB"/>
    <w:rsid w:val="00D65506"/>
    <w:rsid w:val="00D773CF"/>
    <w:rsid w:val="00D83563"/>
    <w:rsid w:val="00D8448F"/>
    <w:rsid w:val="00DA626D"/>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2268"/>
    <w:rsid w:val="00F244E2"/>
    <w:rsid w:val="00F30E31"/>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68"/>
    <w:rPr>
      <w:rFonts w:eastAsiaTheme="minorEastAsia"/>
      <w:lang w:eastAsia="en-GB"/>
    </w:rPr>
  </w:style>
  <w:style w:type="paragraph" w:styleId="Heading1">
    <w:name w:val="heading 1"/>
    <w:basedOn w:val="Normal"/>
    <w:next w:val="Normal"/>
    <w:link w:val="Heading1Char"/>
    <w:qFormat/>
    <w:rsid w:val="00F22268"/>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F22268"/>
    <w:pPr>
      <w:ind w:left="567" w:hanging="567"/>
      <w:outlineLvl w:val="1"/>
    </w:pPr>
  </w:style>
  <w:style w:type="paragraph" w:styleId="Heading3">
    <w:name w:val="heading 3"/>
    <w:basedOn w:val="Normal"/>
    <w:next w:val="Normal"/>
    <w:link w:val="Heading3Char"/>
    <w:uiPriority w:val="9"/>
    <w:unhideWhenUsed/>
    <w:qFormat/>
    <w:rsid w:val="00F222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F22268"/>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F222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2268"/>
  </w:style>
  <w:style w:type="character" w:styleId="Hyperlink">
    <w:name w:val="Hyperlink"/>
    <w:rsid w:val="00F22268"/>
    <w:rPr>
      <w:color w:val="0000FF"/>
      <w:u w:val="single"/>
    </w:rPr>
  </w:style>
  <w:style w:type="paragraph" w:customStyle="1" w:styleId="Default">
    <w:name w:val="Default"/>
    <w:rsid w:val="00F2226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F222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2268"/>
    <w:pPr>
      <w:ind w:left="720"/>
      <w:contextualSpacing/>
    </w:pPr>
  </w:style>
  <w:style w:type="paragraph" w:styleId="Header">
    <w:name w:val="header"/>
    <w:basedOn w:val="Normal"/>
    <w:link w:val="HeaderChar"/>
    <w:uiPriority w:val="99"/>
    <w:unhideWhenUsed/>
    <w:rsid w:val="00F22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268"/>
    <w:rPr>
      <w:rFonts w:eastAsiaTheme="minorEastAsia"/>
      <w:lang w:eastAsia="en-GB"/>
    </w:rPr>
  </w:style>
  <w:style w:type="paragraph" w:styleId="Footer">
    <w:name w:val="footer"/>
    <w:basedOn w:val="Normal"/>
    <w:link w:val="FooterChar"/>
    <w:uiPriority w:val="99"/>
    <w:unhideWhenUsed/>
    <w:rsid w:val="00F22268"/>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F22268"/>
    <w:rPr>
      <w:rFonts w:ascii="Arial" w:eastAsiaTheme="minorEastAsia" w:hAnsi="Arial"/>
      <w:sz w:val="20"/>
      <w:lang w:eastAsia="en-GB"/>
    </w:rPr>
  </w:style>
  <w:style w:type="character" w:customStyle="1" w:styleId="Heading1Char">
    <w:name w:val="Heading 1 Char"/>
    <w:basedOn w:val="DefaultParagraphFont"/>
    <w:link w:val="Heading1"/>
    <w:rsid w:val="00F22268"/>
    <w:rPr>
      <w:rFonts w:ascii="Plantin" w:eastAsia="Times New Roman" w:hAnsi="Plantin" w:cs="Times New Roman"/>
      <w:b/>
      <w:sz w:val="24"/>
      <w:szCs w:val="20"/>
    </w:rPr>
  </w:style>
  <w:style w:type="paragraph" w:styleId="ListBullet">
    <w:name w:val="List Bullet"/>
    <w:basedOn w:val="Normal"/>
    <w:uiPriority w:val="99"/>
    <w:unhideWhenUsed/>
    <w:rsid w:val="00F22268"/>
    <w:pPr>
      <w:numPr>
        <w:numId w:val="24"/>
      </w:numPr>
      <w:spacing w:before="120" w:after="120" w:line="240" w:lineRule="auto"/>
    </w:pPr>
    <w:rPr>
      <w:rFonts w:ascii="Arial" w:hAnsi="Arial"/>
      <w:sz w:val="24"/>
    </w:rPr>
  </w:style>
  <w:style w:type="table" w:styleId="TableGrid">
    <w:name w:val="Table Grid"/>
    <w:basedOn w:val="TableNormal"/>
    <w:uiPriority w:val="59"/>
    <w:rsid w:val="00F2226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2268"/>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F22268"/>
    <w:rPr>
      <w:rFonts w:ascii="Plantin" w:eastAsia="Times New Roman" w:hAnsi="Plantin" w:cs="Times New Roman"/>
      <w:b/>
      <w:sz w:val="24"/>
      <w:szCs w:val="20"/>
    </w:rPr>
  </w:style>
  <w:style w:type="paragraph" w:styleId="FootnoteText">
    <w:name w:val="footnote text"/>
    <w:basedOn w:val="Normal"/>
    <w:link w:val="FootnoteTextChar"/>
    <w:semiHidden/>
    <w:rsid w:val="00F22268"/>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F22268"/>
    <w:rPr>
      <w:rFonts w:ascii="Times New Roman" w:eastAsia="Times New Roman" w:hAnsi="Times New Roman" w:cs="Times New Roman"/>
      <w:sz w:val="20"/>
      <w:szCs w:val="20"/>
    </w:rPr>
  </w:style>
  <w:style w:type="character" w:styleId="FootnoteReference">
    <w:name w:val="footnote reference"/>
    <w:semiHidden/>
    <w:rsid w:val="00F22268"/>
    <w:rPr>
      <w:vertAlign w:val="superscript"/>
    </w:rPr>
  </w:style>
  <w:style w:type="paragraph" w:styleId="BalloonText">
    <w:name w:val="Balloon Text"/>
    <w:basedOn w:val="Normal"/>
    <w:link w:val="BalloonTextChar"/>
    <w:uiPriority w:val="99"/>
    <w:semiHidden/>
    <w:unhideWhenUsed/>
    <w:rsid w:val="00F2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68"/>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F22268"/>
    <w:rPr>
      <w:color w:val="800080" w:themeColor="followedHyperlink"/>
      <w:u w:val="single"/>
    </w:rPr>
  </w:style>
  <w:style w:type="character" w:styleId="CommentReference">
    <w:name w:val="annotation reference"/>
    <w:basedOn w:val="DefaultParagraphFont"/>
    <w:uiPriority w:val="99"/>
    <w:semiHidden/>
    <w:unhideWhenUsed/>
    <w:rsid w:val="00F22268"/>
    <w:rPr>
      <w:sz w:val="16"/>
      <w:szCs w:val="16"/>
    </w:rPr>
  </w:style>
  <w:style w:type="paragraph" w:styleId="CommentText">
    <w:name w:val="annotation text"/>
    <w:basedOn w:val="Normal"/>
    <w:link w:val="CommentTextChar"/>
    <w:uiPriority w:val="99"/>
    <w:semiHidden/>
    <w:unhideWhenUsed/>
    <w:rsid w:val="00F22268"/>
    <w:pPr>
      <w:spacing w:line="240" w:lineRule="auto"/>
    </w:pPr>
    <w:rPr>
      <w:sz w:val="20"/>
      <w:szCs w:val="20"/>
    </w:rPr>
  </w:style>
  <w:style w:type="character" w:customStyle="1" w:styleId="CommentTextChar">
    <w:name w:val="Comment Text Char"/>
    <w:basedOn w:val="DefaultParagraphFont"/>
    <w:link w:val="CommentText"/>
    <w:uiPriority w:val="99"/>
    <w:semiHidden/>
    <w:rsid w:val="00F2226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22268"/>
    <w:rPr>
      <w:b/>
      <w:bCs/>
    </w:rPr>
  </w:style>
  <w:style w:type="character" w:customStyle="1" w:styleId="CommentSubjectChar">
    <w:name w:val="Comment Subject Char"/>
    <w:basedOn w:val="CommentTextChar"/>
    <w:link w:val="CommentSubject"/>
    <w:uiPriority w:val="99"/>
    <w:semiHidden/>
    <w:rsid w:val="00F22268"/>
    <w:rPr>
      <w:rFonts w:eastAsiaTheme="minorEastAsia"/>
      <w:b/>
      <w:bCs/>
      <w:sz w:val="20"/>
      <w:szCs w:val="20"/>
      <w:lang w:eastAsia="en-GB"/>
    </w:rPr>
  </w:style>
  <w:style w:type="table" w:customStyle="1" w:styleId="TableGrid1">
    <w:name w:val="Table Grid1"/>
    <w:basedOn w:val="TableNormal"/>
    <w:next w:val="TableGrid"/>
    <w:uiPriority w:val="59"/>
    <w:rsid w:val="00F2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F22268"/>
  </w:style>
  <w:style w:type="paragraph" w:styleId="PlainText">
    <w:name w:val="Plain Text"/>
    <w:basedOn w:val="Normal"/>
    <w:link w:val="PlainTextChar"/>
    <w:uiPriority w:val="99"/>
    <w:unhideWhenUsed/>
    <w:rsid w:val="00F2226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22268"/>
    <w:rPr>
      <w:rFonts w:ascii="Calibri" w:hAnsi="Calibri"/>
      <w:szCs w:val="21"/>
    </w:rPr>
  </w:style>
  <w:style w:type="table" w:styleId="LightList">
    <w:name w:val="Light List"/>
    <w:basedOn w:val="TableNormal"/>
    <w:uiPriority w:val="61"/>
    <w:rsid w:val="00F222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F22268"/>
    <w:rPr>
      <w:b/>
      <w:bCs/>
    </w:rPr>
  </w:style>
  <w:style w:type="character" w:customStyle="1" w:styleId="UnresolvedMention1">
    <w:name w:val="Unresolved Mention1"/>
    <w:basedOn w:val="DefaultParagraphFont"/>
    <w:uiPriority w:val="99"/>
    <w:semiHidden/>
    <w:unhideWhenUsed/>
    <w:rsid w:val="00F22268"/>
    <w:rPr>
      <w:color w:val="605E5C"/>
      <w:shd w:val="clear" w:color="auto" w:fill="E1DFDD"/>
    </w:rPr>
  </w:style>
  <w:style w:type="table" w:customStyle="1" w:styleId="TableGrid11">
    <w:name w:val="Table Grid11"/>
    <w:basedOn w:val="TableNormal"/>
    <w:next w:val="TableGrid"/>
    <w:uiPriority w:val="59"/>
    <w:rsid w:val="00F2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22268"/>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F2226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F22268"/>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416A8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A626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1E6"/>
    <w:pPr>
      <w:spacing w:after="0" w:line="240" w:lineRule="auto"/>
    </w:pPr>
    <w:rPr>
      <w:rFonts w:eastAsiaTheme="minorEastAsia"/>
      <w:lang w:eastAsia="en-GB"/>
    </w:rPr>
  </w:style>
  <w:style w:type="paragraph" w:styleId="ListNumber2">
    <w:name w:val="List Number 2"/>
    <w:basedOn w:val="BodyText"/>
    <w:uiPriority w:val="99"/>
    <w:unhideWhenUsed/>
    <w:rsid w:val="00F22268"/>
    <w:pPr>
      <w:ind w:left="1021" w:hanging="454"/>
    </w:pPr>
  </w:style>
  <w:style w:type="paragraph" w:styleId="BodyText">
    <w:name w:val="Body Text"/>
    <w:basedOn w:val="Normal"/>
    <w:link w:val="BodyTextChar"/>
    <w:uiPriority w:val="99"/>
    <w:unhideWhenUsed/>
    <w:rsid w:val="00F22268"/>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22268"/>
    <w:rPr>
      <w:rFonts w:ascii="Arial" w:eastAsiaTheme="minorEastAsia" w:hAnsi="Arial"/>
      <w:sz w:val="24"/>
      <w:lang w:eastAsia="en-GB"/>
    </w:rPr>
  </w:style>
  <w:style w:type="character" w:customStyle="1" w:styleId="Heading3Char">
    <w:name w:val="Heading 3 Char"/>
    <w:basedOn w:val="DefaultParagraphFont"/>
    <w:link w:val="Heading3"/>
    <w:uiPriority w:val="9"/>
    <w:rsid w:val="00F2226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F22268"/>
    <w:rPr>
      <w:rFonts w:ascii="Arial" w:eastAsiaTheme="majorEastAsia" w:hAnsi="Arial" w:cstheme="majorBidi"/>
      <w:b/>
      <w:i/>
      <w:iCs/>
      <w:lang w:eastAsia="en-GB"/>
    </w:rPr>
  </w:style>
  <w:style w:type="paragraph" w:styleId="ListNumber3">
    <w:name w:val="List Number 3"/>
    <w:basedOn w:val="Normal"/>
    <w:uiPriority w:val="99"/>
    <w:unhideWhenUsed/>
    <w:rsid w:val="00F22268"/>
    <w:pPr>
      <w:numPr>
        <w:numId w:val="25"/>
      </w:numPr>
      <w:spacing w:before="120" w:after="240" w:line="240" w:lineRule="auto"/>
    </w:pPr>
    <w:rPr>
      <w:rFonts w:ascii="Arial" w:hAnsi="Arial"/>
      <w:sz w:val="24"/>
    </w:rPr>
  </w:style>
  <w:style w:type="paragraph" w:customStyle="1" w:styleId="Tableanswer">
    <w:name w:val="Table answer"/>
    <w:basedOn w:val="Normal"/>
    <w:qFormat/>
    <w:rsid w:val="00F22268"/>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F22268"/>
    <w:pPr>
      <w:spacing w:after="120" w:line="240" w:lineRule="auto"/>
    </w:pPr>
    <w:rPr>
      <w:rFonts w:ascii="Arial" w:hAnsi="Arial" w:cs="Arial"/>
      <w:sz w:val="20"/>
      <w:szCs w:val="20"/>
    </w:rPr>
  </w:style>
  <w:style w:type="paragraph" w:customStyle="1" w:styleId="Tableoutcomecrosses">
    <w:name w:val="Table outcome crosses"/>
    <w:basedOn w:val="Normal"/>
    <w:qFormat/>
    <w:rsid w:val="00F22268"/>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F22268"/>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F22268"/>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F22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76591-E8AB-4CBA-A32F-97F12595A38D}"/>
</file>

<file path=customXml/itemProps2.xml><?xml version="1.0" encoding="utf-8"?>
<ds:datastoreItem xmlns:ds="http://schemas.openxmlformats.org/officeDocument/2006/customXml" ds:itemID="{7E8EB8C4-E21F-41E8-BEE6-B41DD73F5376}">
  <ds:schemaRefs>
    <ds:schemaRef ds:uri="http://schemas.openxmlformats.org/officeDocument/2006/bibliography"/>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fe6ac463-7d16-4f7e-a9c7-d94014c384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061cf8-965b-41d1-b73f-08c05eb051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2022-11-09T10:21:00Z</dcterms:created>
  <dcterms:modified xsi:type="dcterms:W3CDTF">2023-01-10T14:49:00Z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