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73E754B5" w:rsidR="00441215" w:rsidRDefault="003D78FF" w:rsidP="00637C69">
      <w:pPr>
        <w:spacing w:after="120" w:line="240" w:lineRule="auto"/>
        <w:ind w:left="567" w:right="260"/>
        <w:jc w:val="both"/>
        <w:rPr>
          <w:rFonts w:ascii="Arial" w:hAnsi="Arial" w:cs="Arial"/>
        </w:rPr>
      </w:pPr>
      <w:r>
        <w:rPr>
          <w:rFonts w:ascii="Arial" w:hAnsi="Arial" w:cs="Arial"/>
        </w:rPr>
        <w:t>ECON5000 (EC500</w:t>
      </w:r>
      <w:r w:rsidR="00441215" w:rsidRPr="00441215">
        <w:rPr>
          <w:rFonts w:ascii="Arial" w:hAnsi="Arial" w:cs="Arial"/>
        </w:rPr>
        <w:t xml:space="preserve">) </w:t>
      </w:r>
      <w:r w:rsidRPr="00DF7DC7">
        <w:rPr>
          <w:rFonts w:ascii="Arial" w:hAnsi="Arial" w:cs="Arial"/>
        </w:rPr>
        <w:t>Microeconomics</w:t>
      </w:r>
    </w:p>
    <w:p w14:paraId="63CBCF9D" w14:textId="77777777" w:rsidR="009A2D37" w:rsidRPr="00302082" w:rsidRDefault="009A2D37" w:rsidP="00914A6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914A6B">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7852C9D"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76688">
        <w:rPr>
          <w:rFonts w:ascii="Arial" w:hAnsi="Arial" w:cs="Arial"/>
        </w:rPr>
        <w:t>5</w:t>
      </w:r>
    </w:p>
    <w:p w14:paraId="2F1C529A" w14:textId="77777777" w:rsidR="009A2D37" w:rsidRPr="00302082" w:rsidRDefault="009A2D37" w:rsidP="00914A6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6B4207FA" w:rsidR="009A2D37" w:rsidRPr="00441215" w:rsidRDefault="00F76688"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009A2D37" w:rsidRPr="00441215">
        <w:rPr>
          <w:rFonts w:ascii="Arial" w:hAnsi="Arial" w:cs="Arial"/>
          <w:sz w:val="22"/>
          <w:szCs w:val="22"/>
        </w:rPr>
        <w:t xml:space="preserve"> ECTS)</w:t>
      </w:r>
    </w:p>
    <w:p w14:paraId="30D9D289" w14:textId="77777777" w:rsidR="009A2D37" w:rsidRPr="00302082" w:rsidRDefault="009A2D37" w:rsidP="00914A6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3F46229" w:rsidR="00441215" w:rsidRDefault="00F76688" w:rsidP="00696FF5">
      <w:pPr>
        <w:spacing w:after="120" w:line="240" w:lineRule="auto"/>
        <w:ind w:left="567" w:right="260"/>
        <w:jc w:val="both"/>
        <w:rPr>
          <w:rFonts w:ascii="Arial" w:hAnsi="Arial" w:cs="Arial"/>
          <w:iCs/>
        </w:rPr>
      </w:pPr>
      <w:r>
        <w:rPr>
          <w:rFonts w:ascii="Arial" w:hAnsi="Arial" w:cs="Arial"/>
          <w:iCs/>
        </w:rPr>
        <w:t>Autumn and Spring</w:t>
      </w:r>
    </w:p>
    <w:p w14:paraId="6051EBF4" w14:textId="77777777" w:rsidR="009A2D37" w:rsidRPr="00302082" w:rsidRDefault="009A2D37" w:rsidP="00914A6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7CA1184E" w14:textId="77777777" w:rsidR="007E055E" w:rsidRDefault="007E055E" w:rsidP="00F76688">
      <w:pPr>
        <w:spacing w:after="120" w:line="240" w:lineRule="auto"/>
        <w:ind w:left="567" w:right="260"/>
        <w:rPr>
          <w:rFonts w:ascii="Arial" w:hAnsi="Arial" w:cs="Arial"/>
          <w:iCs/>
          <w:color w:val="000000" w:themeColor="text1"/>
        </w:rPr>
      </w:pPr>
      <w:r>
        <w:rPr>
          <w:rFonts w:ascii="Arial" w:hAnsi="Arial" w:cs="Arial"/>
          <w:iCs/>
          <w:color w:val="000000" w:themeColor="text1"/>
        </w:rPr>
        <w:t>Pre Requisites:</w:t>
      </w:r>
    </w:p>
    <w:p w14:paraId="53DC0BD8" w14:textId="4B2E5F9F" w:rsidR="00F76688"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304</w:t>
      </w:r>
      <w:r>
        <w:rPr>
          <w:rFonts w:ascii="Arial" w:hAnsi="Arial" w:cs="Arial"/>
          <w:iCs/>
          <w:color w:val="000000" w:themeColor="text1"/>
        </w:rPr>
        <w:t>0</w:t>
      </w:r>
      <w:r w:rsidRPr="00F76688">
        <w:rPr>
          <w:rFonts w:ascii="Arial" w:hAnsi="Arial" w:cs="Arial"/>
          <w:iCs/>
          <w:color w:val="000000" w:themeColor="text1"/>
        </w:rPr>
        <w:t xml:space="preserve"> Principles of Economics, </w:t>
      </w:r>
    </w:p>
    <w:p w14:paraId="6E5B22C0" w14:textId="6E3BDA3C" w:rsidR="00F76688"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305</w:t>
      </w:r>
      <w:r>
        <w:rPr>
          <w:rFonts w:ascii="Arial" w:hAnsi="Arial" w:cs="Arial"/>
          <w:iCs/>
          <w:color w:val="000000" w:themeColor="text1"/>
        </w:rPr>
        <w:t>0</w:t>
      </w: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306</w:t>
      </w:r>
      <w:r>
        <w:rPr>
          <w:rFonts w:ascii="Arial" w:hAnsi="Arial" w:cs="Arial"/>
          <w:iCs/>
          <w:color w:val="000000" w:themeColor="text1"/>
        </w:rPr>
        <w:t>0</w:t>
      </w:r>
      <w:r w:rsidRPr="00F76688">
        <w:rPr>
          <w:rFonts w:ascii="Arial" w:hAnsi="Arial" w:cs="Arial"/>
          <w:iCs/>
          <w:color w:val="000000" w:themeColor="text1"/>
        </w:rPr>
        <w:t xml:space="preserve"> Mathematics for Economics Mode A or B, </w:t>
      </w:r>
    </w:p>
    <w:p w14:paraId="46A70B6B" w14:textId="6D7D8968" w:rsidR="009A2D37"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309</w:t>
      </w:r>
      <w:r>
        <w:rPr>
          <w:rFonts w:ascii="Arial" w:hAnsi="Arial" w:cs="Arial"/>
          <w:iCs/>
          <w:color w:val="000000" w:themeColor="text1"/>
        </w:rPr>
        <w:t>0</w:t>
      </w:r>
      <w:r w:rsidRPr="00F76688">
        <w:rPr>
          <w:rFonts w:ascii="Arial" w:hAnsi="Arial" w:cs="Arial"/>
          <w:iCs/>
          <w:color w:val="000000" w:themeColor="text1"/>
        </w:rPr>
        <w:t xml:space="preserve"> Statistics for Economics, or equivalent</w:t>
      </w:r>
    </w:p>
    <w:p w14:paraId="116DDC78" w14:textId="77777777" w:rsidR="009A2D37" w:rsidRPr="00302082" w:rsidRDefault="009A2D37" w:rsidP="00914A6B">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34954BB2" w14:textId="28F55549" w:rsidR="00F01DBD" w:rsidRDefault="00F01DBD" w:rsidP="00F01DBD">
      <w:pPr>
        <w:pStyle w:val="TxBrp3"/>
        <w:spacing w:after="120" w:line="240" w:lineRule="auto"/>
        <w:ind w:left="567" w:right="260"/>
        <w:rPr>
          <w:rFonts w:ascii="Arial" w:hAnsi="Arial" w:cs="Arial"/>
          <w:sz w:val="22"/>
          <w:szCs w:val="22"/>
        </w:rPr>
      </w:pPr>
      <w:r>
        <w:rPr>
          <w:rFonts w:ascii="Arial" w:hAnsi="Arial" w:cs="Arial"/>
          <w:sz w:val="22"/>
          <w:szCs w:val="22"/>
        </w:rPr>
        <w:t xml:space="preserve">This is a compulsory </w:t>
      </w:r>
      <w:r w:rsidRPr="00DF7DC7">
        <w:rPr>
          <w:rFonts w:ascii="Arial" w:hAnsi="Arial" w:cs="Arial"/>
          <w:sz w:val="22"/>
          <w:szCs w:val="22"/>
        </w:rPr>
        <w:t xml:space="preserve">module for all students following </w:t>
      </w:r>
      <w:r>
        <w:rPr>
          <w:rFonts w:ascii="Arial" w:hAnsi="Arial" w:cs="Arial"/>
          <w:sz w:val="22"/>
          <w:szCs w:val="22"/>
        </w:rPr>
        <w:t xml:space="preserve">both </w:t>
      </w:r>
      <w:r w:rsidR="009F0BCC">
        <w:rPr>
          <w:rFonts w:ascii="Arial" w:hAnsi="Arial" w:cs="Arial"/>
          <w:sz w:val="22"/>
          <w:szCs w:val="22"/>
        </w:rPr>
        <w:t>S</w:t>
      </w:r>
      <w:r>
        <w:rPr>
          <w:rFonts w:ascii="Arial" w:hAnsi="Arial" w:cs="Arial"/>
          <w:sz w:val="22"/>
          <w:szCs w:val="22"/>
        </w:rPr>
        <w:t xml:space="preserve">ingle and Joint </w:t>
      </w:r>
      <w:r w:rsidR="009F0BCC">
        <w:rPr>
          <w:rFonts w:ascii="Arial" w:hAnsi="Arial" w:cs="Arial"/>
          <w:sz w:val="22"/>
          <w:szCs w:val="22"/>
        </w:rPr>
        <w:t xml:space="preserve">Honours </w:t>
      </w:r>
      <w:r w:rsidRPr="00DF7DC7">
        <w:rPr>
          <w:rFonts w:ascii="Arial" w:hAnsi="Arial" w:cs="Arial"/>
          <w:sz w:val="22"/>
          <w:szCs w:val="22"/>
        </w:rPr>
        <w:t>degree programmes</w:t>
      </w:r>
      <w:r w:rsidR="009F0BCC">
        <w:rPr>
          <w:rFonts w:ascii="Arial" w:hAnsi="Arial" w:cs="Arial"/>
          <w:sz w:val="22"/>
          <w:szCs w:val="22"/>
        </w:rPr>
        <w:t xml:space="preserve"> in Economics</w:t>
      </w:r>
      <w:r w:rsidRPr="00DF7DC7">
        <w:rPr>
          <w:rFonts w:ascii="Arial" w:hAnsi="Arial" w:cs="Arial"/>
          <w:sz w:val="22"/>
          <w:szCs w:val="22"/>
        </w:rPr>
        <w:t>.</w:t>
      </w:r>
      <w:r>
        <w:rPr>
          <w:rFonts w:ascii="Arial" w:hAnsi="Arial" w:cs="Arial"/>
          <w:sz w:val="22"/>
          <w:szCs w:val="22"/>
        </w:rPr>
        <w:t xml:space="preserve">  </w:t>
      </w:r>
    </w:p>
    <w:p w14:paraId="5E85AB5A" w14:textId="4B4AB223" w:rsidR="00F01DBD" w:rsidRDefault="00F01DBD" w:rsidP="00F01DBD">
      <w:pPr>
        <w:pStyle w:val="TxBrp3"/>
        <w:spacing w:after="120" w:line="240" w:lineRule="auto"/>
        <w:ind w:left="567" w:right="260"/>
        <w:rPr>
          <w:rFonts w:ascii="Arial" w:hAnsi="Arial" w:cs="Arial"/>
          <w:color w:val="000000" w:themeColor="text1"/>
        </w:rPr>
      </w:pPr>
      <w:r>
        <w:rPr>
          <w:rFonts w:ascii="Arial" w:hAnsi="Arial" w:cs="Arial"/>
          <w:sz w:val="22"/>
          <w:szCs w:val="22"/>
        </w:rPr>
        <w:t xml:space="preserve">This is also a compulsory module for students following Accounting and Finance </w:t>
      </w:r>
      <w:r w:rsidR="00B866F9">
        <w:rPr>
          <w:rFonts w:ascii="Arial" w:hAnsi="Arial" w:cs="Arial"/>
          <w:sz w:val="22"/>
          <w:szCs w:val="22"/>
        </w:rPr>
        <w:t xml:space="preserve">and </w:t>
      </w:r>
      <w:r>
        <w:rPr>
          <w:rFonts w:ascii="Arial" w:hAnsi="Arial" w:cs="Arial"/>
          <w:sz w:val="22"/>
          <w:szCs w:val="22"/>
        </w:rPr>
        <w:t>Economics, Law and Economics</w:t>
      </w:r>
      <w:r w:rsidR="00B866F9">
        <w:rPr>
          <w:rFonts w:ascii="Arial" w:hAnsi="Arial" w:cs="Arial"/>
          <w:sz w:val="22"/>
          <w:szCs w:val="22"/>
        </w:rPr>
        <w:t>,</w:t>
      </w:r>
      <w:r>
        <w:rPr>
          <w:rFonts w:ascii="Arial" w:hAnsi="Arial" w:cs="Arial"/>
          <w:sz w:val="22"/>
          <w:szCs w:val="22"/>
        </w:rPr>
        <w:t xml:space="preserve"> and Sociology and Economics</w:t>
      </w:r>
      <w:r w:rsidR="00B866F9">
        <w:rPr>
          <w:rFonts w:ascii="Arial" w:hAnsi="Arial" w:cs="Arial"/>
          <w:sz w:val="22"/>
          <w:szCs w:val="22"/>
        </w:rPr>
        <w:t>,</w:t>
      </w:r>
      <w:r>
        <w:rPr>
          <w:rFonts w:ascii="Arial" w:hAnsi="Arial" w:cs="Arial"/>
          <w:sz w:val="22"/>
          <w:szCs w:val="22"/>
        </w:rPr>
        <w:t xml:space="preserve"> and their associated programmes.</w:t>
      </w:r>
    </w:p>
    <w:p w14:paraId="490B84AB" w14:textId="5739AC42" w:rsidR="00F01DBD" w:rsidRDefault="00F01DBD" w:rsidP="00F01DBD">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available to students across other degree programmes in the University</w:t>
      </w:r>
      <w:r w:rsidR="009F0BCC">
        <w:rPr>
          <w:rFonts w:ascii="Arial" w:hAnsi="Arial" w:cs="Arial"/>
          <w:color w:val="000000" w:themeColor="text1"/>
        </w:rPr>
        <w:t>.</w:t>
      </w:r>
    </w:p>
    <w:p w14:paraId="2FCCE5F6" w14:textId="77777777" w:rsidR="000E4603" w:rsidRDefault="009A2D37" w:rsidP="00CA2588">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D35A5E" w14:textId="1172314A" w:rsidR="00240D7F" w:rsidRPr="00B75A16" w:rsidRDefault="00240D7F" w:rsidP="00240D7F">
      <w:pPr>
        <w:pStyle w:val="TxBrp6"/>
        <w:numPr>
          <w:ilvl w:val="1"/>
          <w:numId w:val="1"/>
        </w:numPr>
        <w:tabs>
          <w:tab w:val="clear" w:pos="362"/>
        </w:tabs>
        <w:spacing w:line="240" w:lineRule="auto"/>
        <w:ind w:left="1276" w:hanging="567"/>
        <w:rPr>
          <w:rFonts w:ascii="Arial" w:hAnsi="Arial" w:cs="Arial"/>
          <w:sz w:val="22"/>
          <w:szCs w:val="22"/>
        </w:rPr>
      </w:pPr>
      <w:r w:rsidRPr="00B75A16">
        <w:rPr>
          <w:rFonts w:ascii="Arial" w:hAnsi="Arial" w:cs="Arial"/>
          <w:sz w:val="22"/>
          <w:szCs w:val="22"/>
        </w:rPr>
        <w:t>Understand the fundamental theoretical foundations of microeconomics</w:t>
      </w:r>
      <w:r w:rsidR="00665681" w:rsidRPr="00B75A16">
        <w:rPr>
          <w:rFonts w:ascii="Arial" w:hAnsi="Arial" w:cs="Arial"/>
          <w:sz w:val="22"/>
          <w:szCs w:val="22"/>
        </w:rPr>
        <w:t xml:space="preserve"> </w:t>
      </w:r>
    </w:p>
    <w:p w14:paraId="0B7CEDA2" w14:textId="3D59C494" w:rsidR="00BB17AA" w:rsidRDefault="00BB17AA" w:rsidP="00BB17AA">
      <w:pPr>
        <w:pStyle w:val="TxBrp6"/>
        <w:numPr>
          <w:ilvl w:val="1"/>
          <w:numId w:val="1"/>
        </w:numPr>
        <w:spacing w:line="240" w:lineRule="auto"/>
        <w:ind w:left="1276" w:hanging="567"/>
        <w:rPr>
          <w:rFonts w:ascii="Arial" w:hAnsi="Arial" w:cs="Arial"/>
          <w:sz w:val="22"/>
          <w:szCs w:val="22"/>
        </w:rPr>
      </w:pPr>
      <w:r>
        <w:rPr>
          <w:rFonts w:ascii="Arial" w:hAnsi="Arial" w:cs="Arial"/>
          <w:sz w:val="22"/>
          <w:szCs w:val="22"/>
        </w:rPr>
        <w:t>Analyse the behaviour and interaction of economic agents in a market economy</w:t>
      </w:r>
    </w:p>
    <w:p w14:paraId="5EC3F9AF" w14:textId="77777777" w:rsidR="00B75A16" w:rsidRPr="00B5302F" w:rsidRDefault="00B75A16" w:rsidP="00B75A16">
      <w:pPr>
        <w:pStyle w:val="TxBrp6"/>
        <w:numPr>
          <w:ilvl w:val="1"/>
          <w:numId w:val="1"/>
        </w:numPr>
        <w:spacing w:line="240" w:lineRule="auto"/>
        <w:ind w:left="1276" w:hanging="567"/>
        <w:rPr>
          <w:rFonts w:ascii="Arial" w:hAnsi="Arial" w:cs="Arial"/>
          <w:color w:val="000000" w:themeColor="text1"/>
          <w:sz w:val="22"/>
          <w:szCs w:val="22"/>
        </w:rPr>
      </w:pPr>
      <w:r w:rsidRPr="00B75A16">
        <w:rPr>
          <w:rFonts w:ascii="Arial" w:hAnsi="Arial" w:cs="Arial"/>
          <w:sz w:val="22"/>
          <w:szCs w:val="22"/>
        </w:rPr>
        <w:t xml:space="preserve">Apply concepts, theories and methods used in the study of microeconomics to the analysis of consumer </w:t>
      </w:r>
      <w:r w:rsidRPr="00B5302F">
        <w:rPr>
          <w:rFonts w:ascii="Arial" w:hAnsi="Arial" w:cs="Arial"/>
          <w:color w:val="000000" w:themeColor="text1"/>
          <w:sz w:val="22"/>
          <w:szCs w:val="22"/>
        </w:rPr>
        <w:t>behaviour, firm behaviour and economic policies</w:t>
      </w:r>
    </w:p>
    <w:p w14:paraId="2605DDD9" w14:textId="77777777" w:rsidR="00B5302F" w:rsidRPr="00B5302F" w:rsidRDefault="00B75A16" w:rsidP="00B5302F">
      <w:pPr>
        <w:pStyle w:val="TxBrp6"/>
        <w:numPr>
          <w:ilvl w:val="1"/>
          <w:numId w:val="1"/>
        </w:numPr>
        <w:spacing w:line="240" w:lineRule="auto"/>
        <w:ind w:left="1276" w:hanging="567"/>
        <w:rPr>
          <w:rFonts w:ascii="Arial" w:hAnsi="Arial" w:cs="Arial"/>
          <w:color w:val="000000" w:themeColor="text1"/>
          <w:sz w:val="22"/>
          <w:szCs w:val="22"/>
        </w:rPr>
      </w:pPr>
      <w:r w:rsidRPr="00B5302F">
        <w:rPr>
          <w:rFonts w:ascii="Arial" w:hAnsi="Arial" w:cs="Arial"/>
          <w:color w:val="000000" w:themeColor="text1"/>
          <w:sz w:val="22"/>
          <w:szCs w:val="22"/>
        </w:rPr>
        <w:t>Understand, analyse and evaluate decision making under uncertainty</w:t>
      </w:r>
    </w:p>
    <w:p w14:paraId="068463BF" w14:textId="1A2D4C62" w:rsidR="0092297C" w:rsidRPr="00B5302F" w:rsidRDefault="00B5302F" w:rsidP="00B5302F">
      <w:pPr>
        <w:pStyle w:val="TxBrp6"/>
        <w:numPr>
          <w:ilvl w:val="1"/>
          <w:numId w:val="1"/>
        </w:numPr>
        <w:spacing w:line="240" w:lineRule="auto"/>
        <w:ind w:left="1276" w:hanging="567"/>
        <w:rPr>
          <w:rFonts w:ascii="Arial" w:hAnsi="Arial" w:cs="Arial"/>
          <w:color w:val="000000" w:themeColor="text1"/>
          <w:sz w:val="22"/>
          <w:szCs w:val="22"/>
        </w:rPr>
      </w:pPr>
      <w:r w:rsidRPr="00B5302F">
        <w:rPr>
          <w:rFonts w:ascii="Arial" w:hAnsi="Arial" w:cs="Arial"/>
          <w:color w:val="000000" w:themeColor="text1"/>
          <w:sz w:val="22"/>
          <w:szCs w:val="22"/>
          <w:shd w:val="clear" w:color="auto" w:fill="FFFFFF"/>
        </w:rPr>
        <w:t xml:space="preserve">Model </w:t>
      </w:r>
      <w:r w:rsidR="004921EC">
        <w:rPr>
          <w:rFonts w:ascii="Arial" w:hAnsi="Arial" w:cs="Arial"/>
          <w:color w:val="000000" w:themeColor="text1"/>
          <w:sz w:val="22"/>
          <w:szCs w:val="22"/>
          <w:shd w:val="clear" w:color="auto" w:fill="FFFFFF"/>
        </w:rPr>
        <w:t>micro</w:t>
      </w:r>
      <w:r w:rsidRPr="00B5302F">
        <w:rPr>
          <w:rFonts w:ascii="Arial" w:hAnsi="Arial" w:cs="Arial"/>
          <w:color w:val="000000" w:themeColor="text1"/>
          <w:sz w:val="22"/>
          <w:szCs w:val="22"/>
          <w:shd w:val="clear" w:color="auto" w:fill="FFFFFF"/>
        </w:rPr>
        <w:t xml:space="preserve">economic </w:t>
      </w:r>
      <w:r w:rsidR="004921EC">
        <w:rPr>
          <w:rFonts w:ascii="Arial" w:hAnsi="Arial" w:cs="Arial"/>
          <w:color w:val="000000" w:themeColor="text1"/>
          <w:sz w:val="22"/>
          <w:szCs w:val="22"/>
          <w:shd w:val="clear" w:color="auto" w:fill="FFFFFF"/>
        </w:rPr>
        <w:t xml:space="preserve">problems </w:t>
      </w:r>
      <w:r w:rsidRPr="00B5302F">
        <w:rPr>
          <w:rFonts w:ascii="Arial" w:hAnsi="Arial" w:cs="Arial"/>
          <w:color w:val="000000" w:themeColor="text1"/>
          <w:sz w:val="22"/>
          <w:szCs w:val="22"/>
          <w:shd w:val="clear" w:color="auto" w:fill="FFFFFF"/>
        </w:rPr>
        <w:t>in a logical, rigorous, and precise manner</w:t>
      </w:r>
    </w:p>
    <w:p w14:paraId="307F06AF" w14:textId="77777777" w:rsidR="00B5302F" w:rsidRPr="00B5302F" w:rsidRDefault="00B5302F" w:rsidP="00B5302F">
      <w:pPr>
        <w:pStyle w:val="TxBrp6"/>
        <w:spacing w:line="240" w:lineRule="auto"/>
        <w:ind w:left="1276" w:firstLine="0"/>
        <w:rPr>
          <w:rFonts w:ascii="Arial" w:hAnsi="Arial" w:cs="Arial"/>
          <w:color w:val="000000" w:themeColor="text1"/>
          <w:sz w:val="22"/>
          <w:szCs w:val="22"/>
        </w:rPr>
      </w:pPr>
    </w:p>
    <w:p w14:paraId="32CE3714" w14:textId="7C755B74" w:rsidR="000E4603" w:rsidRDefault="009A2D37" w:rsidP="006C4C35">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375818" w14:textId="22FF3B7F" w:rsidR="0066041F" w:rsidRDefault="0066041F"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2B92284A" w14:textId="77777777" w:rsidR="00DF52DA" w:rsidRPr="001B3CD6" w:rsidRDefault="00DF52DA" w:rsidP="00DF52DA">
      <w:pPr>
        <w:pStyle w:val="ListParagraph"/>
        <w:numPr>
          <w:ilvl w:val="1"/>
          <w:numId w:val="1"/>
        </w:numPr>
        <w:tabs>
          <w:tab w:val="left" w:pos="1276"/>
        </w:tabs>
        <w:spacing w:after="0" w:line="240" w:lineRule="auto"/>
        <w:ind w:left="1134" w:right="-329" w:hanging="567"/>
        <w:contextualSpacing w:val="0"/>
        <w:jc w:val="both"/>
        <w:rPr>
          <w:rFonts w:ascii="Arial" w:hAnsi="Arial" w:cs="Arial"/>
        </w:rPr>
      </w:pPr>
      <w:r>
        <w:rPr>
          <w:rFonts w:ascii="Arial" w:hAnsi="Arial" w:cs="Arial"/>
        </w:rPr>
        <w:t>R</w:t>
      </w:r>
      <w:r w:rsidRPr="00BD64B1">
        <w:rPr>
          <w:rFonts w:ascii="Arial" w:hAnsi="Arial" w:cs="Arial"/>
        </w:rPr>
        <w:t xml:space="preserve">eflect critically on economic theory and related developments within the discipline </w:t>
      </w:r>
      <w:r>
        <w:rPr>
          <w:rFonts w:ascii="Arial" w:hAnsi="Arial" w:cs="Arial"/>
        </w:rPr>
        <w:t xml:space="preserve">and their application to </w:t>
      </w:r>
      <w:r w:rsidRPr="001B3CD6">
        <w:rPr>
          <w:rFonts w:ascii="Arial" w:hAnsi="Arial" w:cs="Arial"/>
        </w:rPr>
        <w:t xml:space="preserve">real-world problems </w:t>
      </w:r>
    </w:p>
    <w:p w14:paraId="7434A05B" w14:textId="77777777" w:rsidR="00DF52DA" w:rsidRDefault="00DF52DA" w:rsidP="00DF52DA">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Address an economic problem using deductive and inductive reasoning</w:t>
      </w:r>
    </w:p>
    <w:p w14:paraId="4FA2A2E3" w14:textId="77777777" w:rsidR="006E3663" w:rsidRDefault="006E3663" w:rsidP="006E3663">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 xml:space="preserve">Retrieve and utilise </w:t>
      </w:r>
      <w:r w:rsidRPr="00FF6583">
        <w:rPr>
          <w:rFonts w:ascii="Arial" w:hAnsi="Arial" w:cs="Arial"/>
        </w:rPr>
        <w:t>information from a variety of sources</w:t>
      </w:r>
    </w:p>
    <w:p w14:paraId="21F8A87A" w14:textId="77777777" w:rsidR="00DF52DA" w:rsidRPr="00027808" w:rsidRDefault="00DF52DA" w:rsidP="00DF52DA">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Construct, write and present economic ideas in a coherent and structured manner</w:t>
      </w:r>
    </w:p>
    <w:p w14:paraId="5B641148" w14:textId="77777777" w:rsidR="00DF52DA" w:rsidRPr="00027808" w:rsidRDefault="00DF52DA" w:rsidP="00DF52DA">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Plan work and study independently.</w:t>
      </w:r>
    </w:p>
    <w:p w14:paraId="349A3960" w14:textId="3E55B4FE" w:rsidR="00343F7F" w:rsidRPr="00143E7E" w:rsidRDefault="00343F7F" w:rsidP="00054732">
      <w:pPr>
        <w:pStyle w:val="ListParagraph"/>
        <w:widowControl w:val="0"/>
        <w:tabs>
          <w:tab w:val="left" w:pos="1134"/>
        </w:tabs>
        <w:snapToGrid w:val="0"/>
        <w:spacing w:after="0" w:line="240" w:lineRule="auto"/>
        <w:ind w:left="993"/>
        <w:rPr>
          <w:rFonts w:ascii="Arial" w:hAnsi="Arial" w:cs="Arial"/>
          <w:sz w:val="20"/>
          <w:szCs w:val="20"/>
        </w:rPr>
      </w:pPr>
    </w:p>
    <w:p w14:paraId="790D4A70" w14:textId="77777777" w:rsidR="00343F7F" w:rsidRPr="006D0209" w:rsidRDefault="00343F7F"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7B69B13E" w14:textId="77777777" w:rsidR="009A2D37" w:rsidRPr="00B062EB" w:rsidRDefault="009A2D37" w:rsidP="00696FF5">
      <w:pPr>
        <w:numPr>
          <w:ilvl w:val="0"/>
          <w:numId w:val="1"/>
        </w:numPr>
        <w:spacing w:after="120" w:line="240" w:lineRule="auto"/>
        <w:ind w:left="567" w:right="260" w:hanging="567"/>
        <w:jc w:val="both"/>
        <w:rPr>
          <w:rFonts w:ascii="Arial" w:hAnsi="Arial" w:cs="Arial"/>
          <w:b/>
        </w:rPr>
      </w:pPr>
      <w:r w:rsidRPr="00B062EB">
        <w:rPr>
          <w:rFonts w:ascii="Arial" w:hAnsi="Arial" w:cs="Arial"/>
          <w:b/>
        </w:rPr>
        <w:t>A synopsis of the curriculum</w:t>
      </w:r>
    </w:p>
    <w:p w14:paraId="7D02A5A7" w14:textId="16EE4A63" w:rsidR="00BD347B" w:rsidRDefault="004C7E00" w:rsidP="00BD347B">
      <w:pPr>
        <w:pStyle w:val="ListParagraph"/>
        <w:spacing w:after="0" w:line="240" w:lineRule="auto"/>
        <w:ind w:left="567" w:right="261"/>
        <w:rPr>
          <w:rFonts w:ascii="Arial" w:hAnsi="Arial" w:cs="Arial"/>
          <w:color w:val="000000" w:themeColor="text1"/>
        </w:rPr>
      </w:pPr>
      <w:r w:rsidRPr="004C7E00">
        <w:rPr>
          <w:rFonts w:ascii="Arial" w:hAnsi="Arial" w:cs="Arial"/>
          <w:color w:val="000000" w:themeColor="text1"/>
        </w:rPr>
        <w:t>This module builds on the Stage 1 teaching of m</w:t>
      </w:r>
      <w:r>
        <w:rPr>
          <w:rFonts w:ascii="Arial" w:hAnsi="Arial" w:cs="Arial"/>
          <w:color w:val="000000" w:themeColor="text1"/>
        </w:rPr>
        <w:t>i</w:t>
      </w:r>
      <w:r w:rsidRPr="004C7E00">
        <w:rPr>
          <w:rFonts w:ascii="Arial" w:hAnsi="Arial" w:cs="Arial"/>
          <w:color w:val="000000" w:themeColor="text1"/>
        </w:rPr>
        <w:t xml:space="preserve">croeconomics to provide an intermediate course, which takes full account of the policy issues and controversies in the </w:t>
      </w:r>
      <w:r>
        <w:rPr>
          <w:rFonts w:ascii="Arial" w:hAnsi="Arial" w:cs="Arial"/>
          <w:color w:val="000000" w:themeColor="text1"/>
        </w:rPr>
        <w:t>application and understanding of microeconomic issues</w:t>
      </w:r>
      <w:r w:rsidRPr="004C7E00">
        <w:rPr>
          <w:rFonts w:ascii="Arial" w:hAnsi="Arial" w:cs="Arial"/>
          <w:color w:val="000000" w:themeColor="text1"/>
        </w:rPr>
        <w:t>.</w:t>
      </w:r>
      <w:r w:rsidR="00BD347B">
        <w:rPr>
          <w:rFonts w:ascii="Arial" w:hAnsi="Arial" w:cs="Arial"/>
          <w:color w:val="000000" w:themeColor="text1"/>
        </w:rPr>
        <w:t xml:space="preserve"> It </w:t>
      </w:r>
      <w:r w:rsidR="00897FC6">
        <w:rPr>
          <w:rFonts w:ascii="Arial" w:hAnsi="Arial" w:cs="Arial"/>
          <w:color w:val="000000" w:themeColor="text1"/>
        </w:rPr>
        <w:t xml:space="preserve">introduces the fundamental theoretical foundations of microeconomics and provides examples of their application. </w:t>
      </w:r>
    </w:p>
    <w:p w14:paraId="348C2728" w14:textId="77777777" w:rsidR="00BD347B" w:rsidRDefault="00BD347B" w:rsidP="00BD347B">
      <w:pPr>
        <w:pStyle w:val="ListParagraph"/>
        <w:spacing w:after="0" w:line="240" w:lineRule="auto"/>
        <w:ind w:left="567" w:right="261"/>
        <w:rPr>
          <w:rFonts w:ascii="Arial" w:hAnsi="Arial" w:cs="Arial"/>
          <w:color w:val="000000" w:themeColor="text1"/>
        </w:rPr>
      </w:pPr>
    </w:p>
    <w:p w14:paraId="500F78B8" w14:textId="01450A09" w:rsidR="00B5302F" w:rsidRDefault="00B5302F" w:rsidP="00B5302F">
      <w:pPr>
        <w:spacing w:after="120" w:line="240" w:lineRule="auto"/>
        <w:ind w:left="567" w:right="260"/>
        <w:rPr>
          <w:rFonts w:ascii="Georgia" w:hAnsi="Georgia"/>
          <w:color w:val="666666"/>
          <w:sz w:val="23"/>
          <w:szCs w:val="23"/>
          <w:shd w:val="clear" w:color="auto" w:fill="FFFFFF"/>
        </w:rPr>
      </w:pPr>
      <w:r>
        <w:rPr>
          <w:rFonts w:ascii="Arial" w:hAnsi="Arial" w:cs="Arial"/>
          <w:color w:val="000000" w:themeColor="text1"/>
        </w:rPr>
        <w:t xml:space="preserve">The module </w:t>
      </w:r>
      <w:r w:rsidRPr="00B5302F">
        <w:rPr>
          <w:rFonts w:ascii="Arial" w:hAnsi="Arial" w:cs="Arial"/>
          <w:color w:val="000000" w:themeColor="text1"/>
          <w:shd w:val="clear" w:color="auto" w:fill="FFFFFF"/>
        </w:rPr>
        <w:t xml:space="preserve">provides an analysis of the way in which the market system functions as a mechanism for coordinating the independent choices of individual economic agents. </w:t>
      </w:r>
      <w:r w:rsidR="00B062EB">
        <w:rPr>
          <w:rFonts w:ascii="Arial" w:hAnsi="Arial" w:cs="Arial"/>
          <w:color w:val="000000" w:themeColor="text1"/>
          <w:shd w:val="clear" w:color="auto" w:fill="FFFFFF"/>
        </w:rPr>
        <w:t>It addresses the behaviour and decision making of consum</w:t>
      </w:r>
      <w:r w:rsidR="00B062EB" w:rsidRPr="00343F7F">
        <w:rPr>
          <w:rFonts w:ascii="Arial" w:hAnsi="Arial" w:cs="Arial"/>
          <w:color w:val="000000" w:themeColor="text1"/>
        </w:rPr>
        <w:t>ers</w:t>
      </w:r>
      <w:r w:rsidR="00B062EB">
        <w:rPr>
          <w:rFonts w:ascii="Arial" w:hAnsi="Arial" w:cs="Arial"/>
          <w:color w:val="000000" w:themeColor="text1"/>
        </w:rPr>
        <w:t xml:space="preserve"> and </w:t>
      </w:r>
      <w:r w:rsidR="00B062EB" w:rsidRPr="00B5302F">
        <w:rPr>
          <w:rFonts w:ascii="Arial" w:hAnsi="Arial" w:cs="Arial"/>
          <w:color w:val="000000" w:themeColor="text1"/>
        </w:rPr>
        <w:t>firms</w:t>
      </w:r>
      <w:r w:rsidR="00B062EB">
        <w:rPr>
          <w:rFonts w:ascii="Arial" w:hAnsi="Arial" w:cs="Arial"/>
          <w:color w:val="000000" w:themeColor="text1"/>
        </w:rPr>
        <w:t>,</w:t>
      </w:r>
      <w:r w:rsidR="00B062EB" w:rsidRPr="00B5302F">
        <w:rPr>
          <w:rFonts w:ascii="Arial" w:hAnsi="Arial" w:cs="Arial"/>
          <w:color w:val="000000" w:themeColor="text1"/>
        </w:rPr>
        <w:t xml:space="preserve"> and </w:t>
      </w:r>
      <w:r w:rsidR="00B062EB">
        <w:rPr>
          <w:rFonts w:ascii="Arial" w:hAnsi="Arial" w:cs="Arial"/>
          <w:color w:val="000000" w:themeColor="text1"/>
        </w:rPr>
        <w:t xml:space="preserve">evaluates </w:t>
      </w:r>
      <w:r w:rsidRPr="00B5302F">
        <w:rPr>
          <w:rFonts w:ascii="Arial" w:hAnsi="Arial" w:cs="Arial"/>
          <w:color w:val="000000" w:themeColor="text1"/>
          <w:shd w:val="clear" w:color="auto" w:fill="FFFFFF"/>
        </w:rPr>
        <w:t>the efficiency and equity implications of competition and other market structures</w:t>
      </w:r>
      <w:r w:rsidR="00B062EB">
        <w:rPr>
          <w:rFonts w:ascii="Arial" w:hAnsi="Arial" w:cs="Arial"/>
          <w:color w:val="000000" w:themeColor="text1"/>
          <w:shd w:val="clear" w:color="auto" w:fill="FFFFFF"/>
        </w:rPr>
        <w:t xml:space="preserve">. The role of government in incentivising types of economic behaviour and addressing </w:t>
      </w:r>
      <w:r w:rsidRPr="00B5302F">
        <w:rPr>
          <w:rFonts w:ascii="Arial" w:hAnsi="Arial" w:cs="Arial"/>
          <w:color w:val="000000" w:themeColor="text1"/>
          <w:shd w:val="clear" w:color="auto" w:fill="FFFFFF"/>
        </w:rPr>
        <w:t>market failure</w:t>
      </w:r>
      <w:r w:rsidR="00B062EB">
        <w:rPr>
          <w:rFonts w:ascii="Arial" w:hAnsi="Arial" w:cs="Arial"/>
          <w:color w:val="000000" w:themeColor="text1"/>
          <w:shd w:val="clear" w:color="auto" w:fill="FFFFFF"/>
        </w:rPr>
        <w:t xml:space="preserve"> is also explored</w:t>
      </w:r>
      <w:r w:rsidRPr="00B5302F">
        <w:rPr>
          <w:rFonts w:ascii="Arial" w:hAnsi="Arial" w:cs="Arial"/>
          <w:color w:val="000000" w:themeColor="text1"/>
          <w:shd w:val="clear" w:color="auto" w:fill="FFFFFF"/>
        </w:rPr>
        <w:t>.</w:t>
      </w:r>
    </w:p>
    <w:p w14:paraId="54ADE220" w14:textId="6E2957F6" w:rsidR="009A2D37" w:rsidRPr="00302082" w:rsidRDefault="00683AAF" w:rsidP="00191C13">
      <w:pPr>
        <w:numPr>
          <w:ilvl w:val="0"/>
          <w:numId w:val="1"/>
        </w:numPr>
        <w:spacing w:before="360" w:after="120" w:line="240" w:lineRule="auto"/>
        <w:ind w:left="567" w:right="261" w:hanging="567"/>
        <w:rPr>
          <w:rFonts w:ascii="Arial" w:hAnsi="Arial" w:cs="Arial"/>
          <w:b/>
        </w:rPr>
      </w:pPr>
      <w:r>
        <w:rPr>
          <w:rFonts w:ascii="Arial" w:hAnsi="Arial" w:cs="Arial"/>
          <w:b/>
        </w:rPr>
        <w:t>R</w:t>
      </w:r>
      <w:r w:rsidR="00883204">
        <w:rPr>
          <w:rFonts w:ascii="Arial" w:hAnsi="Arial" w:cs="Arial"/>
          <w:b/>
        </w:rPr>
        <w:t>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EE5B36" w14:textId="77777777" w:rsidR="00AA2726" w:rsidRPr="00AA2726" w:rsidRDefault="00AA2726" w:rsidP="003E57D8">
      <w:pPr>
        <w:pStyle w:val="ListParagraph"/>
        <w:widowControl w:val="0"/>
        <w:numPr>
          <w:ilvl w:val="0"/>
          <w:numId w:val="34"/>
        </w:numPr>
        <w:snapToGrid w:val="0"/>
        <w:spacing w:after="120" w:line="240" w:lineRule="auto"/>
        <w:ind w:left="1281" w:hanging="357"/>
        <w:contextualSpacing w:val="0"/>
        <w:rPr>
          <w:rFonts w:ascii="Arial" w:hAnsi="Arial" w:cs="Arial"/>
          <w:color w:val="000000" w:themeColor="text1"/>
        </w:rPr>
      </w:pPr>
      <w:r w:rsidRPr="00AA2726">
        <w:rPr>
          <w:rFonts w:ascii="Arial" w:hAnsi="Arial" w:cs="Arial"/>
          <w:color w:val="000000" w:themeColor="text1"/>
        </w:rPr>
        <w:t>R Frank and E Cartwright, Microeconomics and Behaviour (2nd ed), McGraw-Hill, 2016</w:t>
      </w:r>
    </w:p>
    <w:p w14:paraId="322E19A2" w14:textId="77777777" w:rsidR="00AA2726" w:rsidRPr="00AA2726" w:rsidRDefault="00AA2726" w:rsidP="003E57D8">
      <w:pPr>
        <w:pStyle w:val="ListParagraph"/>
        <w:widowControl w:val="0"/>
        <w:numPr>
          <w:ilvl w:val="0"/>
          <w:numId w:val="34"/>
        </w:numPr>
        <w:snapToGrid w:val="0"/>
        <w:spacing w:after="120" w:line="240" w:lineRule="auto"/>
        <w:ind w:left="1281" w:hanging="357"/>
        <w:contextualSpacing w:val="0"/>
        <w:rPr>
          <w:rFonts w:ascii="Arial" w:hAnsi="Arial" w:cs="Arial"/>
          <w:color w:val="000000" w:themeColor="text1"/>
        </w:rPr>
      </w:pPr>
      <w:r w:rsidRPr="00AA2726">
        <w:rPr>
          <w:rFonts w:ascii="Arial" w:hAnsi="Arial" w:cs="Arial"/>
          <w:color w:val="000000" w:themeColor="text1"/>
        </w:rPr>
        <w:t>H Varian, Intermediate Microeconomics, A Modern Approach (9th ed), Norton, 2014</w:t>
      </w:r>
    </w:p>
    <w:p w14:paraId="51F0C0FE" w14:textId="28A69592" w:rsidR="0066041F" w:rsidRPr="00AA2726" w:rsidRDefault="00AA2726" w:rsidP="003E57D8">
      <w:pPr>
        <w:pStyle w:val="ListParagraph"/>
        <w:widowControl w:val="0"/>
        <w:numPr>
          <w:ilvl w:val="0"/>
          <w:numId w:val="34"/>
        </w:numPr>
        <w:snapToGrid w:val="0"/>
        <w:spacing w:after="120" w:line="240" w:lineRule="auto"/>
        <w:ind w:left="1281" w:hanging="357"/>
        <w:contextualSpacing w:val="0"/>
        <w:rPr>
          <w:rFonts w:ascii="Arial" w:hAnsi="Arial" w:cs="Arial"/>
          <w:color w:val="000000" w:themeColor="text1"/>
        </w:rPr>
      </w:pPr>
      <w:r w:rsidRPr="00AA2726">
        <w:rPr>
          <w:rFonts w:ascii="Arial" w:hAnsi="Arial" w:cs="Arial"/>
          <w:color w:val="000000" w:themeColor="text1"/>
        </w:rPr>
        <w:t>W Morgan, M Katz and S Rosen, Microeconomics (2nd ed), McGraw Hill, 2009</w:t>
      </w:r>
    </w:p>
    <w:p w14:paraId="19C4D104" w14:textId="77777777" w:rsidR="00AA2726" w:rsidRPr="00302082" w:rsidRDefault="00AA2726" w:rsidP="00AA2726">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5A9A753" w:rsidR="009A2D37" w:rsidRPr="000E4603" w:rsidRDefault="00C57028" w:rsidP="006E3663">
      <w:pPr>
        <w:spacing w:after="0" w:line="240" w:lineRule="auto"/>
        <w:ind w:left="1134" w:right="261"/>
        <w:jc w:val="both"/>
        <w:rPr>
          <w:rFonts w:ascii="Arial" w:hAnsi="Arial" w:cs="Arial"/>
          <w:iCs/>
        </w:rPr>
      </w:pPr>
      <w:r w:rsidRPr="000E4603">
        <w:rPr>
          <w:rFonts w:ascii="Arial" w:hAnsi="Arial" w:cs="Arial"/>
          <w:iCs/>
        </w:rPr>
        <w:t>Total contact hours:</w:t>
      </w:r>
      <w:r w:rsidR="00AA2726">
        <w:rPr>
          <w:rFonts w:ascii="Arial" w:hAnsi="Arial" w:cs="Arial"/>
          <w:iCs/>
        </w:rPr>
        <w:t xml:space="preserve"> 58</w:t>
      </w:r>
      <w:r w:rsidR="000E4603" w:rsidRPr="000E4603">
        <w:rPr>
          <w:rFonts w:ascii="Arial" w:hAnsi="Arial" w:cs="Arial"/>
          <w:iCs/>
        </w:rPr>
        <w:t xml:space="preserve"> hours</w:t>
      </w:r>
    </w:p>
    <w:p w14:paraId="6B7DBD0C" w14:textId="3A19F3C5" w:rsidR="00C57028" w:rsidRPr="000E4603" w:rsidRDefault="00C57028" w:rsidP="006E3663">
      <w:pPr>
        <w:spacing w:after="0" w:line="240" w:lineRule="auto"/>
        <w:ind w:left="1134" w:right="261"/>
        <w:jc w:val="both"/>
        <w:rPr>
          <w:rFonts w:ascii="Arial" w:hAnsi="Arial" w:cs="Arial"/>
          <w:iCs/>
        </w:rPr>
      </w:pPr>
      <w:r w:rsidRPr="000E4603">
        <w:rPr>
          <w:rFonts w:ascii="Arial" w:hAnsi="Arial" w:cs="Arial"/>
          <w:iCs/>
        </w:rPr>
        <w:t>Private study hours:</w:t>
      </w:r>
      <w:r w:rsidR="00AA2726">
        <w:rPr>
          <w:rFonts w:ascii="Arial" w:hAnsi="Arial" w:cs="Arial"/>
          <w:iCs/>
        </w:rPr>
        <w:t xml:space="preserve"> 242</w:t>
      </w:r>
    </w:p>
    <w:p w14:paraId="51CA6CB8" w14:textId="2933989C" w:rsidR="00C57028" w:rsidRPr="000E4603" w:rsidRDefault="00C57028" w:rsidP="006E3663">
      <w:pPr>
        <w:spacing w:after="0" w:line="240" w:lineRule="auto"/>
        <w:ind w:left="1134" w:right="261"/>
        <w:jc w:val="both"/>
        <w:rPr>
          <w:rFonts w:ascii="Arial" w:hAnsi="Arial" w:cs="Arial"/>
          <w:iCs/>
        </w:rPr>
      </w:pPr>
      <w:r w:rsidRPr="000E4603">
        <w:rPr>
          <w:rFonts w:ascii="Arial" w:hAnsi="Arial" w:cs="Arial"/>
          <w:iCs/>
        </w:rPr>
        <w:t>Total study hours:</w:t>
      </w:r>
      <w:r w:rsidR="00AA2726">
        <w:rPr>
          <w:rFonts w:ascii="Arial" w:hAnsi="Arial" w:cs="Arial"/>
          <w:iCs/>
        </w:rPr>
        <w:t xml:space="preserve"> 300</w:t>
      </w:r>
    </w:p>
    <w:p w14:paraId="38943BB6" w14:textId="77777777" w:rsidR="00883204" w:rsidRPr="00883204" w:rsidRDefault="00EF4933" w:rsidP="00191C13">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524E271" w14:textId="187675E2" w:rsidR="00804E5B" w:rsidRDefault="00804E5B" w:rsidP="00CF7EF8">
      <w:pPr>
        <w:spacing w:after="0" w:line="240" w:lineRule="auto"/>
        <w:ind w:left="1134" w:right="261"/>
        <w:jc w:val="both"/>
        <w:rPr>
          <w:rFonts w:ascii="Arial" w:hAnsi="Arial" w:cs="Arial"/>
          <w:iCs/>
        </w:rPr>
      </w:pPr>
      <w:r>
        <w:rPr>
          <w:rFonts w:ascii="Arial" w:hAnsi="Arial" w:cs="Arial"/>
          <w:iCs/>
        </w:rPr>
        <w:t>Course Work:</w:t>
      </w:r>
    </w:p>
    <w:p w14:paraId="47001913" w14:textId="76A6AD14" w:rsidR="009205B9" w:rsidRPr="003E57D8" w:rsidRDefault="009205B9" w:rsidP="00CF7EF8">
      <w:pPr>
        <w:spacing w:after="0" w:line="240" w:lineRule="auto"/>
        <w:ind w:left="1134" w:right="261"/>
        <w:jc w:val="both"/>
        <w:rPr>
          <w:rFonts w:ascii="Arial" w:hAnsi="Arial" w:cs="Arial"/>
          <w:iCs/>
        </w:rPr>
      </w:pPr>
      <w:r w:rsidRPr="009205B9">
        <w:rPr>
          <w:rFonts w:ascii="Arial" w:hAnsi="Arial" w:cs="Arial"/>
          <w:iCs/>
        </w:rPr>
        <w:t xml:space="preserve">In </w:t>
      </w:r>
      <w:r w:rsidRPr="003E57D8">
        <w:rPr>
          <w:rFonts w:ascii="Arial" w:hAnsi="Arial" w:cs="Arial"/>
          <w:iCs/>
        </w:rPr>
        <w:t>Course Test 1</w:t>
      </w:r>
      <w:r w:rsidR="00CF7EF8">
        <w:rPr>
          <w:rFonts w:ascii="Arial" w:hAnsi="Arial" w:cs="Arial"/>
          <w:iCs/>
        </w:rPr>
        <w:t>, autumn</w:t>
      </w:r>
      <w:r w:rsidRPr="003E57D8">
        <w:rPr>
          <w:rFonts w:ascii="Arial" w:hAnsi="Arial" w:cs="Arial"/>
          <w:iCs/>
        </w:rPr>
        <w:t xml:space="preserve"> (</w:t>
      </w:r>
      <w:r w:rsidR="00CF7EF8">
        <w:rPr>
          <w:rFonts w:ascii="Arial" w:hAnsi="Arial" w:cs="Arial"/>
          <w:iCs/>
        </w:rPr>
        <w:t>90</w:t>
      </w:r>
      <w:r w:rsidR="003E57D8" w:rsidRPr="003E57D8">
        <w:rPr>
          <w:rFonts w:ascii="Arial" w:hAnsi="Arial" w:cs="Arial"/>
          <w:iCs/>
        </w:rPr>
        <w:t xml:space="preserve"> minutes</w:t>
      </w:r>
      <w:r w:rsidRPr="003E57D8">
        <w:rPr>
          <w:rFonts w:ascii="Arial" w:hAnsi="Arial" w:cs="Arial"/>
          <w:iCs/>
        </w:rPr>
        <w:t>) (</w:t>
      </w:r>
      <w:r w:rsidR="00B8306D">
        <w:rPr>
          <w:rFonts w:ascii="Arial" w:hAnsi="Arial" w:cs="Arial"/>
          <w:iCs/>
        </w:rPr>
        <w:t>10</w:t>
      </w:r>
      <w:r w:rsidRPr="003E57D8">
        <w:rPr>
          <w:rFonts w:ascii="Arial" w:hAnsi="Arial" w:cs="Arial"/>
          <w:iCs/>
        </w:rPr>
        <w:t>%)</w:t>
      </w:r>
    </w:p>
    <w:p w14:paraId="35BD4937" w14:textId="734ADAA3" w:rsidR="00CF7EF8" w:rsidRDefault="00CF7EF8" w:rsidP="009F0BCC">
      <w:pPr>
        <w:spacing w:after="0" w:line="240" w:lineRule="auto"/>
        <w:ind w:left="1134" w:right="261"/>
        <w:jc w:val="both"/>
        <w:rPr>
          <w:rFonts w:ascii="Arial" w:hAnsi="Arial" w:cs="Arial"/>
          <w:iCs/>
        </w:rPr>
      </w:pPr>
      <w:r w:rsidRPr="009205B9">
        <w:rPr>
          <w:rFonts w:ascii="Arial" w:hAnsi="Arial" w:cs="Arial"/>
          <w:iCs/>
        </w:rPr>
        <w:t xml:space="preserve">Seminar </w:t>
      </w:r>
      <w:r>
        <w:rPr>
          <w:rFonts w:ascii="Arial" w:hAnsi="Arial" w:cs="Arial"/>
          <w:iCs/>
        </w:rPr>
        <w:t xml:space="preserve">Work and </w:t>
      </w:r>
      <w:r w:rsidRPr="009205B9">
        <w:rPr>
          <w:rFonts w:ascii="Arial" w:hAnsi="Arial" w:cs="Arial"/>
          <w:iCs/>
        </w:rPr>
        <w:t>Participation</w:t>
      </w:r>
      <w:r>
        <w:rPr>
          <w:rFonts w:ascii="Arial" w:hAnsi="Arial" w:cs="Arial"/>
          <w:iCs/>
        </w:rPr>
        <w:t xml:space="preserve"> (including problem sets), </w:t>
      </w:r>
      <w:r w:rsidR="00FD5B40">
        <w:rPr>
          <w:rFonts w:ascii="Arial" w:hAnsi="Arial" w:cs="Arial"/>
          <w:iCs/>
        </w:rPr>
        <w:t>A</w:t>
      </w:r>
      <w:r>
        <w:rPr>
          <w:rFonts w:ascii="Arial" w:hAnsi="Arial" w:cs="Arial"/>
          <w:iCs/>
        </w:rPr>
        <w:t>utumn (5</w:t>
      </w:r>
      <w:r w:rsidRPr="009205B9">
        <w:rPr>
          <w:rFonts w:ascii="Arial" w:hAnsi="Arial" w:cs="Arial"/>
          <w:iCs/>
        </w:rPr>
        <w:t>%)</w:t>
      </w:r>
    </w:p>
    <w:p w14:paraId="7A8A83C8" w14:textId="7A512BB1" w:rsidR="009205B9" w:rsidRPr="003E57D8" w:rsidRDefault="009205B9" w:rsidP="009F0BCC">
      <w:pPr>
        <w:spacing w:after="0" w:line="240" w:lineRule="auto"/>
        <w:ind w:left="1134" w:right="261"/>
        <w:jc w:val="both"/>
        <w:rPr>
          <w:rFonts w:ascii="Arial" w:hAnsi="Arial" w:cs="Arial"/>
          <w:iCs/>
        </w:rPr>
      </w:pPr>
      <w:r w:rsidRPr="003E57D8">
        <w:rPr>
          <w:rFonts w:ascii="Arial" w:hAnsi="Arial" w:cs="Arial"/>
          <w:iCs/>
        </w:rPr>
        <w:t xml:space="preserve">In Course Test </w:t>
      </w:r>
      <w:r w:rsidR="00804E5B">
        <w:rPr>
          <w:rFonts w:ascii="Arial" w:hAnsi="Arial" w:cs="Arial"/>
          <w:iCs/>
        </w:rPr>
        <w:t>2, spring</w:t>
      </w:r>
      <w:r w:rsidRPr="003E57D8">
        <w:rPr>
          <w:rFonts w:ascii="Arial" w:hAnsi="Arial" w:cs="Arial"/>
          <w:iCs/>
        </w:rPr>
        <w:t xml:space="preserve"> (</w:t>
      </w:r>
      <w:r w:rsidR="00FD5B40">
        <w:rPr>
          <w:rFonts w:ascii="Arial" w:hAnsi="Arial" w:cs="Arial"/>
          <w:iCs/>
        </w:rPr>
        <w:t>90</w:t>
      </w:r>
      <w:r w:rsidR="003E57D8" w:rsidRPr="003E57D8">
        <w:rPr>
          <w:rFonts w:ascii="Arial" w:hAnsi="Arial" w:cs="Arial"/>
          <w:iCs/>
        </w:rPr>
        <w:t xml:space="preserve"> minutes</w:t>
      </w:r>
      <w:r w:rsidRPr="003E57D8">
        <w:rPr>
          <w:rFonts w:ascii="Arial" w:hAnsi="Arial" w:cs="Arial"/>
          <w:iCs/>
        </w:rPr>
        <w:t>) (</w:t>
      </w:r>
      <w:r w:rsidR="00B8306D">
        <w:rPr>
          <w:rFonts w:ascii="Arial" w:hAnsi="Arial" w:cs="Arial"/>
          <w:iCs/>
        </w:rPr>
        <w:t>10</w:t>
      </w:r>
      <w:r w:rsidRPr="003E57D8">
        <w:rPr>
          <w:rFonts w:ascii="Arial" w:hAnsi="Arial" w:cs="Arial"/>
          <w:iCs/>
        </w:rPr>
        <w:t>%)</w:t>
      </w:r>
    </w:p>
    <w:p w14:paraId="0A61D074" w14:textId="5FB95B6B" w:rsidR="00FD5B40" w:rsidRDefault="00FD5B40" w:rsidP="00FD5B40">
      <w:pPr>
        <w:spacing w:after="0" w:line="240" w:lineRule="auto"/>
        <w:ind w:left="1134" w:right="261"/>
        <w:jc w:val="both"/>
        <w:rPr>
          <w:rFonts w:ascii="Arial" w:hAnsi="Arial" w:cs="Arial"/>
          <w:iCs/>
        </w:rPr>
      </w:pPr>
      <w:r w:rsidRPr="009205B9">
        <w:rPr>
          <w:rFonts w:ascii="Arial" w:hAnsi="Arial" w:cs="Arial"/>
          <w:iCs/>
        </w:rPr>
        <w:t xml:space="preserve">Seminar </w:t>
      </w:r>
      <w:r>
        <w:rPr>
          <w:rFonts w:ascii="Arial" w:hAnsi="Arial" w:cs="Arial"/>
          <w:iCs/>
        </w:rPr>
        <w:t xml:space="preserve">Work and </w:t>
      </w:r>
      <w:r w:rsidRPr="009205B9">
        <w:rPr>
          <w:rFonts w:ascii="Arial" w:hAnsi="Arial" w:cs="Arial"/>
          <w:iCs/>
        </w:rPr>
        <w:t>Participation</w:t>
      </w:r>
      <w:r>
        <w:rPr>
          <w:rFonts w:ascii="Arial" w:hAnsi="Arial" w:cs="Arial"/>
          <w:iCs/>
        </w:rPr>
        <w:t xml:space="preserve"> (including problem sets), Spring (5</w:t>
      </w:r>
      <w:r w:rsidRPr="009205B9">
        <w:rPr>
          <w:rFonts w:ascii="Arial" w:hAnsi="Arial" w:cs="Arial"/>
          <w:iCs/>
        </w:rPr>
        <w:t>%)</w:t>
      </w:r>
    </w:p>
    <w:p w14:paraId="26FAA915" w14:textId="6DBC4C90" w:rsidR="00804E5B" w:rsidRPr="009205B9" w:rsidRDefault="00804E5B" w:rsidP="00CF7EF8">
      <w:pPr>
        <w:spacing w:after="0" w:line="240" w:lineRule="auto"/>
        <w:ind w:left="1134" w:right="261"/>
        <w:jc w:val="both"/>
        <w:rPr>
          <w:rFonts w:ascii="Arial" w:hAnsi="Arial" w:cs="Arial"/>
          <w:iCs/>
        </w:rPr>
      </w:pPr>
    </w:p>
    <w:p w14:paraId="5D79C47C" w14:textId="377FEF82" w:rsidR="009205B9" w:rsidRDefault="009205B9" w:rsidP="009F0BCC">
      <w:pPr>
        <w:spacing w:after="0" w:line="240" w:lineRule="auto"/>
        <w:ind w:left="1134" w:right="261"/>
        <w:jc w:val="both"/>
        <w:rPr>
          <w:rFonts w:ascii="Arial" w:hAnsi="Arial" w:cs="Arial"/>
          <w:iCs/>
        </w:rPr>
      </w:pPr>
      <w:r w:rsidRPr="009205B9">
        <w:rPr>
          <w:rFonts w:ascii="Arial" w:hAnsi="Arial" w:cs="Arial"/>
          <w:iCs/>
        </w:rPr>
        <w:t>Examination, 3 hours (</w:t>
      </w:r>
      <w:r w:rsidR="00B8306D">
        <w:rPr>
          <w:rFonts w:ascii="Arial" w:hAnsi="Arial" w:cs="Arial"/>
          <w:iCs/>
        </w:rPr>
        <w:t>7</w:t>
      </w:r>
      <w:r w:rsidRPr="009205B9">
        <w:rPr>
          <w:rFonts w:ascii="Arial" w:hAnsi="Arial" w:cs="Arial"/>
          <w:iCs/>
        </w:rPr>
        <w:t>0%)</w:t>
      </w:r>
    </w:p>
    <w:p w14:paraId="0E151F13" w14:textId="77777777" w:rsidR="009205B9" w:rsidRPr="00612B9D" w:rsidRDefault="009205B9"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4AB85C" w14:textId="77777777" w:rsidR="009205B9" w:rsidRPr="009205B9" w:rsidRDefault="009205B9" w:rsidP="009F0BCC">
      <w:pPr>
        <w:tabs>
          <w:tab w:val="left" w:pos="1134"/>
        </w:tabs>
        <w:spacing w:after="0" w:line="240" w:lineRule="auto"/>
        <w:ind w:left="1134"/>
        <w:rPr>
          <w:rFonts w:ascii="Arial" w:eastAsia="Times New Roman" w:hAnsi="Arial" w:cs="Arial"/>
          <w:color w:val="000000"/>
          <w:szCs w:val="24"/>
        </w:rPr>
      </w:pPr>
      <w:r w:rsidRPr="009205B9">
        <w:rPr>
          <w:rFonts w:ascii="Arial" w:eastAsia="Times New Roman" w:hAnsi="Arial" w:cs="Arial"/>
          <w:color w:val="000000"/>
          <w:szCs w:val="24"/>
        </w:rPr>
        <w:t>Reassessment Instrument: 100% exam</w:t>
      </w:r>
    </w:p>
    <w:p w14:paraId="46F25F8A" w14:textId="2B494D2F" w:rsidR="003E57D8" w:rsidRDefault="003E57D8">
      <w:pPr>
        <w:rPr>
          <w:rFonts w:ascii="Arial" w:hAnsi="Arial" w:cs="Arial"/>
          <w:b/>
          <w:i/>
          <w:iCs/>
        </w:rPr>
      </w:pPr>
      <w:r>
        <w:rPr>
          <w:rFonts w:ascii="Arial" w:hAnsi="Arial" w:cs="Arial"/>
          <w:b/>
          <w:i/>
          <w:iCs/>
        </w:rPr>
        <w:br w:type="page"/>
      </w:r>
    </w:p>
    <w:p w14:paraId="10DDF4C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E03E1B0" w14:textId="7BB40B00" w:rsidR="00C57028" w:rsidRPr="00C57028" w:rsidRDefault="00C57028" w:rsidP="006E4A46">
      <w:pPr>
        <w:spacing w:after="120" w:line="240" w:lineRule="auto"/>
        <w:ind w:left="426" w:right="261"/>
        <w:jc w:val="both"/>
        <w:rPr>
          <w:rFonts w:ascii="Arial" w:hAnsi="Arial" w:cs="Arial"/>
          <w:i/>
          <w:iCs/>
        </w:rPr>
      </w:pPr>
    </w:p>
    <w:tbl>
      <w:tblPr>
        <w:tblStyle w:val="TableGrid"/>
        <w:tblW w:w="4609" w:type="pct"/>
        <w:tblInd w:w="562" w:type="dxa"/>
        <w:tblLook w:val="04A0" w:firstRow="1" w:lastRow="0" w:firstColumn="1" w:lastColumn="0" w:noHBand="0" w:noVBand="1"/>
      </w:tblPr>
      <w:tblGrid>
        <w:gridCol w:w="2355"/>
        <w:gridCol w:w="728"/>
        <w:gridCol w:w="728"/>
        <w:gridCol w:w="728"/>
        <w:gridCol w:w="729"/>
        <w:gridCol w:w="729"/>
        <w:gridCol w:w="729"/>
        <w:gridCol w:w="729"/>
        <w:gridCol w:w="729"/>
        <w:gridCol w:w="729"/>
        <w:gridCol w:w="725"/>
      </w:tblGrid>
      <w:tr w:rsidR="00191C13" w:rsidRPr="00302082" w14:paraId="19CCF857" w14:textId="77777777" w:rsidTr="00EA1B26">
        <w:tc>
          <w:tcPr>
            <w:tcW w:w="1222" w:type="pct"/>
            <w:shd w:val="clear" w:color="auto" w:fill="D9D9D9" w:themeFill="background1" w:themeFillShade="D9"/>
          </w:tcPr>
          <w:p w14:paraId="34C003D0" w14:textId="77777777" w:rsidR="00191C13" w:rsidRPr="00302082" w:rsidRDefault="00191C13" w:rsidP="00191C13">
            <w:pPr>
              <w:spacing w:after="120"/>
              <w:ind w:left="33"/>
              <w:rPr>
                <w:rFonts w:ascii="Arial" w:hAnsi="Arial" w:cs="Arial"/>
                <w:b/>
              </w:rPr>
            </w:pPr>
            <w:r w:rsidRPr="00302082">
              <w:rPr>
                <w:rFonts w:ascii="Arial" w:hAnsi="Arial" w:cs="Arial"/>
                <w:b/>
              </w:rPr>
              <w:t>Module learning outcome</w:t>
            </w:r>
          </w:p>
        </w:tc>
        <w:tc>
          <w:tcPr>
            <w:tcW w:w="378" w:type="pct"/>
            <w:vAlign w:val="center"/>
          </w:tcPr>
          <w:p w14:paraId="455F071F" w14:textId="77777777" w:rsidR="00191C13" w:rsidRPr="00302082" w:rsidRDefault="00191C13" w:rsidP="00191C13">
            <w:pPr>
              <w:spacing w:after="120"/>
              <w:jc w:val="center"/>
              <w:rPr>
                <w:rFonts w:ascii="Arial" w:hAnsi="Arial" w:cs="Arial"/>
                <w:i/>
              </w:rPr>
            </w:pPr>
            <w:r w:rsidRPr="00302082">
              <w:rPr>
                <w:rFonts w:ascii="Arial" w:hAnsi="Arial" w:cs="Arial"/>
                <w:i/>
              </w:rPr>
              <w:t>8.1</w:t>
            </w:r>
          </w:p>
        </w:tc>
        <w:tc>
          <w:tcPr>
            <w:tcW w:w="378" w:type="pct"/>
            <w:vAlign w:val="center"/>
          </w:tcPr>
          <w:p w14:paraId="69A111D1" w14:textId="77777777" w:rsidR="00191C13" w:rsidRPr="00302082" w:rsidRDefault="00191C13" w:rsidP="00191C13">
            <w:pPr>
              <w:spacing w:after="120"/>
              <w:jc w:val="center"/>
              <w:rPr>
                <w:rFonts w:ascii="Arial" w:hAnsi="Arial" w:cs="Arial"/>
                <w:i/>
              </w:rPr>
            </w:pPr>
            <w:r w:rsidRPr="00302082">
              <w:rPr>
                <w:rFonts w:ascii="Arial" w:hAnsi="Arial" w:cs="Arial"/>
                <w:i/>
              </w:rPr>
              <w:t>8.2</w:t>
            </w:r>
          </w:p>
        </w:tc>
        <w:tc>
          <w:tcPr>
            <w:tcW w:w="378" w:type="pct"/>
            <w:vAlign w:val="center"/>
          </w:tcPr>
          <w:p w14:paraId="63356BCB" w14:textId="77777777" w:rsidR="00191C13" w:rsidRPr="00302082" w:rsidRDefault="00191C13" w:rsidP="00191C13">
            <w:pPr>
              <w:spacing w:after="120"/>
              <w:jc w:val="center"/>
              <w:rPr>
                <w:rFonts w:ascii="Arial" w:hAnsi="Arial" w:cs="Arial"/>
                <w:i/>
              </w:rPr>
            </w:pPr>
            <w:r w:rsidRPr="00302082">
              <w:rPr>
                <w:rFonts w:ascii="Arial" w:hAnsi="Arial" w:cs="Arial"/>
                <w:i/>
              </w:rPr>
              <w:t>8.3</w:t>
            </w:r>
          </w:p>
        </w:tc>
        <w:tc>
          <w:tcPr>
            <w:tcW w:w="378" w:type="pct"/>
            <w:vAlign w:val="center"/>
          </w:tcPr>
          <w:p w14:paraId="13754807" w14:textId="77777777" w:rsidR="00191C13" w:rsidRPr="00302082" w:rsidRDefault="00191C13" w:rsidP="00191C13">
            <w:pPr>
              <w:spacing w:after="120"/>
              <w:jc w:val="center"/>
              <w:rPr>
                <w:rFonts w:ascii="Arial" w:hAnsi="Arial" w:cs="Arial"/>
                <w:i/>
              </w:rPr>
            </w:pPr>
            <w:r w:rsidRPr="00302082">
              <w:rPr>
                <w:rFonts w:ascii="Arial" w:hAnsi="Arial" w:cs="Arial"/>
                <w:i/>
              </w:rPr>
              <w:t>8.4</w:t>
            </w:r>
          </w:p>
        </w:tc>
        <w:tc>
          <w:tcPr>
            <w:tcW w:w="378" w:type="pct"/>
            <w:vAlign w:val="center"/>
          </w:tcPr>
          <w:p w14:paraId="155902FF" w14:textId="06570A58" w:rsidR="00191C13" w:rsidRPr="00302082" w:rsidRDefault="006E4A46" w:rsidP="00191C13">
            <w:pPr>
              <w:spacing w:after="120"/>
              <w:jc w:val="center"/>
              <w:rPr>
                <w:rFonts w:ascii="Arial" w:hAnsi="Arial" w:cs="Arial"/>
                <w:i/>
              </w:rPr>
            </w:pPr>
            <w:r>
              <w:rPr>
                <w:rFonts w:ascii="Arial" w:hAnsi="Arial" w:cs="Arial"/>
                <w:i/>
              </w:rPr>
              <w:t>8.5</w:t>
            </w:r>
          </w:p>
        </w:tc>
        <w:tc>
          <w:tcPr>
            <w:tcW w:w="378" w:type="pct"/>
            <w:vAlign w:val="center"/>
          </w:tcPr>
          <w:p w14:paraId="12D4AAEF" w14:textId="6B66E331" w:rsidR="00191C13" w:rsidRPr="00302082" w:rsidRDefault="00191C13" w:rsidP="00191C13">
            <w:pPr>
              <w:spacing w:after="120"/>
              <w:jc w:val="center"/>
              <w:rPr>
                <w:rFonts w:ascii="Arial" w:hAnsi="Arial" w:cs="Arial"/>
                <w:i/>
              </w:rPr>
            </w:pPr>
            <w:r w:rsidRPr="00302082">
              <w:rPr>
                <w:rFonts w:ascii="Arial" w:hAnsi="Arial" w:cs="Arial"/>
                <w:i/>
              </w:rPr>
              <w:t>9.1</w:t>
            </w:r>
          </w:p>
        </w:tc>
        <w:tc>
          <w:tcPr>
            <w:tcW w:w="378" w:type="pct"/>
            <w:vAlign w:val="center"/>
          </w:tcPr>
          <w:p w14:paraId="03AE5271" w14:textId="6526B886" w:rsidR="00191C13" w:rsidRPr="00302082" w:rsidRDefault="00191C13" w:rsidP="00191C13">
            <w:pPr>
              <w:spacing w:after="120"/>
              <w:jc w:val="center"/>
              <w:rPr>
                <w:rFonts w:ascii="Arial" w:hAnsi="Arial" w:cs="Arial"/>
                <w:i/>
              </w:rPr>
            </w:pPr>
            <w:r w:rsidRPr="00302082">
              <w:rPr>
                <w:rFonts w:ascii="Arial" w:hAnsi="Arial" w:cs="Arial"/>
                <w:i/>
              </w:rPr>
              <w:t>9.2</w:t>
            </w:r>
          </w:p>
        </w:tc>
        <w:tc>
          <w:tcPr>
            <w:tcW w:w="378" w:type="pct"/>
            <w:vAlign w:val="center"/>
          </w:tcPr>
          <w:p w14:paraId="519D74B1" w14:textId="1981D1E9" w:rsidR="00191C13" w:rsidRPr="00302082" w:rsidRDefault="00191C13" w:rsidP="00191C13">
            <w:pPr>
              <w:spacing w:after="120"/>
              <w:jc w:val="center"/>
              <w:rPr>
                <w:rFonts w:ascii="Arial" w:hAnsi="Arial" w:cs="Arial"/>
                <w:i/>
              </w:rPr>
            </w:pPr>
            <w:r w:rsidRPr="00302082">
              <w:rPr>
                <w:rFonts w:ascii="Arial" w:hAnsi="Arial" w:cs="Arial"/>
                <w:i/>
              </w:rPr>
              <w:t>9.3</w:t>
            </w:r>
          </w:p>
        </w:tc>
        <w:tc>
          <w:tcPr>
            <w:tcW w:w="378" w:type="pct"/>
            <w:vAlign w:val="center"/>
          </w:tcPr>
          <w:p w14:paraId="20929A9F" w14:textId="245E9A55" w:rsidR="00191C13" w:rsidRPr="00302082" w:rsidRDefault="00191C13" w:rsidP="00191C13">
            <w:pPr>
              <w:spacing w:after="120"/>
              <w:jc w:val="center"/>
              <w:rPr>
                <w:rFonts w:ascii="Arial" w:hAnsi="Arial" w:cs="Arial"/>
                <w:i/>
              </w:rPr>
            </w:pPr>
            <w:r w:rsidRPr="00302082">
              <w:rPr>
                <w:rFonts w:ascii="Arial" w:hAnsi="Arial" w:cs="Arial"/>
                <w:i/>
              </w:rPr>
              <w:t>9.4</w:t>
            </w:r>
          </w:p>
        </w:tc>
        <w:tc>
          <w:tcPr>
            <w:tcW w:w="376" w:type="pct"/>
            <w:vAlign w:val="center"/>
          </w:tcPr>
          <w:p w14:paraId="334283F4" w14:textId="5C537BAE" w:rsidR="00191C13" w:rsidRPr="00302082" w:rsidRDefault="00191C13" w:rsidP="00191C13">
            <w:pPr>
              <w:spacing w:after="120"/>
              <w:jc w:val="center"/>
              <w:rPr>
                <w:rFonts w:ascii="Arial" w:hAnsi="Arial" w:cs="Arial"/>
                <w:i/>
              </w:rPr>
            </w:pPr>
            <w:r>
              <w:rPr>
                <w:rFonts w:ascii="Arial" w:hAnsi="Arial" w:cs="Arial"/>
                <w:i/>
              </w:rPr>
              <w:t>9.5</w:t>
            </w:r>
          </w:p>
        </w:tc>
      </w:tr>
      <w:tr w:rsidR="00191C13" w:rsidRPr="00302082" w14:paraId="0843F51A" w14:textId="77777777" w:rsidTr="00EA1B26">
        <w:tc>
          <w:tcPr>
            <w:tcW w:w="1222" w:type="pct"/>
            <w:shd w:val="clear" w:color="auto" w:fill="D9D9D9" w:themeFill="background1" w:themeFillShade="D9"/>
          </w:tcPr>
          <w:p w14:paraId="675FED22" w14:textId="77777777" w:rsidR="00191C13" w:rsidRPr="00302082" w:rsidRDefault="00191C13" w:rsidP="00191C13">
            <w:pPr>
              <w:spacing w:after="120"/>
              <w:rPr>
                <w:rFonts w:ascii="Arial" w:hAnsi="Arial" w:cs="Arial"/>
                <w:b/>
              </w:rPr>
            </w:pPr>
            <w:r w:rsidRPr="00302082">
              <w:rPr>
                <w:rFonts w:ascii="Arial" w:hAnsi="Arial" w:cs="Arial"/>
                <w:b/>
              </w:rPr>
              <w:t>Learning/ teaching method</w:t>
            </w:r>
          </w:p>
        </w:tc>
        <w:tc>
          <w:tcPr>
            <w:tcW w:w="378" w:type="pct"/>
            <w:vAlign w:val="center"/>
          </w:tcPr>
          <w:p w14:paraId="66190EC9" w14:textId="77777777" w:rsidR="00191C13" w:rsidRPr="00302082" w:rsidRDefault="00191C13" w:rsidP="00191C13">
            <w:pPr>
              <w:spacing w:after="120"/>
              <w:jc w:val="center"/>
              <w:rPr>
                <w:rFonts w:ascii="Arial" w:hAnsi="Arial" w:cs="Arial"/>
                <w:b/>
              </w:rPr>
            </w:pPr>
          </w:p>
        </w:tc>
        <w:tc>
          <w:tcPr>
            <w:tcW w:w="378" w:type="pct"/>
            <w:vAlign w:val="center"/>
          </w:tcPr>
          <w:p w14:paraId="6A592243" w14:textId="77777777" w:rsidR="00191C13" w:rsidRPr="00302082" w:rsidRDefault="00191C13" w:rsidP="00191C13">
            <w:pPr>
              <w:spacing w:after="120"/>
              <w:jc w:val="center"/>
              <w:rPr>
                <w:rFonts w:ascii="Arial" w:hAnsi="Arial" w:cs="Arial"/>
                <w:b/>
              </w:rPr>
            </w:pPr>
          </w:p>
        </w:tc>
        <w:tc>
          <w:tcPr>
            <w:tcW w:w="378" w:type="pct"/>
            <w:vAlign w:val="center"/>
          </w:tcPr>
          <w:p w14:paraId="78845E18" w14:textId="77777777" w:rsidR="00191C13" w:rsidRPr="00302082" w:rsidRDefault="00191C13" w:rsidP="00191C13">
            <w:pPr>
              <w:spacing w:after="120"/>
              <w:jc w:val="center"/>
              <w:rPr>
                <w:rFonts w:ascii="Arial" w:hAnsi="Arial" w:cs="Arial"/>
                <w:b/>
              </w:rPr>
            </w:pPr>
          </w:p>
        </w:tc>
        <w:tc>
          <w:tcPr>
            <w:tcW w:w="378" w:type="pct"/>
            <w:vAlign w:val="center"/>
          </w:tcPr>
          <w:p w14:paraId="091AC54B" w14:textId="77777777" w:rsidR="00191C13" w:rsidRPr="00302082" w:rsidRDefault="00191C13" w:rsidP="00191C13">
            <w:pPr>
              <w:spacing w:after="120"/>
              <w:jc w:val="center"/>
              <w:rPr>
                <w:rFonts w:ascii="Arial" w:hAnsi="Arial" w:cs="Arial"/>
                <w:b/>
              </w:rPr>
            </w:pPr>
          </w:p>
        </w:tc>
        <w:tc>
          <w:tcPr>
            <w:tcW w:w="378" w:type="pct"/>
            <w:vAlign w:val="center"/>
          </w:tcPr>
          <w:p w14:paraId="630F8A69" w14:textId="77777777" w:rsidR="00191C13" w:rsidRPr="00302082" w:rsidRDefault="00191C13" w:rsidP="00191C13">
            <w:pPr>
              <w:spacing w:after="120"/>
              <w:jc w:val="center"/>
              <w:rPr>
                <w:rFonts w:ascii="Arial" w:hAnsi="Arial" w:cs="Arial"/>
                <w:b/>
              </w:rPr>
            </w:pPr>
          </w:p>
        </w:tc>
        <w:tc>
          <w:tcPr>
            <w:tcW w:w="378" w:type="pct"/>
            <w:vAlign w:val="center"/>
          </w:tcPr>
          <w:p w14:paraId="663DD8E0" w14:textId="77777777" w:rsidR="00191C13" w:rsidRPr="00302082" w:rsidRDefault="00191C13" w:rsidP="00191C13">
            <w:pPr>
              <w:spacing w:after="120"/>
              <w:jc w:val="center"/>
              <w:rPr>
                <w:rFonts w:ascii="Arial" w:hAnsi="Arial" w:cs="Arial"/>
                <w:b/>
              </w:rPr>
            </w:pPr>
          </w:p>
        </w:tc>
        <w:tc>
          <w:tcPr>
            <w:tcW w:w="378" w:type="pct"/>
            <w:vAlign w:val="center"/>
          </w:tcPr>
          <w:p w14:paraId="6DB5F771" w14:textId="77777777" w:rsidR="00191C13" w:rsidRPr="00302082" w:rsidRDefault="00191C13" w:rsidP="00191C13">
            <w:pPr>
              <w:spacing w:after="120"/>
              <w:jc w:val="center"/>
              <w:rPr>
                <w:rFonts w:ascii="Arial" w:hAnsi="Arial" w:cs="Arial"/>
                <w:b/>
              </w:rPr>
            </w:pPr>
          </w:p>
        </w:tc>
        <w:tc>
          <w:tcPr>
            <w:tcW w:w="378" w:type="pct"/>
            <w:vAlign w:val="center"/>
          </w:tcPr>
          <w:p w14:paraId="78E2A3BB" w14:textId="77777777" w:rsidR="00191C13" w:rsidRPr="00302082" w:rsidRDefault="00191C13" w:rsidP="00191C13">
            <w:pPr>
              <w:spacing w:after="120"/>
              <w:jc w:val="center"/>
              <w:rPr>
                <w:rFonts w:ascii="Arial" w:hAnsi="Arial" w:cs="Arial"/>
                <w:b/>
              </w:rPr>
            </w:pPr>
          </w:p>
        </w:tc>
        <w:tc>
          <w:tcPr>
            <w:tcW w:w="378" w:type="pct"/>
            <w:vAlign w:val="center"/>
          </w:tcPr>
          <w:p w14:paraId="29B03C8A" w14:textId="77777777" w:rsidR="00191C13" w:rsidRPr="00302082" w:rsidRDefault="00191C13" w:rsidP="00191C13">
            <w:pPr>
              <w:spacing w:after="120"/>
              <w:jc w:val="center"/>
              <w:rPr>
                <w:rFonts w:ascii="Arial" w:hAnsi="Arial" w:cs="Arial"/>
                <w:b/>
              </w:rPr>
            </w:pPr>
          </w:p>
        </w:tc>
        <w:tc>
          <w:tcPr>
            <w:tcW w:w="376" w:type="pct"/>
            <w:vAlign w:val="center"/>
          </w:tcPr>
          <w:p w14:paraId="690F3A7E" w14:textId="77777777" w:rsidR="00191C13" w:rsidRPr="00302082" w:rsidRDefault="00191C13" w:rsidP="00191C13">
            <w:pPr>
              <w:spacing w:after="120"/>
              <w:jc w:val="center"/>
              <w:rPr>
                <w:rFonts w:ascii="Arial" w:hAnsi="Arial" w:cs="Arial"/>
                <w:b/>
              </w:rPr>
            </w:pPr>
          </w:p>
        </w:tc>
      </w:tr>
      <w:tr w:rsidR="00191C13" w:rsidRPr="00302082" w14:paraId="276E99E2" w14:textId="77777777" w:rsidTr="00EA1B26">
        <w:tc>
          <w:tcPr>
            <w:tcW w:w="1222" w:type="pct"/>
          </w:tcPr>
          <w:p w14:paraId="321EAD8E" w14:textId="0CEC7F1A" w:rsidR="00191C13" w:rsidRPr="006E4A46" w:rsidRDefault="006E4A46" w:rsidP="00191C13">
            <w:pPr>
              <w:spacing w:after="120"/>
              <w:rPr>
                <w:rFonts w:ascii="Arial" w:hAnsi="Arial" w:cs="Arial"/>
                <w:i/>
              </w:rPr>
            </w:pPr>
            <w:r w:rsidRPr="006E4A46">
              <w:rPr>
                <w:rFonts w:ascii="Arial" w:hAnsi="Arial" w:cs="Arial"/>
                <w:i/>
              </w:rPr>
              <w:t xml:space="preserve">Lecture </w:t>
            </w:r>
          </w:p>
        </w:tc>
        <w:tc>
          <w:tcPr>
            <w:tcW w:w="378" w:type="pct"/>
            <w:vAlign w:val="center"/>
          </w:tcPr>
          <w:p w14:paraId="5DF4E285" w14:textId="3454FF20"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16A30287" w14:textId="0B1887E0"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06A4B257" w14:textId="00CF6A49"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775A570B" w14:textId="45B05BF9"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5FCA3DFA" w14:textId="57C84521"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CB878C2" w14:textId="5D4D6DFE"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7BFD9B9D" w14:textId="796EFC09"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4B47E107" w14:textId="13B48DBE"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1F90A149" w14:textId="77777777" w:rsidR="00191C13" w:rsidRPr="00302082" w:rsidRDefault="00191C13" w:rsidP="00191C13">
            <w:pPr>
              <w:spacing w:after="120"/>
              <w:jc w:val="center"/>
              <w:rPr>
                <w:rFonts w:ascii="Arial" w:hAnsi="Arial" w:cs="Arial"/>
                <w:b/>
              </w:rPr>
            </w:pPr>
          </w:p>
        </w:tc>
        <w:tc>
          <w:tcPr>
            <w:tcW w:w="376" w:type="pct"/>
            <w:vAlign w:val="center"/>
          </w:tcPr>
          <w:p w14:paraId="0A883BE6" w14:textId="74D89F49" w:rsidR="00191C13" w:rsidRPr="00302082" w:rsidRDefault="00EA1B26" w:rsidP="00191C13">
            <w:pPr>
              <w:spacing w:after="120"/>
              <w:jc w:val="center"/>
              <w:rPr>
                <w:rFonts w:ascii="Arial" w:hAnsi="Arial" w:cs="Arial"/>
                <w:b/>
              </w:rPr>
            </w:pPr>
            <w:r>
              <w:rPr>
                <w:rFonts w:ascii="Arial" w:hAnsi="Arial" w:cs="Arial"/>
                <w:b/>
              </w:rPr>
              <w:t>x</w:t>
            </w:r>
          </w:p>
        </w:tc>
      </w:tr>
      <w:tr w:rsidR="00191C13" w:rsidRPr="00302082" w14:paraId="1B92A0CB" w14:textId="77777777" w:rsidTr="00EA1B26">
        <w:tc>
          <w:tcPr>
            <w:tcW w:w="1222" w:type="pct"/>
          </w:tcPr>
          <w:p w14:paraId="591236D6" w14:textId="13C3A443" w:rsidR="00191C13" w:rsidRPr="00302082" w:rsidRDefault="006E4A46" w:rsidP="006E4A46">
            <w:pPr>
              <w:spacing w:after="120"/>
              <w:rPr>
                <w:rFonts w:ascii="Arial" w:hAnsi="Arial" w:cs="Arial"/>
                <w:i/>
              </w:rPr>
            </w:pPr>
            <w:r>
              <w:rPr>
                <w:rFonts w:ascii="Arial" w:hAnsi="Arial" w:cs="Arial"/>
                <w:i/>
              </w:rPr>
              <w:t>Seminar</w:t>
            </w:r>
          </w:p>
        </w:tc>
        <w:tc>
          <w:tcPr>
            <w:tcW w:w="378" w:type="pct"/>
            <w:vAlign w:val="center"/>
          </w:tcPr>
          <w:p w14:paraId="2ACE9160" w14:textId="2C4C71DA"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51ABDD5A" w14:textId="3F919F1E"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4957987E" w14:textId="14135001"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4081E899" w14:textId="3F17DE47"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52C512B8" w14:textId="4CEB9DA6"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D6BEE37" w14:textId="79A33C77"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09E97DC" w14:textId="1885580F"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3F34B1B5" w14:textId="7482E401"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3923DF9" w14:textId="2EB5733C" w:rsidR="00191C13" w:rsidRPr="00302082" w:rsidRDefault="00EA1B26" w:rsidP="00191C13">
            <w:pPr>
              <w:spacing w:after="120"/>
              <w:jc w:val="center"/>
              <w:rPr>
                <w:rFonts w:ascii="Arial" w:hAnsi="Arial" w:cs="Arial"/>
                <w:b/>
              </w:rPr>
            </w:pPr>
            <w:r>
              <w:rPr>
                <w:rFonts w:ascii="Arial" w:hAnsi="Arial" w:cs="Arial"/>
                <w:b/>
              </w:rPr>
              <w:t>x</w:t>
            </w:r>
          </w:p>
        </w:tc>
        <w:tc>
          <w:tcPr>
            <w:tcW w:w="376" w:type="pct"/>
            <w:vAlign w:val="center"/>
          </w:tcPr>
          <w:p w14:paraId="7C6075C2" w14:textId="46E86253" w:rsidR="00191C13" w:rsidRPr="00302082" w:rsidRDefault="00EA1B26" w:rsidP="00191C13">
            <w:pPr>
              <w:spacing w:after="120"/>
              <w:jc w:val="center"/>
              <w:rPr>
                <w:rFonts w:ascii="Arial" w:hAnsi="Arial" w:cs="Arial"/>
                <w:b/>
              </w:rPr>
            </w:pPr>
            <w:r>
              <w:rPr>
                <w:rFonts w:ascii="Arial" w:hAnsi="Arial" w:cs="Arial"/>
                <w:b/>
              </w:rPr>
              <w:t>x</w:t>
            </w:r>
          </w:p>
        </w:tc>
      </w:tr>
      <w:tr w:rsidR="00191C13" w:rsidRPr="00302082" w14:paraId="6EDEA793" w14:textId="77777777" w:rsidTr="00EA1B26">
        <w:tc>
          <w:tcPr>
            <w:tcW w:w="1222" w:type="pct"/>
          </w:tcPr>
          <w:p w14:paraId="632F5566" w14:textId="18EDF5DD" w:rsidR="00191C13" w:rsidRPr="006E4A46" w:rsidRDefault="006E4A46" w:rsidP="00191C13">
            <w:pPr>
              <w:spacing w:after="120"/>
              <w:rPr>
                <w:rFonts w:ascii="Arial" w:hAnsi="Arial" w:cs="Arial"/>
                <w:i/>
              </w:rPr>
            </w:pPr>
            <w:r w:rsidRPr="006E4A46">
              <w:rPr>
                <w:rFonts w:ascii="Arial" w:hAnsi="Arial" w:cs="Arial"/>
                <w:i/>
              </w:rPr>
              <w:t>Private Study</w:t>
            </w:r>
          </w:p>
        </w:tc>
        <w:tc>
          <w:tcPr>
            <w:tcW w:w="378" w:type="pct"/>
            <w:vAlign w:val="center"/>
          </w:tcPr>
          <w:p w14:paraId="29EC191A" w14:textId="41C7ECF9"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18BB543" w14:textId="2D4E15CB"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47B5BBBB" w14:textId="700FD274"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21EFE075" w14:textId="1B60BC74"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0A82B516" w14:textId="53AAE1FD"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5369B288" w14:textId="5D2E7865"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18F2E553" w14:textId="088889BD"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3954536E" w14:textId="25377B1F"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7311783A" w14:textId="1012C3D4" w:rsidR="00191C13" w:rsidRPr="00302082" w:rsidRDefault="00EA1B26" w:rsidP="00191C13">
            <w:pPr>
              <w:spacing w:after="120"/>
              <w:jc w:val="center"/>
              <w:rPr>
                <w:rFonts w:ascii="Arial" w:hAnsi="Arial" w:cs="Arial"/>
                <w:b/>
              </w:rPr>
            </w:pPr>
            <w:r>
              <w:rPr>
                <w:rFonts w:ascii="Arial" w:hAnsi="Arial" w:cs="Arial"/>
                <w:b/>
              </w:rPr>
              <w:t>x</w:t>
            </w:r>
          </w:p>
        </w:tc>
        <w:tc>
          <w:tcPr>
            <w:tcW w:w="376" w:type="pct"/>
            <w:vAlign w:val="center"/>
          </w:tcPr>
          <w:p w14:paraId="003E3E0A" w14:textId="2AEBB855" w:rsidR="00191C13" w:rsidRPr="00302082" w:rsidRDefault="00EA1B26" w:rsidP="00191C13">
            <w:pPr>
              <w:spacing w:after="120"/>
              <w:jc w:val="center"/>
              <w:rPr>
                <w:rFonts w:ascii="Arial" w:hAnsi="Arial" w:cs="Arial"/>
                <w:b/>
              </w:rPr>
            </w:pPr>
            <w:r>
              <w:rPr>
                <w:rFonts w:ascii="Arial" w:hAnsi="Arial" w:cs="Arial"/>
                <w:b/>
              </w:rPr>
              <w:t>x</w:t>
            </w:r>
          </w:p>
        </w:tc>
      </w:tr>
      <w:tr w:rsidR="00191C13" w:rsidRPr="00302082" w14:paraId="0A04055E" w14:textId="77777777" w:rsidTr="00EA1B26">
        <w:tc>
          <w:tcPr>
            <w:tcW w:w="1222" w:type="pct"/>
            <w:shd w:val="clear" w:color="auto" w:fill="D9D9D9" w:themeFill="background1" w:themeFillShade="D9"/>
          </w:tcPr>
          <w:p w14:paraId="160461D9" w14:textId="77777777" w:rsidR="00191C13" w:rsidRPr="00302082" w:rsidRDefault="00191C13" w:rsidP="00191C13">
            <w:pPr>
              <w:spacing w:after="120"/>
              <w:rPr>
                <w:rFonts w:ascii="Arial" w:hAnsi="Arial" w:cs="Arial"/>
                <w:b/>
              </w:rPr>
            </w:pPr>
            <w:r w:rsidRPr="00302082">
              <w:rPr>
                <w:rFonts w:ascii="Arial" w:hAnsi="Arial" w:cs="Arial"/>
                <w:b/>
              </w:rPr>
              <w:t>Assessment method</w:t>
            </w:r>
          </w:p>
        </w:tc>
        <w:tc>
          <w:tcPr>
            <w:tcW w:w="378" w:type="pct"/>
            <w:vAlign w:val="center"/>
          </w:tcPr>
          <w:p w14:paraId="412A8305" w14:textId="77777777" w:rsidR="00191C13" w:rsidRPr="00302082" w:rsidRDefault="00191C13" w:rsidP="00191C13">
            <w:pPr>
              <w:spacing w:after="120"/>
              <w:jc w:val="center"/>
              <w:rPr>
                <w:rFonts w:ascii="Arial" w:hAnsi="Arial" w:cs="Arial"/>
                <w:b/>
              </w:rPr>
            </w:pPr>
          </w:p>
        </w:tc>
        <w:tc>
          <w:tcPr>
            <w:tcW w:w="378" w:type="pct"/>
            <w:vAlign w:val="center"/>
          </w:tcPr>
          <w:p w14:paraId="16F131B5" w14:textId="77777777" w:rsidR="00191C13" w:rsidRPr="00302082" w:rsidRDefault="00191C13" w:rsidP="00191C13">
            <w:pPr>
              <w:spacing w:after="120"/>
              <w:jc w:val="center"/>
              <w:rPr>
                <w:rFonts w:ascii="Arial" w:hAnsi="Arial" w:cs="Arial"/>
                <w:b/>
              </w:rPr>
            </w:pPr>
          </w:p>
        </w:tc>
        <w:tc>
          <w:tcPr>
            <w:tcW w:w="378" w:type="pct"/>
            <w:vAlign w:val="center"/>
          </w:tcPr>
          <w:p w14:paraId="3E0CACE5" w14:textId="77777777" w:rsidR="00191C13" w:rsidRPr="00302082" w:rsidRDefault="00191C13" w:rsidP="00191C13">
            <w:pPr>
              <w:spacing w:after="120"/>
              <w:jc w:val="center"/>
              <w:rPr>
                <w:rFonts w:ascii="Arial" w:hAnsi="Arial" w:cs="Arial"/>
                <w:b/>
              </w:rPr>
            </w:pPr>
          </w:p>
        </w:tc>
        <w:tc>
          <w:tcPr>
            <w:tcW w:w="378" w:type="pct"/>
            <w:vAlign w:val="center"/>
          </w:tcPr>
          <w:p w14:paraId="07519341" w14:textId="77777777" w:rsidR="00191C13" w:rsidRPr="00302082" w:rsidRDefault="00191C13" w:rsidP="00191C13">
            <w:pPr>
              <w:spacing w:after="120"/>
              <w:jc w:val="center"/>
              <w:rPr>
                <w:rFonts w:ascii="Arial" w:hAnsi="Arial" w:cs="Arial"/>
                <w:b/>
              </w:rPr>
            </w:pPr>
          </w:p>
        </w:tc>
        <w:tc>
          <w:tcPr>
            <w:tcW w:w="378" w:type="pct"/>
            <w:vAlign w:val="center"/>
          </w:tcPr>
          <w:p w14:paraId="5F8AD1B8" w14:textId="77777777" w:rsidR="00191C13" w:rsidRPr="00302082" w:rsidRDefault="00191C13" w:rsidP="00191C13">
            <w:pPr>
              <w:spacing w:after="120"/>
              <w:jc w:val="center"/>
              <w:rPr>
                <w:rFonts w:ascii="Arial" w:hAnsi="Arial" w:cs="Arial"/>
                <w:b/>
              </w:rPr>
            </w:pPr>
          </w:p>
        </w:tc>
        <w:tc>
          <w:tcPr>
            <w:tcW w:w="378" w:type="pct"/>
            <w:vAlign w:val="center"/>
          </w:tcPr>
          <w:p w14:paraId="6B9C6705" w14:textId="77777777" w:rsidR="00191C13" w:rsidRPr="00302082" w:rsidRDefault="00191C13" w:rsidP="00191C13">
            <w:pPr>
              <w:spacing w:after="120"/>
              <w:jc w:val="center"/>
              <w:rPr>
                <w:rFonts w:ascii="Arial" w:hAnsi="Arial" w:cs="Arial"/>
                <w:b/>
              </w:rPr>
            </w:pPr>
          </w:p>
        </w:tc>
        <w:tc>
          <w:tcPr>
            <w:tcW w:w="378" w:type="pct"/>
            <w:vAlign w:val="center"/>
          </w:tcPr>
          <w:p w14:paraId="6A290939" w14:textId="77777777" w:rsidR="00191C13" w:rsidRPr="00302082" w:rsidRDefault="00191C13" w:rsidP="00191C13">
            <w:pPr>
              <w:spacing w:after="120"/>
              <w:jc w:val="center"/>
              <w:rPr>
                <w:rFonts w:ascii="Arial" w:hAnsi="Arial" w:cs="Arial"/>
                <w:b/>
              </w:rPr>
            </w:pPr>
          </w:p>
        </w:tc>
        <w:tc>
          <w:tcPr>
            <w:tcW w:w="378" w:type="pct"/>
            <w:vAlign w:val="center"/>
          </w:tcPr>
          <w:p w14:paraId="4353CAD0" w14:textId="77777777" w:rsidR="00191C13" w:rsidRPr="00302082" w:rsidRDefault="00191C13" w:rsidP="00191C13">
            <w:pPr>
              <w:spacing w:after="120"/>
              <w:jc w:val="center"/>
              <w:rPr>
                <w:rFonts w:ascii="Arial" w:hAnsi="Arial" w:cs="Arial"/>
                <w:b/>
              </w:rPr>
            </w:pPr>
          </w:p>
        </w:tc>
        <w:tc>
          <w:tcPr>
            <w:tcW w:w="378" w:type="pct"/>
            <w:vAlign w:val="center"/>
          </w:tcPr>
          <w:p w14:paraId="0098781D" w14:textId="77777777" w:rsidR="00191C13" w:rsidRPr="00302082" w:rsidRDefault="00191C13" w:rsidP="00191C13">
            <w:pPr>
              <w:spacing w:after="120"/>
              <w:jc w:val="center"/>
              <w:rPr>
                <w:rFonts w:ascii="Arial" w:hAnsi="Arial" w:cs="Arial"/>
                <w:b/>
              </w:rPr>
            </w:pPr>
          </w:p>
        </w:tc>
        <w:tc>
          <w:tcPr>
            <w:tcW w:w="376" w:type="pct"/>
            <w:vAlign w:val="center"/>
          </w:tcPr>
          <w:p w14:paraId="7444AF3F" w14:textId="77777777" w:rsidR="00191C13" w:rsidRPr="00302082" w:rsidRDefault="00191C13" w:rsidP="00191C13">
            <w:pPr>
              <w:spacing w:after="120"/>
              <w:jc w:val="center"/>
              <w:rPr>
                <w:rFonts w:ascii="Arial" w:hAnsi="Arial" w:cs="Arial"/>
                <w:b/>
              </w:rPr>
            </w:pPr>
          </w:p>
        </w:tc>
      </w:tr>
      <w:tr w:rsidR="00191C13" w:rsidRPr="00302082" w14:paraId="0A57A265" w14:textId="77777777" w:rsidTr="00EA1B26">
        <w:tc>
          <w:tcPr>
            <w:tcW w:w="1222" w:type="pct"/>
          </w:tcPr>
          <w:p w14:paraId="574EA15E" w14:textId="0E5FB6DA" w:rsidR="00191C13" w:rsidRPr="00302082" w:rsidRDefault="006E4A46" w:rsidP="00191C13">
            <w:pPr>
              <w:spacing w:after="120"/>
              <w:rPr>
                <w:rFonts w:ascii="Arial" w:hAnsi="Arial" w:cs="Arial"/>
                <w:i/>
              </w:rPr>
            </w:pPr>
            <w:r>
              <w:rPr>
                <w:rFonts w:ascii="Arial" w:hAnsi="Arial" w:cs="Arial"/>
                <w:i/>
              </w:rPr>
              <w:t xml:space="preserve">Seminar </w:t>
            </w:r>
            <w:r w:rsidR="00CF7EF8">
              <w:rPr>
                <w:rFonts w:ascii="Arial" w:hAnsi="Arial" w:cs="Arial"/>
                <w:i/>
              </w:rPr>
              <w:t xml:space="preserve">work and </w:t>
            </w:r>
            <w:r>
              <w:rPr>
                <w:rFonts w:ascii="Arial" w:hAnsi="Arial" w:cs="Arial"/>
                <w:i/>
              </w:rPr>
              <w:t>participation</w:t>
            </w:r>
            <w:r w:rsidR="003A4B67">
              <w:rPr>
                <w:rFonts w:ascii="Arial" w:hAnsi="Arial" w:cs="Arial"/>
                <w:i/>
              </w:rPr>
              <w:t xml:space="preserve"> (1)</w:t>
            </w:r>
          </w:p>
        </w:tc>
        <w:tc>
          <w:tcPr>
            <w:tcW w:w="378" w:type="pct"/>
            <w:vAlign w:val="center"/>
          </w:tcPr>
          <w:p w14:paraId="7E917227" w14:textId="69BAAD6E"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2CD54EA9" w14:textId="27DD4E55"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0E37730D" w14:textId="4865E2D2"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00458268" w14:textId="4A2C0155"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05A88A9B" w14:textId="5D974C01"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2DD9FFFA" w14:textId="2E8612D0"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1F3DED5B" w14:textId="7C4C417A"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25C76CF4" w14:textId="2D099A08" w:rsidR="00191C13" w:rsidRPr="00302082" w:rsidRDefault="00EA1B26" w:rsidP="00191C13">
            <w:pPr>
              <w:spacing w:after="120"/>
              <w:jc w:val="center"/>
              <w:rPr>
                <w:rFonts w:ascii="Arial" w:hAnsi="Arial" w:cs="Arial"/>
                <w:b/>
              </w:rPr>
            </w:pPr>
            <w:r>
              <w:rPr>
                <w:rFonts w:ascii="Arial" w:hAnsi="Arial" w:cs="Arial"/>
                <w:b/>
              </w:rPr>
              <w:t>x</w:t>
            </w:r>
          </w:p>
        </w:tc>
        <w:tc>
          <w:tcPr>
            <w:tcW w:w="378" w:type="pct"/>
            <w:vAlign w:val="center"/>
          </w:tcPr>
          <w:p w14:paraId="6EAB80E7" w14:textId="4847E9AD" w:rsidR="00191C13" w:rsidRPr="00302082" w:rsidRDefault="00EA1B26" w:rsidP="00191C13">
            <w:pPr>
              <w:spacing w:after="120"/>
              <w:jc w:val="center"/>
              <w:rPr>
                <w:rFonts w:ascii="Arial" w:hAnsi="Arial" w:cs="Arial"/>
                <w:b/>
              </w:rPr>
            </w:pPr>
            <w:r>
              <w:rPr>
                <w:rFonts w:ascii="Arial" w:hAnsi="Arial" w:cs="Arial"/>
                <w:b/>
              </w:rPr>
              <w:t>x</w:t>
            </w:r>
          </w:p>
        </w:tc>
        <w:tc>
          <w:tcPr>
            <w:tcW w:w="376" w:type="pct"/>
            <w:vAlign w:val="center"/>
          </w:tcPr>
          <w:p w14:paraId="447CFF36" w14:textId="416FB1D6" w:rsidR="00191C13" w:rsidRPr="00302082" w:rsidRDefault="00EA1B26" w:rsidP="00191C13">
            <w:pPr>
              <w:spacing w:after="120"/>
              <w:jc w:val="center"/>
              <w:rPr>
                <w:rFonts w:ascii="Arial" w:hAnsi="Arial" w:cs="Arial"/>
                <w:b/>
              </w:rPr>
            </w:pPr>
            <w:r>
              <w:rPr>
                <w:rFonts w:ascii="Arial" w:hAnsi="Arial" w:cs="Arial"/>
                <w:b/>
              </w:rPr>
              <w:t>x</w:t>
            </w:r>
          </w:p>
        </w:tc>
      </w:tr>
      <w:tr w:rsidR="003A4B67" w:rsidRPr="00302082" w14:paraId="4F56F99F" w14:textId="77777777" w:rsidTr="00EA1B26">
        <w:tc>
          <w:tcPr>
            <w:tcW w:w="1222" w:type="pct"/>
          </w:tcPr>
          <w:p w14:paraId="7E88A1E0" w14:textId="405C4631" w:rsidR="003A4B67" w:rsidRDefault="003A4B67" w:rsidP="003A4B67">
            <w:pPr>
              <w:spacing w:after="120"/>
              <w:rPr>
                <w:rFonts w:ascii="Arial" w:hAnsi="Arial" w:cs="Arial"/>
                <w:i/>
              </w:rPr>
            </w:pPr>
            <w:r>
              <w:rPr>
                <w:rFonts w:ascii="Arial" w:hAnsi="Arial" w:cs="Arial"/>
                <w:i/>
              </w:rPr>
              <w:t>Seminar work and participation (2)</w:t>
            </w:r>
          </w:p>
        </w:tc>
        <w:tc>
          <w:tcPr>
            <w:tcW w:w="378" w:type="pct"/>
            <w:vAlign w:val="center"/>
          </w:tcPr>
          <w:p w14:paraId="5AB70B21" w14:textId="6E05B483"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3B32DB76" w14:textId="6BEAFD2C"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291A1BFB" w14:textId="30FF7D4B"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69B0250D" w14:textId="547666E9"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258A5EC2" w14:textId="5D56C91E"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4861F5B1" w14:textId="656E60E2"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711B707F" w14:textId="5687A7E6"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44B7B93D" w14:textId="2D410EAD" w:rsidR="003A4B67" w:rsidRDefault="003A4B67" w:rsidP="003A4B67">
            <w:pPr>
              <w:spacing w:after="120"/>
              <w:jc w:val="center"/>
              <w:rPr>
                <w:rFonts w:ascii="Arial" w:hAnsi="Arial" w:cs="Arial"/>
                <w:b/>
              </w:rPr>
            </w:pPr>
            <w:r>
              <w:rPr>
                <w:rFonts w:ascii="Arial" w:hAnsi="Arial" w:cs="Arial"/>
                <w:b/>
              </w:rPr>
              <w:t>x</w:t>
            </w:r>
          </w:p>
        </w:tc>
        <w:tc>
          <w:tcPr>
            <w:tcW w:w="378" w:type="pct"/>
            <w:vAlign w:val="center"/>
          </w:tcPr>
          <w:p w14:paraId="574A31CD" w14:textId="33DCE0CF" w:rsidR="003A4B67" w:rsidRDefault="003A4B67" w:rsidP="003A4B67">
            <w:pPr>
              <w:spacing w:after="120"/>
              <w:jc w:val="center"/>
              <w:rPr>
                <w:rFonts w:ascii="Arial" w:hAnsi="Arial" w:cs="Arial"/>
                <w:b/>
              </w:rPr>
            </w:pPr>
            <w:r>
              <w:rPr>
                <w:rFonts w:ascii="Arial" w:hAnsi="Arial" w:cs="Arial"/>
                <w:b/>
              </w:rPr>
              <w:t>x</w:t>
            </w:r>
          </w:p>
        </w:tc>
        <w:tc>
          <w:tcPr>
            <w:tcW w:w="376" w:type="pct"/>
            <w:vAlign w:val="center"/>
          </w:tcPr>
          <w:p w14:paraId="54655ABD" w14:textId="3BA9367F" w:rsidR="003A4B67" w:rsidRDefault="003A4B67" w:rsidP="003A4B67">
            <w:pPr>
              <w:spacing w:after="120"/>
              <w:jc w:val="center"/>
              <w:rPr>
                <w:rFonts w:ascii="Arial" w:hAnsi="Arial" w:cs="Arial"/>
                <w:b/>
              </w:rPr>
            </w:pPr>
            <w:r>
              <w:rPr>
                <w:rFonts w:ascii="Arial" w:hAnsi="Arial" w:cs="Arial"/>
                <w:b/>
              </w:rPr>
              <w:t>x</w:t>
            </w:r>
          </w:p>
        </w:tc>
      </w:tr>
      <w:tr w:rsidR="003A4B67" w:rsidRPr="00302082" w14:paraId="65195F6E" w14:textId="77777777" w:rsidTr="00EA1B26">
        <w:tc>
          <w:tcPr>
            <w:tcW w:w="1222" w:type="pct"/>
          </w:tcPr>
          <w:p w14:paraId="5EFDC61F" w14:textId="242FE4AC" w:rsidR="003A4B67" w:rsidRPr="00302082" w:rsidRDefault="003A4B67" w:rsidP="003A4B67">
            <w:pPr>
              <w:spacing w:after="120"/>
              <w:rPr>
                <w:rFonts w:ascii="Arial" w:hAnsi="Arial" w:cs="Arial"/>
                <w:i/>
              </w:rPr>
            </w:pPr>
            <w:r>
              <w:rPr>
                <w:rFonts w:ascii="Arial" w:hAnsi="Arial" w:cs="Arial"/>
                <w:i/>
              </w:rPr>
              <w:t>ICT 1</w:t>
            </w:r>
          </w:p>
        </w:tc>
        <w:tc>
          <w:tcPr>
            <w:tcW w:w="378" w:type="pct"/>
            <w:vAlign w:val="center"/>
          </w:tcPr>
          <w:p w14:paraId="48A66D66" w14:textId="3EAE8108"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33BFCF9A" w14:textId="4798E2C7"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608C0FD9" w14:textId="4F40C216"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7848EDEA" w14:textId="02629F03"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20DC3467" w14:textId="1C7AE17A"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3AD319C7" w14:textId="3128BF52"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4F90B046" w14:textId="03406789"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7CC7441E" w14:textId="04566C18" w:rsidR="003A4B67" w:rsidRPr="00302082" w:rsidRDefault="003A4B67" w:rsidP="003A4B67">
            <w:pPr>
              <w:spacing w:after="120"/>
              <w:jc w:val="center"/>
              <w:rPr>
                <w:rFonts w:ascii="Arial" w:hAnsi="Arial" w:cs="Arial"/>
                <w:b/>
              </w:rPr>
            </w:pPr>
          </w:p>
        </w:tc>
        <w:tc>
          <w:tcPr>
            <w:tcW w:w="378" w:type="pct"/>
            <w:vAlign w:val="center"/>
          </w:tcPr>
          <w:p w14:paraId="038D392D" w14:textId="59DC75A9" w:rsidR="003A4B67" w:rsidRPr="00302082" w:rsidRDefault="003A4B67" w:rsidP="003A4B67">
            <w:pPr>
              <w:spacing w:after="120"/>
              <w:jc w:val="center"/>
              <w:rPr>
                <w:rFonts w:ascii="Arial" w:hAnsi="Arial" w:cs="Arial"/>
                <w:b/>
              </w:rPr>
            </w:pPr>
            <w:r>
              <w:rPr>
                <w:rFonts w:ascii="Arial" w:hAnsi="Arial" w:cs="Arial"/>
                <w:b/>
              </w:rPr>
              <w:t>x</w:t>
            </w:r>
          </w:p>
        </w:tc>
        <w:tc>
          <w:tcPr>
            <w:tcW w:w="376" w:type="pct"/>
            <w:vAlign w:val="center"/>
          </w:tcPr>
          <w:p w14:paraId="5BD713A4" w14:textId="799AB799" w:rsidR="003A4B67" w:rsidRPr="00302082" w:rsidRDefault="003A4B67" w:rsidP="003A4B67">
            <w:pPr>
              <w:spacing w:after="120"/>
              <w:jc w:val="center"/>
              <w:rPr>
                <w:rFonts w:ascii="Arial" w:hAnsi="Arial" w:cs="Arial"/>
                <w:b/>
              </w:rPr>
            </w:pPr>
            <w:r>
              <w:rPr>
                <w:rFonts w:ascii="Arial" w:hAnsi="Arial" w:cs="Arial"/>
                <w:b/>
              </w:rPr>
              <w:t>x</w:t>
            </w:r>
          </w:p>
        </w:tc>
      </w:tr>
      <w:tr w:rsidR="003A4B67" w:rsidRPr="00302082" w14:paraId="52B384FC" w14:textId="77777777" w:rsidTr="00EA1B26">
        <w:tc>
          <w:tcPr>
            <w:tcW w:w="1222" w:type="pct"/>
          </w:tcPr>
          <w:p w14:paraId="18344751" w14:textId="4151BFFA" w:rsidR="003A4B67" w:rsidRPr="00302082" w:rsidRDefault="003A4B67" w:rsidP="003A4B67">
            <w:pPr>
              <w:spacing w:after="120"/>
              <w:rPr>
                <w:rFonts w:ascii="Arial" w:hAnsi="Arial" w:cs="Arial"/>
                <w:i/>
              </w:rPr>
            </w:pPr>
            <w:r>
              <w:rPr>
                <w:rFonts w:ascii="Arial" w:hAnsi="Arial" w:cs="Arial"/>
                <w:i/>
              </w:rPr>
              <w:t>ICT 2</w:t>
            </w:r>
          </w:p>
        </w:tc>
        <w:tc>
          <w:tcPr>
            <w:tcW w:w="378" w:type="pct"/>
            <w:vAlign w:val="center"/>
          </w:tcPr>
          <w:p w14:paraId="28A0B0D0" w14:textId="6CA47727"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37ABF2DB" w14:textId="7C7C15EA"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5A90867C" w14:textId="3F61B0DD"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75843576" w14:textId="21CAD5B2"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6C03D7B7" w14:textId="7D74C51C"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6A777E64" w14:textId="03BAACE6"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0538A65C" w14:textId="2B87B26C"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6952DDB4" w14:textId="261820BC" w:rsidR="003A4B67" w:rsidRPr="00302082" w:rsidRDefault="003A4B67" w:rsidP="003A4B67">
            <w:pPr>
              <w:spacing w:after="120"/>
              <w:jc w:val="center"/>
              <w:rPr>
                <w:rFonts w:ascii="Arial" w:hAnsi="Arial" w:cs="Arial"/>
                <w:b/>
              </w:rPr>
            </w:pPr>
          </w:p>
        </w:tc>
        <w:tc>
          <w:tcPr>
            <w:tcW w:w="378" w:type="pct"/>
            <w:vAlign w:val="center"/>
          </w:tcPr>
          <w:p w14:paraId="2B102AC4" w14:textId="6A6E7989" w:rsidR="003A4B67" w:rsidRPr="00302082" w:rsidRDefault="003A4B67" w:rsidP="003A4B67">
            <w:pPr>
              <w:spacing w:after="120"/>
              <w:jc w:val="center"/>
              <w:rPr>
                <w:rFonts w:ascii="Arial" w:hAnsi="Arial" w:cs="Arial"/>
                <w:b/>
              </w:rPr>
            </w:pPr>
            <w:r>
              <w:rPr>
                <w:rFonts w:ascii="Arial" w:hAnsi="Arial" w:cs="Arial"/>
                <w:b/>
              </w:rPr>
              <w:t>x</w:t>
            </w:r>
          </w:p>
        </w:tc>
        <w:tc>
          <w:tcPr>
            <w:tcW w:w="376" w:type="pct"/>
            <w:vAlign w:val="center"/>
          </w:tcPr>
          <w:p w14:paraId="26457C05" w14:textId="2B395D94" w:rsidR="003A4B67" w:rsidRPr="00302082" w:rsidRDefault="003A4B67" w:rsidP="003A4B67">
            <w:pPr>
              <w:spacing w:after="120"/>
              <w:jc w:val="center"/>
              <w:rPr>
                <w:rFonts w:ascii="Arial" w:hAnsi="Arial" w:cs="Arial"/>
                <w:b/>
              </w:rPr>
            </w:pPr>
            <w:r>
              <w:rPr>
                <w:rFonts w:ascii="Arial" w:hAnsi="Arial" w:cs="Arial"/>
                <w:b/>
              </w:rPr>
              <w:t>x</w:t>
            </w:r>
          </w:p>
        </w:tc>
      </w:tr>
      <w:tr w:rsidR="003A4B67" w:rsidRPr="00302082" w14:paraId="6CF3CF4D" w14:textId="77777777" w:rsidTr="00EA1B26">
        <w:tc>
          <w:tcPr>
            <w:tcW w:w="1222" w:type="pct"/>
          </w:tcPr>
          <w:p w14:paraId="4C01A817" w14:textId="76E66835" w:rsidR="003A4B67" w:rsidRPr="00302082" w:rsidRDefault="003A4B67" w:rsidP="003A4B67">
            <w:pPr>
              <w:spacing w:after="120"/>
              <w:rPr>
                <w:rFonts w:ascii="Arial" w:hAnsi="Arial" w:cs="Arial"/>
                <w:i/>
              </w:rPr>
            </w:pPr>
            <w:r w:rsidRPr="00302082">
              <w:rPr>
                <w:rFonts w:ascii="Arial" w:hAnsi="Arial" w:cs="Arial"/>
                <w:i/>
              </w:rPr>
              <w:t>Examination</w:t>
            </w:r>
          </w:p>
        </w:tc>
        <w:tc>
          <w:tcPr>
            <w:tcW w:w="378" w:type="pct"/>
            <w:vAlign w:val="center"/>
          </w:tcPr>
          <w:p w14:paraId="769A4D73" w14:textId="414002A5"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189A1F7A" w14:textId="6B10CCD0"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6BB657F8" w14:textId="3030AEB5"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4D59BE54" w14:textId="71695494"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06E77276" w14:textId="7C352BB7"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781ED974" w14:textId="3B65E789"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52892702" w14:textId="6446B742"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72AA58E8" w14:textId="7CEE3AB5" w:rsidR="003A4B67" w:rsidRPr="00302082" w:rsidRDefault="003A4B67" w:rsidP="003A4B67">
            <w:pPr>
              <w:spacing w:after="120"/>
              <w:jc w:val="center"/>
              <w:rPr>
                <w:rFonts w:ascii="Arial" w:hAnsi="Arial" w:cs="Arial"/>
                <w:b/>
              </w:rPr>
            </w:pPr>
            <w:r>
              <w:rPr>
                <w:rFonts w:ascii="Arial" w:hAnsi="Arial" w:cs="Arial"/>
                <w:b/>
              </w:rPr>
              <w:t>x</w:t>
            </w:r>
          </w:p>
        </w:tc>
        <w:tc>
          <w:tcPr>
            <w:tcW w:w="378" w:type="pct"/>
            <w:vAlign w:val="center"/>
          </w:tcPr>
          <w:p w14:paraId="0C21ACAD" w14:textId="01F753DD" w:rsidR="003A4B67" w:rsidRPr="00302082" w:rsidRDefault="003A4B67" w:rsidP="003A4B67">
            <w:pPr>
              <w:spacing w:after="120"/>
              <w:jc w:val="center"/>
              <w:rPr>
                <w:rFonts w:ascii="Arial" w:hAnsi="Arial" w:cs="Arial"/>
                <w:b/>
              </w:rPr>
            </w:pPr>
            <w:r>
              <w:rPr>
                <w:rFonts w:ascii="Arial" w:hAnsi="Arial" w:cs="Arial"/>
                <w:b/>
              </w:rPr>
              <w:t>x</w:t>
            </w:r>
          </w:p>
        </w:tc>
        <w:tc>
          <w:tcPr>
            <w:tcW w:w="376" w:type="pct"/>
            <w:vAlign w:val="center"/>
          </w:tcPr>
          <w:p w14:paraId="02EA2E03" w14:textId="57659370" w:rsidR="003A4B67" w:rsidRPr="00302082" w:rsidRDefault="003A4B67" w:rsidP="003A4B67">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2774B3">
        <w:rPr>
          <w:rFonts w:ascii="Arial" w:hAnsi="Arial" w:cs="Arial"/>
        </w:rPr>
        <w:t>School</w:t>
      </w:r>
      <w:r w:rsidRPr="002774B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C8AE9A7" w14:textId="12066A83" w:rsidR="000C70A0" w:rsidRPr="000C70A0" w:rsidRDefault="000C70A0" w:rsidP="000C70A0">
      <w:pPr>
        <w:pStyle w:val="ListParagraph"/>
        <w:spacing w:after="120" w:line="240" w:lineRule="auto"/>
        <w:ind w:left="567" w:right="261"/>
        <w:rPr>
          <w:rFonts w:ascii="Arial" w:hAnsi="Arial" w:cs="Arial"/>
          <w:color w:val="000000" w:themeColor="text1"/>
        </w:rPr>
      </w:pPr>
      <w:r w:rsidRPr="000C70A0">
        <w:rPr>
          <w:rFonts w:ascii="Arial" w:hAnsi="Arial" w:cs="Arial"/>
          <w:color w:val="000000" w:themeColor="text1"/>
        </w:rPr>
        <w:t xml:space="preserve">The subject content of the module provides critical insight into microeconomic theory and its application to </w:t>
      </w:r>
      <w:r w:rsidRPr="000C70A0">
        <w:rPr>
          <w:rFonts w:ascii="Arial" w:hAnsi="Arial" w:cs="Arial"/>
          <w:color w:val="000000" w:themeColor="text1"/>
          <w:shd w:val="clear" w:color="auto" w:fill="FFFFFF"/>
        </w:rPr>
        <w:t xml:space="preserve">diverse real-world situations. </w:t>
      </w:r>
      <w:r w:rsidRPr="000C70A0">
        <w:rPr>
          <w:rFonts w:ascii="Arial" w:hAnsi="Arial" w:cs="Arial"/>
          <w:color w:val="000000" w:themeColor="text1"/>
        </w:rPr>
        <w:t>Microeconomic controversies and policy issues are</w:t>
      </w:r>
      <w:r>
        <w:rPr>
          <w:rFonts w:ascii="Arial" w:hAnsi="Arial" w:cs="Arial"/>
          <w:color w:val="000000" w:themeColor="text1"/>
        </w:rPr>
        <w:t xml:space="preserve"> </w:t>
      </w:r>
      <w:r w:rsidRPr="000C70A0">
        <w:rPr>
          <w:rFonts w:ascii="Arial" w:hAnsi="Arial" w:cs="Arial"/>
          <w:color w:val="000000" w:themeColor="text1"/>
        </w:rPr>
        <w:t>considered in both a national and international context (see module synopsis).</w:t>
      </w:r>
    </w:p>
    <w:p w14:paraId="4DEE598F" w14:textId="5F1AE0C1" w:rsidR="00641D6D" w:rsidRDefault="00641D6D" w:rsidP="00302082">
      <w:pPr>
        <w:pBdr>
          <w:bottom w:val="single" w:sz="6" w:space="1" w:color="auto"/>
        </w:pBdr>
        <w:spacing w:after="120" w:line="240" w:lineRule="auto"/>
        <w:ind w:right="260"/>
        <w:rPr>
          <w:rFonts w:ascii="Arial" w:hAnsi="Arial" w:cs="Arial"/>
          <w:color w:val="555555"/>
          <w:sz w:val="20"/>
          <w:szCs w:val="20"/>
          <w:shd w:val="clear" w:color="auto" w:fill="FFFFFF"/>
        </w:rPr>
      </w:pPr>
    </w:p>
    <w:p w14:paraId="252D358A" w14:textId="56C162C7" w:rsidR="005B664B" w:rsidRDefault="005B664B" w:rsidP="00302082">
      <w:pPr>
        <w:pBdr>
          <w:bottom w:val="single" w:sz="6" w:space="1" w:color="auto"/>
        </w:pBdr>
        <w:spacing w:after="120" w:line="240" w:lineRule="auto"/>
        <w:ind w:right="260"/>
        <w:rPr>
          <w:rFonts w:ascii="Arial" w:hAnsi="Arial" w:cs="Arial"/>
          <w:color w:val="555555"/>
          <w:sz w:val="20"/>
          <w:szCs w:val="20"/>
          <w:shd w:val="clear" w:color="auto" w:fill="FFFFFF"/>
        </w:rPr>
      </w:pPr>
    </w:p>
    <w:p w14:paraId="53F74C33" w14:textId="77777777" w:rsidR="005B664B" w:rsidRDefault="005B664B" w:rsidP="00302082">
      <w:pPr>
        <w:pBdr>
          <w:bottom w:val="single" w:sz="6" w:space="1" w:color="auto"/>
        </w:pBdr>
        <w:spacing w:after="120" w:line="240" w:lineRule="auto"/>
        <w:ind w:right="260"/>
        <w:rPr>
          <w:rFonts w:ascii="Arial" w:hAnsi="Arial" w:cs="Arial"/>
          <w:color w:val="555555"/>
          <w:sz w:val="20"/>
          <w:szCs w:val="20"/>
          <w:shd w:val="clear" w:color="auto" w:fill="FFFFFF"/>
        </w:rPr>
      </w:pPr>
    </w:p>
    <w:p w14:paraId="72B11DC9" w14:textId="77777777" w:rsidR="002774B3" w:rsidRPr="00302082" w:rsidRDefault="002774B3"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66C1C0D9" w:rsidR="00391A62" w:rsidRPr="00302082" w:rsidRDefault="00391A62" w:rsidP="00391A62">
            <w:pPr>
              <w:spacing w:after="120"/>
              <w:ind w:right="-330"/>
              <w:rPr>
                <w:rFonts w:ascii="Arial" w:hAnsi="Arial" w:cs="Arial"/>
              </w:rPr>
            </w:pPr>
          </w:p>
        </w:tc>
        <w:tc>
          <w:tcPr>
            <w:tcW w:w="1701" w:type="dxa"/>
          </w:tcPr>
          <w:p w14:paraId="26BD5355" w14:textId="69E08E58" w:rsidR="00391A62" w:rsidRPr="00302082" w:rsidRDefault="00391A62" w:rsidP="00391A62">
            <w:pPr>
              <w:spacing w:after="120"/>
              <w:ind w:right="-330"/>
              <w:rPr>
                <w:rFonts w:ascii="Arial" w:hAnsi="Arial" w:cs="Arial"/>
              </w:rPr>
            </w:pPr>
          </w:p>
        </w:tc>
        <w:tc>
          <w:tcPr>
            <w:tcW w:w="2410" w:type="dxa"/>
          </w:tcPr>
          <w:p w14:paraId="4832B8C6" w14:textId="37EBBDE3" w:rsidR="00391A62" w:rsidRPr="00302082" w:rsidRDefault="00391A62" w:rsidP="00391A62">
            <w:pPr>
              <w:spacing w:after="120"/>
              <w:ind w:right="-330"/>
              <w:rPr>
                <w:rFonts w:ascii="Arial" w:hAnsi="Arial" w:cs="Arial"/>
              </w:rPr>
            </w:pPr>
          </w:p>
        </w:tc>
        <w:tc>
          <w:tcPr>
            <w:tcW w:w="2448" w:type="dxa"/>
          </w:tcPr>
          <w:p w14:paraId="5CE7560D" w14:textId="40FCA8FD" w:rsidR="00391A62" w:rsidRPr="00302082" w:rsidRDefault="00391A62" w:rsidP="00391A62">
            <w:pPr>
              <w:spacing w:after="120"/>
              <w:ind w:right="-330"/>
              <w:rPr>
                <w:rFonts w:ascii="Arial" w:hAnsi="Arial" w:cs="Arial"/>
              </w:rPr>
            </w:pPr>
          </w:p>
        </w:tc>
        <w:tc>
          <w:tcPr>
            <w:tcW w:w="2597" w:type="dxa"/>
          </w:tcPr>
          <w:p w14:paraId="31DD0D8F" w14:textId="4647866C" w:rsidR="00391A62" w:rsidRPr="00302082" w:rsidRDefault="00391A62" w:rsidP="00391A62">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A903" w14:textId="77777777" w:rsidR="009360A9" w:rsidRDefault="009360A9" w:rsidP="009A2D37">
      <w:pPr>
        <w:spacing w:after="0" w:line="240" w:lineRule="auto"/>
      </w:pPr>
      <w:r>
        <w:separator/>
      </w:r>
    </w:p>
  </w:endnote>
  <w:endnote w:type="continuationSeparator" w:id="0">
    <w:p w14:paraId="2F80CF66" w14:textId="77777777" w:rsidR="009360A9" w:rsidRDefault="009360A9" w:rsidP="009A2D37">
      <w:pPr>
        <w:spacing w:after="0" w:line="240" w:lineRule="auto"/>
      </w:pPr>
      <w:r>
        <w:continuationSeparator/>
      </w:r>
    </w:p>
  </w:endnote>
  <w:endnote w:type="continuationNotice" w:id="1">
    <w:p w14:paraId="752D0919" w14:textId="77777777" w:rsidR="009360A9" w:rsidRDefault="00936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C627DEB" w14:textId="24A0E40A" w:rsidR="008B2543" w:rsidRDefault="0019787E" w:rsidP="009A2D37">
        <w:pPr>
          <w:pStyle w:val="Footer"/>
          <w:jc w:val="center"/>
        </w:pPr>
        <w:r>
          <w:fldChar w:fldCharType="begin"/>
        </w:r>
        <w:r>
          <w:instrText xml:space="preserve"> PAGE   \* MERGEFORMAT </w:instrText>
        </w:r>
        <w:r>
          <w:fldChar w:fldCharType="separate"/>
        </w:r>
        <w:r w:rsidR="001328D2">
          <w:rPr>
            <w:noProof/>
          </w:rPr>
          <w:t>3</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BBEE" w14:textId="77777777" w:rsidR="009360A9" w:rsidRDefault="009360A9" w:rsidP="009A2D37">
      <w:pPr>
        <w:spacing w:after="0" w:line="240" w:lineRule="auto"/>
      </w:pPr>
      <w:r>
        <w:separator/>
      </w:r>
    </w:p>
  </w:footnote>
  <w:footnote w:type="continuationSeparator" w:id="0">
    <w:p w14:paraId="4E059906" w14:textId="77777777" w:rsidR="009360A9" w:rsidRDefault="009360A9" w:rsidP="009A2D37">
      <w:pPr>
        <w:spacing w:after="0" w:line="240" w:lineRule="auto"/>
      </w:pPr>
      <w:r>
        <w:continuationSeparator/>
      </w:r>
    </w:p>
  </w:footnote>
  <w:footnote w:type="continuationNotice" w:id="1">
    <w:p w14:paraId="02EC8941" w14:textId="77777777" w:rsidR="009360A9" w:rsidRDefault="00936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C81605E"/>
    <w:multiLevelType w:val="multilevel"/>
    <w:tmpl w:val="79C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4"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0"/>
  </w:num>
  <w:num w:numId="3">
    <w:abstractNumId w:val="15"/>
  </w:num>
  <w:num w:numId="4">
    <w:abstractNumId w:val="2"/>
  </w:num>
  <w:num w:numId="5">
    <w:abstractNumId w:val="25"/>
  </w:num>
  <w:num w:numId="6">
    <w:abstractNumId w:val="23"/>
  </w:num>
  <w:num w:numId="7">
    <w:abstractNumId w:val="33"/>
  </w:num>
  <w:num w:numId="8">
    <w:abstractNumId w:val="24"/>
  </w:num>
  <w:num w:numId="9">
    <w:abstractNumId w:val="16"/>
  </w:num>
  <w:num w:numId="10">
    <w:abstractNumId w:val="6"/>
  </w:num>
  <w:num w:numId="11">
    <w:abstractNumId w:val="21"/>
  </w:num>
  <w:num w:numId="12">
    <w:abstractNumId w:val="11"/>
  </w:num>
  <w:num w:numId="13">
    <w:abstractNumId w:val="18"/>
  </w:num>
  <w:num w:numId="14">
    <w:abstractNumId w:val="20"/>
  </w:num>
  <w:num w:numId="15">
    <w:abstractNumId w:val="26"/>
  </w:num>
  <w:num w:numId="16">
    <w:abstractNumId w:val="1"/>
  </w:num>
  <w:num w:numId="17">
    <w:abstractNumId w:val="8"/>
  </w:num>
  <w:num w:numId="18">
    <w:abstractNumId w:val="14"/>
  </w:num>
  <w:num w:numId="19">
    <w:abstractNumId w:val="5"/>
  </w:num>
  <w:num w:numId="20">
    <w:abstractNumId w:val="30"/>
  </w:num>
  <w:num w:numId="21">
    <w:abstractNumId w:val="22"/>
  </w:num>
  <w:num w:numId="22">
    <w:abstractNumId w:val="13"/>
  </w:num>
  <w:num w:numId="23">
    <w:abstractNumId w:val="29"/>
  </w:num>
  <w:num w:numId="24">
    <w:abstractNumId w:val="10"/>
  </w:num>
  <w:num w:numId="25">
    <w:abstractNumId w:val="7"/>
  </w:num>
  <w:num w:numId="26">
    <w:abstractNumId w:val="12"/>
  </w:num>
  <w:num w:numId="27">
    <w:abstractNumId w:val="17"/>
  </w:num>
  <w:num w:numId="28">
    <w:abstractNumId w:val="3"/>
  </w:num>
  <w:num w:numId="29">
    <w:abstractNumId w:val="27"/>
  </w:num>
  <w:num w:numId="30">
    <w:abstractNumId w:val="19"/>
  </w:num>
  <w:num w:numId="31">
    <w:abstractNumId w:val="28"/>
  </w:num>
  <w:num w:numId="32">
    <w:abstractNumId w:val="34"/>
  </w:num>
  <w:num w:numId="33">
    <w:abstractNumId w:val="32"/>
  </w:num>
  <w:num w:numId="34">
    <w:abstractNumId w:val="3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54732"/>
    <w:rsid w:val="00063A2F"/>
    <w:rsid w:val="000678D3"/>
    <w:rsid w:val="00071F36"/>
    <w:rsid w:val="000863F4"/>
    <w:rsid w:val="00094810"/>
    <w:rsid w:val="00096DA4"/>
    <w:rsid w:val="000C0294"/>
    <w:rsid w:val="000C70A0"/>
    <w:rsid w:val="000C7A1C"/>
    <w:rsid w:val="000D1932"/>
    <w:rsid w:val="000D2A8A"/>
    <w:rsid w:val="000D32AC"/>
    <w:rsid w:val="000E20C1"/>
    <w:rsid w:val="000E3B73"/>
    <w:rsid w:val="000E4603"/>
    <w:rsid w:val="000F6C56"/>
    <w:rsid w:val="000F7FBF"/>
    <w:rsid w:val="00106BE5"/>
    <w:rsid w:val="001079FE"/>
    <w:rsid w:val="00110947"/>
    <w:rsid w:val="00111906"/>
    <w:rsid w:val="00111CB3"/>
    <w:rsid w:val="00117577"/>
    <w:rsid w:val="00117793"/>
    <w:rsid w:val="001206E4"/>
    <w:rsid w:val="001214D3"/>
    <w:rsid w:val="00121BFC"/>
    <w:rsid w:val="001328D2"/>
    <w:rsid w:val="001402AD"/>
    <w:rsid w:val="00143E7E"/>
    <w:rsid w:val="001540CE"/>
    <w:rsid w:val="0015717B"/>
    <w:rsid w:val="00157ACA"/>
    <w:rsid w:val="00160427"/>
    <w:rsid w:val="00162D46"/>
    <w:rsid w:val="00172793"/>
    <w:rsid w:val="001769C3"/>
    <w:rsid w:val="00180558"/>
    <w:rsid w:val="001811E5"/>
    <w:rsid w:val="00183B34"/>
    <w:rsid w:val="00185F46"/>
    <w:rsid w:val="00191C1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7582"/>
    <w:rsid w:val="002308BE"/>
    <w:rsid w:val="002407C0"/>
    <w:rsid w:val="00240D7F"/>
    <w:rsid w:val="002461AF"/>
    <w:rsid w:val="002465A1"/>
    <w:rsid w:val="00264576"/>
    <w:rsid w:val="0026585A"/>
    <w:rsid w:val="00266735"/>
    <w:rsid w:val="00273CF0"/>
    <w:rsid w:val="002748D4"/>
    <w:rsid w:val="00274ED7"/>
    <w:rsid w:val="002774B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F7F"/>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4B67"/>
    <w:rsid w:val="003A5DA0"/>
    <w:rsid w:val="003A5EEB"/>
    <w:rsid w:val="003A6143"/>
    <w:rsid w:val="003B35F4"/>
    <w:rsid w:val="003B4FC5"/>
    <w:rsid w:val="003B7C76"/>
    <w:rsid w:val="003C3E0C"/>
    <w:rsid w:val="003C7138"/>
    <w:rsid w:val="003C776B"/>
    <w:rsid w:val="003D4A1C"/>
    <w:rsid w:val="003D78FF"/>
    <w:rsid w:val="003D7AA0"/>
    <w:rsid w:val="003E1FF7"/>
    <w:rsid w:val="003E311D"/>
    <w:rsid w:val="003E57D8"/>
    <w:rsid w:val="003F4470"/>
    <w:rsid w:val="003F5A04"/>
    <w:rsid w:val="003F67CD"/>
    <w:rsid w:val="00402ED7"/>
    <w:rsid w:val="004114F8"/>
    <w:rsid w:val="00422B69"/>
    <w:rsid w:val="00423D86"/>
    <w:rsid w:val="00424C90"/>
    <w:rsid w:val="004251D2"/>
    <w:rsid w:val="00436BE9"/>
    <w:rsid w:val="00441215"/>
    <w:rsid w:val="00441E76"/>
    <w:rsid w:val="004443DA"/>
    <w:rsid w:val="00446A75"/>
    <w:rsid w:val="004474A2"/>
    <w:rsid w:val="00460925"/>
    <w:rsid w:val="00471C6C"/>
    <w:rsid w:val="00472023"/>
    <w:rsid w:val="00486993"/>
    <w:rsid w:val="004921EC"/>
    <w:rsid w:val="00492DA4"/>
    <w:rsid w:val="00496AA3"/>
    <w:rsid w:val="00497C98"/>
    <w:rsid w:val="004A39D7"/>
    <w:rsid w:val="004A55FA"/>
    <w:rsid w:val="004A79BD"/>
    <w:rsid w:val="004B5D03"/>
    <w:rsid w:val="004C1EC4"/>
    <w:rsid w:val="004C7E0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0EC"/>
    <w:rsid w:val="005B5A98"/>
    <w:rsid w:val="005B664B"/>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569B1"/>
    <w:rsid w:val="0066041F"/>
    <w:rsid w:val="00665681"/>
    <w:rsid w:val="0066747B"/>
    <w:rsid w:val="006725EC"/>
    <w:rsid w:val="00674ED0"/>
    <w:rsid w:val="00682650"/>
    <w:rsid w:val="00683609"/>
    <w:rsid w:val="00683AAF"/>
    <w:rsid w:val="00684851"/>
    <w:rsid w:val="00694309"/>
    <w:rsid w:val="00695285"/>
    <w:rsid w:val="00696FF5"/>
    <w:rsid w:val="006A6BB4"/>
    <w:rsid w:val="006A7DE1"/>
    <w:rsid w:val="006A7FB0"/>
    <w:rsid w:val="006C0FF0"/>
    <w:rsid w:val="006C2A9A"/>
    <w:rsid w:val="006C423D"/>
    <w:rsid w:val="006C46EF"/>
    <w:rsid w:val="006C4C35"/>
    <w:rsid w:val="006C4C67"/>
    <w:rsid w:val="006D13C0"/>
    <w:rsid w:val="006D41AB"/>
    <w:rsid w:val="006D444F"/>
    <w:rsid w:val="006D506A"/>
    <w:rsid w:val="006E22C3"/>
    <w:rsid w:val="006E3663"/>
    <w:rsid w:val="006E4A46"/>
    <w:rsid w:val="006F0C32"/>
    <w:rsid w:val="006F1A15"/>
    <w:rsid w:val="006F3F8B"/>
    <w:rsid w:val="006F683F"/>
    <w:rsid w:val="00700488"/>
    <w:rsid w:val="00703404"/>
    <w:rsid w:val="00703F92"/>
    <w:rsid w:val="00704637"/>
    <w:rsid w:val="007105E4"/>
    <w:rsid w:val="00714EE5"/>
    <w:rsid w:val="00720270"/>
    <w:rsid w:val="0072383B"/>
    <w:rsid w:val="00724362"/>
    <w:rsid w:val="00727780"/>
    <w:rsid w:val="0073792C"/>
    <w:rsid w:val="00754069"/>
    <w:rsid w:val="007667DF"/>
    <w:rsid w:val="0077080B"/>
    <w:rsid w:val="0078186B"/>
    <w:rsid w:val="00787070"/>
    <w:rsid w:val="007906FD"/>
    <w:rsid w:val="00797197"/>
    <w:rsid w:val="007972A7"/>
    <w:rsid w:val="007A2BA2"/>
    <w:rsid w:val="007A6245"/>
    <w:rsid w:val="007B1DB2"/>
    <w:rsid w:val="007B375B"/>
    <w:rsid w:val="007B412A"/>
    <w:rsid w:val="007B635E"/>
    <w:rsid w:val="007B7724"/>
    <w:rsid w:val="007B7CDC"/>
    <w:rsid w:val="007C74B4"/>
    <w:rsid w:val="007E055E"/>
    <w:rsid w:val="007E3412"/>
    <w:rsid w:val="007F393D"/>
    <w:rsid w:val="008029AF"/>
    <w:rsid w:val="00802FFA"/>
    <w:rsid w:val="00804E5B"/>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3EE9"/>
    <w:rsid w:val="008955EC"/>
    <w:rsid w:val="00897FC6"/>
    <w:rsid w:val="008A0F36"/>
    <w:rsid w:val="008A193B"/>
    <w:rsid w:val="008B2543"/>
    <w:rsid w:val="008B4B6E"/>
    <w:rsid w:val="008D7401"/>
    <w:rsid w:val="00903DF6"/>
    <w:rsid w:val="00914A6B"/>
    <w:rsid w:val="009205B9"/>
    <w:rsid w:val="00921CF6"/>
    <w:rsid w:val="0092297C"/>
    <w:rsid w:val="00922E9E"/>
    <w:rsid w:val="00924EF0"/>
    <w:rsid w:val="00934D7B"/>
    <w:rsid w:val="009360A9"/>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BC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2726"/>
    <w:rsid w:val="00AA3C15"/>
    <w:rsid w:val="00AA6330"/>
    <w:rsid w:val="00AC7501"/>
    <w:rsid w:val="00AD748B"/>
    <w:rsid w:val="00AE4865"/>
    <w:rsid w:val="00AE62D8"/>
    <w:rsid w:val="00AF50EE"/>
    <w:rsid w:val="00B0591D"/>
    <w:rsid w:val="00B062EB"/>
    <w:rsid w:val="00B13402"/>
    <w:rsid w:val="00B14BC2"/>
    <w:rsid w:val="00B17024"/>
    <w:rsid w:val="00B17CD2"/>
    <w:rsid w:val="00B213D2"/>
    <w:rsid w:val="00B248BA"/>
    <w:rsid w:val="00B24B56"/>
    <w:rsid w:val="00B30E07"/>
    <w:rsid w:val="00B34ADD"/>
    <w:rsid w:val="00B52FF5"/>
    <w:rsid w:val="00B5302F"/>
    <w:rsid w:val="00B5498B"/>
    <w:rsid w:val="00B57219"/>
    <w:rsid w:val="00B658A3"/>
    <w:rsid w:val="00B746A8"/>
    <w:rsid w:val="00B75A16"/>
    <w:rsid w:val="00B7664D"/>
    <w:rsid w:val="00B80989"/>
    <w:rsid w:val="00B8306D"/>
    <w:rsid w:val="00B866F9"/>
    <w:rsid w:val="00B9109B"/>
    <w:rsid w:val="00B927AE"/>
    <w:rsid w:val="00B93721"/>
    <w:rsid w:val="00B937B1"/>
    <w:rsid w:val="00BA453C"/>
    <w:rsid w:val="00BA4E02"/>
    <w:rsid w:val="00BB17AA"/>
    <w:rsid w:val="00BB2045"/>
    <w:rsid w:val="00BB2A6D"/>
    <w:rsid w:val="00BB4189"/>
    <w:rsid w:val="00BC19F7"/>
    <w:rsid w:val="00BC41ED"/>
    <w:rsid w:val="00BD009E"/>
    <w:rsid w:val="00BD0EF8"/>
    <w:rsid w:val="00BD347B"/>
    <w:rsid w:val="00BD7A8C"/>
    <w:rsid w:val="00BE2126"/>
    <w:rsid w:val="00BE3B17"/>
    <w:rsid w:val="00BF51AB"/>
    <w:rsid w:val="00BF716B"/>
    <w:rsid w:val="00BF7233"/>
    <w:rsid w:val="00C02AA2"/>
    <w:rsid w:val="00C04C95"/>
    <w:rsid w:val="00C12613"/>
    <w:rsid w:val="00C16DEF"/>
    <w:rsid w:val="00C2492F"/>
    <w:rsid w:val="00C3744A"/>
    <w:rsid w:val="00C4002A"/>
    <w:rsid w:val="00C41F6F"/>
    <w:rsid w:val="00C46912"/>
    <w:rsid w:val="00C57028"/>
    <w:rsid w:val="00C612A8"/>
    <w:rsid w:val="00C67631"/>
    <w:rsid w:val="00C709C6"/>
    <w:rsid w:val="00C729D7"/>
    <w:rsid w:val="00C83354"/>
    <w:rsid w:val="00C84004"/>
    <w:rsid w:val="00C843F6"/>
    <w:rsid w:val="00C84507"/>
    <w:rsid w:val="00C862C7"/>
    <w:rsid w:val="00CA2588"/>
    <w:rsid w:val="00CA3254"/>
    <w:rsid w:val="00CB11CE"/>
    <w:rsid w:val="00CC25A2"/>
    <w:rsid w:val="00CC7398"/>
    <w:rsid w:val="00CD7F07"/>
    <w:rsid w:val="00CE04F3"/>
    <w:rsid w:val="00CE12D8"/>
    <w:rsid w:val="00CE4574"/>
    <w:rsid w:val="00CE70E6"/>
    <w:rsid w:val="00CF2E1E"/>
    <w:rsid w:val="00CF7EF8"/>
    <w:rsid w:val="00D02E99"/>
    <w:rsid w:val="00D13357"/>
    <w:rsid w:val="00D13A13"/>
    <w:rsid w:val="00D2689A"/>
    <w:rsid w:val="00D65506"/>
    <w:rsid w:val="00D773CF"/>
    <w:rsid w:val="00D83563"/>
    <w:rsid w:val="00D8448F"/>
    <w:rsid w:val="00DA64B6"/>
    <w:rsid w:val="00DB5C9D"/>
    <w:rsid w:val="00DD02E6"/>
    <w:rsid w:val="00DF52DA"/>
    <w:rsid w:val="00DF665B"/>
    <w:rsid w:val="00E0152A"/>
    <w:rsid w:val="00E03394"/>
    <w:rsid w:val="00E066E5"/>
    <w:rsid w:val="00E22F03"/>
    <w:rsid w:val="00E233C1"/>
    <w:rsid w:val="00E51404"/>
    <w:rsid w:val="00E574C9"/>
    <w:rsid w:val="00E610DE"/>
    <w:rsid w:val="00E66167"/>
    <w:rsid w:val="00E71F2F"/>
    <w:rsid w:val="00E77786"/>
    <w:rsid w:val="00E806FB"/>
    <w:rsid w:val="00EA1B26"/>
    <w:rsid w:val="00EB1C2D"/>
    <w:rsid w:val="00EC1810"/>
    <w:rsid w:val="00EC3FCC"/>
    <w:rsid w:val="00ED32FF"/>
    <w:rsid w:val="00EF039B"/>
    <w:rsid w:val="00EF4933"/>
    <w:rsid w:val="00EF5044"/>
    <w:rsid w:val="00F01956"/>
    <w:rsid w:val="00F01DBD"/>
    <w:rsid w:val="00F116CE"/>
    <w:rsid w:val="00F176DE"/>
    <w:rsid w:val="00F21C47"/>
    <w:rsid w:val="00F244E2"/>
    <w:rsid w:val="00F340DE"/>
    <w:rsid w:val="00F43542"/>
    <w:rsid w:val="00F44BAB"/>
    <w:rsid w:val="00F527CB"/>
    <w:rsid w:val="00F562AA"/>
    <w:rsid w:val="00F66975"/>
    <w:rsid w:val="00F7105A"/>
    <w:rsid w:val="00F712EB"/>
    <w:rsid w:val="00F74885"/>
    <w:rsid w:val="00F7668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B4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Revision">
    <w:name w:val="Revision"/>
    <w:hidden/>
    <w:uiPriority w:val="99"/>
    <w:semiHidden/>
    <w:rsid w:val="00CF7EF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24163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1972116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94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3811-DF13-49B0-AC8E-313C89BF534F}"/>
</file>

<file path=customXml/itemProps2.xml><?xml version="1.0" encoding="utf-8"?>
<ds:datastoreItem xmlns:ds="http://schemas.openxmlformats.org/officeDocument/2006/customXml" ds:itemID="{00AAD883-FBD5-4332-945A-15AB9CF04246}">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38c837cb-b56f-40c5-bbb0-effb01650ca7"/>
    <ds:schemaRef ds:uri="http://www.w3.org/XML/1998/namespace"/>
  </ds:schemaRefs>
</ds:datastoreItem>
</file>

<file path=customXml/itemProps3.xml><?xml version="1.0" encoding="utf-8"?>
<ds:datastoreItem xmlns:ds="http://schemas.openxmlformats.org/officeDocument/2006/customXml" ds:itemID="{CE755052-F839-49A1-931F-B4AF583CBD0D}">
  <ds:schemaRefs>
    <ds:schemaRef ds:uri="http://schemas.microsoft.com/sharepoint/v3/contenttype/forms"/>
  </ds:schemaRefs>
</ds:datastoreItem>
</file>

<file path=customXml/itemProps4.xml><?xml version="1.0" encoding="utf-8"?>
<ds:datastoreItem xmlns:ds="http://schemas.openxmlformats.org/officeDocument/2006/customXml" ds:itemID="{BCFF1B86-5D6C-4BA6-96B1-3B313967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Alice Towndrow</cp:lastModifiedBy>
  <cp:revision>3</cp:revision>
  <cp:lastPrinted>2018-02-26T15:11:00Z</cp:lastPrinted>
  <dcterms:created xsi:type="dcterms:W3CDTF">2021-02-26T10:50:00Z</dcterms:created>
  <dcterms:modified xsi:type="dcterms:W3CDTF">2022-03-11T15:21:00Z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707bf8f6-6ec8-4883-a265-d386cf90db28</vt:lpwstr>
  </property>
</Properties>
</file>