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121792F" w:rsidR="009A2D37" w:rsidRPr="00302082" w:rsidRDefault="00F71B95" w:rsidP="00745702">
      <w:pPr>
        <w:spacing w:after="120" w:line="240" w:lineRule="auto"/>
        <w:ind w:left="567" w:right="260"/>
        <w:jc w:val="both"/>
        <w:rPr>
          <w:rFonts w:ascii="Arial" w:hAnsi="Arial" w:cs="Arial"/>
        </w:rPr>
      </w:pPr>
      <w:r>
        <w:rPr>
          <w:rFonts w:ascii="Arial" w:hAnsi="Arial" w:cs="Arial"/>
        </w:rPr>
        <w:t>CLAS8980 (</w:t>
      </w:r>
      <w:r w:rsidRPr="00F71B95">
        <w:rPr>
          <w:rFonts w:ascii="Arial" w:hAnsi="Arial" w:cs="Arial"/>
        </w:rPr>
        <w:t>CL898</w:t>
      </w:r>
      <w:r>
        <w:rPr>
          <w:rFonts w:ascii="Arial" w:hAnsi="Arial" w:cs="Arial"/>
        </w:rPr>
        <w:t>)</w:t>
      </w:r>
      <w:r w:rsidRPr="00F71B95">
        <w:rPr>
          <w:rFonts w:ascii="Arial" w:hAnsi="Arial" w:cs="Arial"/>
        </w:rPr>
        <w:t xml:space="preserve"> – Rome: The Myth of the Eternal City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C32E0E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71B9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A23370E" w:rsidR="009A2D37" w:rsidRPr="0036174D" w:rsidRDefault="00F71B95" w:rsidP="00745702">
      <w:pPr>
        <w:spacing w:after="120" w:line="240" w:lineRule="auto"/>
        <w:ind w:left="567" w:right="260"/>
        <w:rPr>
          <w:rFonts w:ascii="Arial" w:hAnsi="Arial" w:cs="Arial"/>
        </w:rPr>
      </w:pPr>
      <w:r w:rsidRPr="00F71B95">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9FC054B" w:rsidR="009A2D37" w:rsidRPr="0036174D" w:rsidRDefault="00F71B95" w:rsidP="00745702">
      <w:pPr>
        <w:spacing w:after="120" w:line="240" w:lineRule="auto"/>
        <w:ind w:left="567" w:right="260"/>
        <w:rPr>
          <w:rFonts w:ascii="Arial" w:hAnsi="Arial" w:cs="Arial"/>
          <w:iCs/>
        </w:rPr>
      </w:pPr>
      <w:r w:rsidRPr="00F71B9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E14E739" w:rsidR="009A2D37" w:rsidRPr="0036174D" w:rsidRDefault="00F71B95" w:rsidP="00745702">
      <w:pPr>
        <w:spacing w:after="120" w:line="240" w:lineRule="auto"/>
        <w:ind w:left="567" w:right="260"/>
        <w:rPr>
          <w:rFonts w:ascii="Arial" w:hAnsi="Arial" w:cs="Arial"/>
          <w:iCs/>
        </w:rPr>
      </w:pPr>
      <w:r w:rsidRPr="00F71B9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33F36AF" w:rsidR="004412BE" w:rsidRPr="0036174D" w:rsidRDefault="00F71B95" w:rsidP="00F71B95">
      <w:pPr>
        <w:spacing w:after="120" w:line="240" w:lineRule="auto"/>
        <w:ind w:left="567" w:right="260"/>
        <w:jc w:val="both"/>
        <w:rPr>
          <w:rFonts w:ascii="Arial" w:hAnsi="Arial" w:cs="Arial"/>
          <w:iCs/>
        </w:rPr>
      </w:pPr>
      <w:r>
        <w:rPr>
          <w:rFonts w:ascii="Arial" w:hAnsi="Arial" w:cs="Arial"/>
          <w:iCs/>
        </w:rPr>
        <w:t xml:space="preserve">Optional for </w:t>
      </w:r>
      <w:r w:rsidRPr="00F71B95">
        <w:rPr>
          <w:rFonts w:ascii="Arial" w:hAnsi="Arial" w:cs="Arial"/>
          <w:iCs/>
        </w:rPr>
        <w:t>MA Ancient History; MA Roman History &amp; Archaeology; MA Rome: Ancient and Modern; MA Archaeology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E595C3"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8.1</w:t>
      </w:r>
      <w:r w:rsidRPr="00F71B95">
        <w:rPr>
          <w:rFonts w:ascii="Arial" w:hAnsi="Arial" w:cs="Arial"/>
        </w:rPr>
        <w:tab/>
        <w:t>Demonstrate comprehensive understanding of the skills/techniques of historical analysis to equip them for a further career either for doctoral research in Ancient History or in employment through the use of these transferable skills;</w:t>
      </w:r>
    </w:p>
    <w:p w14:paraId="1DAF3182"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8.2</w:t>
      </w:r>
      <w:r w:rsidRPr="00F71B95">
        <w:rPr>
          <w:rFonts w:ascii="Arial" w:hAnsi="Arial" w:cs="Arial"/>
        </w:rPr>
        <w:tab/>
        <w:t>Demonstrate competence in applying skills to analysis of a diverse body of ancient evidence and to be critically aware of the current problems of interpretation within the area of reception studies and in the interpretation of the sue of the past of ancient Rome;</w:t>
      </w:r>
    </w:p>
    <w:p w14:paraId="650B1B18"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8.3</w:t>
      </w:r>
      <w:r w:rsidRPr="00F71B95">
        <w:rPr>
          <w:rFonts w:ascii="Arial" w:hAnsi="Arial" w:cs="Arial"/>
        </w:rPr>
        <w:tab/>
        <w:t>Demonstrate critical and analytical powers in relation to the ancient material and its reception in the context of how established techniques are utilised to understand within the disciplines associated with Classical and Archaeological Studies;</w:t>
      </w:r>
    </w:p>
    <w:p w14:paraId="761B63DF"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8.4</w:t>
      </w:r>
      <w:r w:rsidRPr="00F71B95">
        <w:rPr>
          <w:rFonts w:ascii="Arial" w:hAnsi="Arial" w:cs="Arial"/>
        </w:rPr>
        <w:tab/>
        <w:t>Demonstrate critical and appropriate analytical problem-based learning skills in relation to the ancient evidence, the reception of antiquity, and modern scholarship on the subject matter;</w:t>
      </w:r>
    </w:p>
    <w:p w14:paraId="08342674" w14:textId="13D36165" w:rsidR="00C25C76" w:rsidRPr="00C25C76" w:rsidRDefault="00F71B95" w:rsidP="00F71B95">
      <w:pPr>
        <w:spacing w:after="120" w:line="240" w:lineRule="auto"/>
        <w:ind w:left="1418" w:right="260" w:hanging="567"/>
        <w:jc w:val="both"/>
        <w:rPr>
          <w:rFonts w:ascii="Arial" w:hAnsi="Arial" w:cs="Arial"/>
        </w:rPr>
      </w:pPr>
      <w:r w:rsidRPr="00F71B95">
        <w:rPr>
          <w:rFonts w:ascii="Arial" w:hAnsi="Arial" w:cs="Arial"/>
        </w:rPr>
        <w:t>8.5</w:t>
      </w:r>
      <w:r w:rsidRPr="00F71B95">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philosophical argument and analysis, as well as an understanding of the role of public engagement in the context of research.</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CCF639"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9.1</w:t>
      </w:r>
      <w:r w:rsidRPr="00F71B95">
        <w:rPr>
          <w:rFonts w:ascii="Arial" w:hAnsi="Arial" w:cs="Arial"/>
        </w:rPr>
        <w:tab/>
        <w:t>Communicate effectively in writing with a wide range of individuals using a variety of techniques;</w:t>
      </w:r>
    </w:p>
    <w:p w14:paraId="470ED5A7"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9.2</w:t>
      </w:r>
      <w:r w:rsidRPr="00F71B95">
        <w:rPr>
          <w:rFonts w:ascii="Arial" w:hAnsi="Arial" w:cs="Arial"/>
        </w:rPr>
        <w:tab/>
        <w:t>Evaluate his/her own academic performance and develop an ability to learn independently to ensure for ongoing professional development;</w:t>
      </w:r>
    </w:p>
    <w:p w14:paraId="1F2745B5"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9.3</w:t>
      </w:r>
      <w:r w:rsidRPr="00F71B95">
        <w:rPr>
          <w:rFonts w:ascii="Arial" w:hAnsi="Arial" w:cs="Arial"/>
        </w:rPr>
        <w:tab/>
        <w:t>Exercise initiative and take responsibility for personal and professional learning and development;</w:t>
      </w:r>
    </w:p>
    <w:p w14:paraId="40A9E2A8"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9.4</w:t>
      </w:r>
      <w:r w:rsidRPr="00F71B95">
        <w:rPr>
          <w:rFonts w:ascii="Arial" w:hAnsi="Arial" w:cs="Arial"/>
        </w:rPr>
        <w:tab/>
        <w:t>Manage time, prioritise workloads and recognise and manage personal emotions and stress;</w:t>
      </w:r>
    </w:p>
    <w:p w14:paraId="311C938C" w14:textId="50691FD2" w:rsidR="00C25C76" w:rsidRPr="0036174D" w:rsidRDefault="00F71B95" w:rsidP="00F71B95">
      <w:pPr>
        <w:spacing w:after="120" w:line="240" w:lineRule="auto"/>
        <w:ind w:left="1418" w:right="260" w:hanging="567"/>
        <w:jc w:val="both"/>
        <w:rPr>
          <w:rFonts w:ascii="Arial" w:hAnsi="Arial" w:cs="Arial"/>
        </w:rPr>
      </w:pPr>
      <w:r w:rsidRPr="00F71B95">
        <w:rPr>
          <w:rFonts w:ascii="Arial" w:hAnsi="Arial" w:cs="Arial"/>
        </w:rPr>
        <w:t>9.5</w:t>
      </w:r>
      <w:r w:rsidRPr="00F71B95">
        <w:rPr>
          <w:rFonts w:ascii="Arial" w:hAnsi="Arial" w:cs="Arial"/>
        </w:rPr>
        <w:tab/>
        <w:t>Demonstrate information management skills (e.g. IT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16E195DD" w:rsidR="009A2D37" w:rsidRPr="0036174D" w:rsidRDefault="00F71B95" w:rsidP="00C25C76">
      <w:pPr>
        <w:spacing w:after="120" w:line="240" w:lineRule="auto"/>
        <w:ind w:left="567" w:right="260"/>
        <w:jc w:val="both"/>
        <w:rPr>
          <w:rFonts w:ascii="Arial" w:hAnsi="Arial" w:cs="Arial"/>
          <w:iCs/>
        </w:rPr>
      </w:pPr>
      <w:r w:rsidRPr="00F71B95">
        <w:rPr>
          <w:rFonts w:ascii="Arial" w:hAnsi="Arial" w:cs="Arial"/>
          <w:iCs/>
        </w:rPr>
        <w:t>The module introduces students to key skills for the study of the mythology of Rome as an eternal city.  The focus will be on group work that will investigate how we can gain greater knowledge of key aspects of the creation of myths of the city of Rome and how mythology can be adjusted through reception and incorporation of new ideas, yet proclaiming a continuity with the past.  The curriculum is designed to develop students’ research skills and the development of their awareness of public engagement with research.  The seminars will also focus on the development of blogs as well as the research skills to develop a longer piece of academic writing in the form of an essay.  Students will learn new skills ranging from researching bibliographies, writing succinctly, using hyperlinks in blog formats, through to the development of a sustained research project to underpin their essay.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7CE28C"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Bondanella, P. (1987) </w:t>
      </w:r>
      <w:r w:rsidRPr="001E019B">
        <w:rPr>
          <w:rFonts w:ascii="Arial" w:hAnsi="Arial" w:cs="Arial"/>
          <w:i/>
        </w:rPr>
        <w:t>The Eternal City: Roman Images in the Modern World</w:t>
      </w:r>
      <w:r w:rsidRPr="001E019B">
        <w:rPr>
          <w:rFonts w:ascii="Arial" w:hAnsi="Arial" w:cs="Arial"/>
        </w:rPr>
        <w:t>. University of North Carolina Press: Chapel Hill.</w:t>
      </w:r>
    </w:p>
    <w:p w14:paraId="230BB695"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Galinsky, K. (1998) </w:t>
      </w:r>
      <w:r w:rsidRPr="001E019B">
        <w:rPr>
          <w:rFonts w:ascii="Arial" w:hAnsi="Arial" w:cs="Arial"/>
          <w:i/>
        </w:rPr>
        <w:t>Augustan Culture: An Interpretive Introduction</w:t>
      </w:r>
      <w:r w:rsidRPr="001E019B">
        <w:rPr>
          <w:rFonts w:ascii="Arial" w:hAnsi="Arial" w:cs="Arial"/>
        </w:rPr>
        <w:t>. Princeton University Press.</w:t>
      </w:r>
    </w:p>
    <w:p w14:paraId="13683290"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Jenkyns, R., ed. (1992) </w:t>
      </w:r>
      <w:r w:rsidRPr="001E019B">
        <w:rPr>
          <w:rFonts w:ascii="Arial" w:hAnsi="Arial" w:cs="Arial"/>
          <w:i/>
        </w:rPr>
        <w:t>The Legacy of Rome</w:t>
      </w:r>
      <w:r w:rsidRPr="001E019B">
        <w:rPr>
          <w:rFonts w:ascii="Arial" w:hAnsi="Arial" w:cs="Arial"/>
        </w:rPr>
        <w:t xml:space="preserve">. </w:t>
      </w:r>
      <w:r>
        <w:rPr>
          <w:rFonts w:ascii="Arial" w:hAnsi="Arial" w:cs="Arial"/>
        </w:rPr>
        <w:t xml:space="preserve">Oxford: </w:t>
      </w:r>
      <w:r w:rsidRPr="001E019B">
        <w:rPr>
          <w:rFonts w:ascii="Arial" w:hAnsi="Arial" w:cs="Arial"/>
        </w:rPr>
        <w:t>Oxford University Press.</w:t>
      </w:r>
    </w:p>
    <w:p w14:paraId="1F686AA3"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Maraniss, D. (2008) </w:t>
      </w:r>
      <w:r w:rsidRPr="001E019B">
        <w:rPr>
          <w:rFonts w:ascii="Arial" w:hAnsi="Arial" w:cs="Arial"/>
          <w:i/>
        </w:rPr>
        <w:t>Rome 1960: The Olympics That Changed the World</w:t>
      </w:r>
      <w:r w:rsidRPr="001E019B">
        <w:rPr>
          <w:rFonts w:ascii="Arial" w:hAnsi="Arial" w:cs="Arial"/>
        </w:rPr>
        <w:t>. New York: Simon &amp; Schuster.</w:t>
      </w:r>
    </w:p>
    <w:p w14:paraId="03CFA069"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Millon, H. &amp; L. Nochlin, eds. (1978) </w:t>
      </w:r>
      <w:r w:rsidRPr="001E019B">
        <w:rPr>
          <w:rFonts w:ascii="Arial" w:hAnsi="Arial" w:cs="Arial"/>
          <w:i/>
        </w:rPr>
        <w:t>Art and Architecture in the Service of Politics</w:t>
      </w:r>
      <w:r w:rsidRPr="001E019B">
        <w:rPr>
          <w:rFonts w:ascii="Arial" w:hAnsi="Arial" w:cs="Arial"/>
        </w:rPr>
        <w:t xml:space="preserve">. </w:t>
      </w:r>
      <w:r w:rsidRPr="00D9166A">
        <w:rPr>
          <w:rFonts w:ascii="Arial" w:hAnsi="Arial" w:cs="Arial"/>
        </w:rPr>
        <w:t>Massachusetts</w:t>
      </w:r>
      <w:r>
        <w:rPr>
          <w:rFonts w:ascii="Arial" w:hAnsi="Arial" w:cs="Arial"/>
        </w:rPr>
        <w:t>: MIT Press Cambridge</w:t>
      </w:r>
      <w:r w:rsidRPr="001E019B">
        <w:rPr>
          <w:rFonts w:ascii="Arial" w:hAnsi="Arial" w:cs="Arial"/>
        </w:rPr>
        <w:t>.</w:t>
      </w:r>
    </w:p>
    <w:p w14:paraId="00772181" w14:textId="59845B05" w:rsidR="004412BE" w:rsidRPr="004412BE" w:rsidRDefault="00F71B95" w:rsidP="00F71B95">
      <w:pPr>
        <w:spacing w:after="120" w:line="240" w:lineRule="auto"/>
        <w:ind w:left="567" w:right="260"/>
        <w:jc w:val="both"/>
        <w:rPr>
          <w:rFonts w:ascii="Arial" w:hAnsi="Arial" w:cs="Arial"/>
        </w:rPr>
      </w:pPr>
      <w:r w:rsidRPr="001E019B">
        <w:rPr>
          <w:rFonts w:ascii="Arial" w:hAnsi="Arial" w:cs="Arial"/>
        </w:rPr>
        <w:t>Wyke, Maria,</w:t>
      </w:r>
      <w:r>
        <w:rPr>
          <w:rFonts w:ascii="Arial" w:hAnsi="Arial" w:cs="Arial"/>
        </w:rPr>
        <w:t xml:space="preserve"> (1997)</w:t>
      </w:r>
      <w:r w:rsidRPr="001E019B">
        <w:rPr>
          <w:rFonts w:ascii="Arial" w:hAnsi="Arial" w:cs="Arial"/>
        </w:rPr>
        <w:t xml:space="preserve"> </w:t>
      </w:r>
      <w:r w:rsidRPr="001E019B">
        <w:rPr>
          <w:rFonts w:ascii="Arial" w:hAnsi="Arial" w:cs="Arial"/>
          <w:i/>
        </w:rPr>
        <w:t>Projecting the Past: Ancient Rome, Cinema and History</w:t>
      </w:r>
      <w:r w:rsidRPr="001E019B">
        <w:rPr>
          <w:rFonts w:ascii="Arial" w:hAnsi="Arial" w:cs="Arial"/>
        </w:rPr>
        <w:t xml:space="preserve"> London</w:t>
      </w:r>
      <w:r>
        <w:rPr>
          <w:rFonts w:ascii="Arial" w:hAnsi="Arial" w:cs="Arial"/>
        </w:rPr>
        <w:t>: 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835E0E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71B95">
        <w:rPr>
          <w:rFonts w:ascii="Arial" w:hAnsi="Arial" w:cs="Arial"/>
          <w:iCs/>
        </w:rPr>
        <w:t>22</w:t>
      </w:r>
    </w:p>
    <w:p w14:paraId="02E2B22A" w14:textId="06D442E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71B95">
        <w:rPr>
          <w:rFonts w:ascii="Arial" w:hAnsi="Arial" w:cs="Arial"/>
          <w:iCs/>
        </w:rPr>
        <w:t>278</w:t>
      </w:r>
    </w:p>
    <w:p w14:paraId="4DD99A46" w14:textId="07E19E5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71B9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7BFFA8A" w:rsidR="00B81E6B" w:rsidRDefault="00F71B95" w:rsidP="00DA658D">
      <w:pPr>
        <w:pStyle w:val="ListParagraph"/>
        <w:numPr>
          <w:ilvl w:val="0"/>
          <w:numId w:val="10"/>
        </w:numPr>
        <w:spacing w:after="120"/>
        <w:ind w:right="260"/>
        <w:contextualSpacing w:val="0"/>
        <w:rPr>
          <w:rFonts w:ascii="Arial" w:hAnsi="Arial" w:cs="Arial"/>
          <w:iCs/>
        </w:rPr>
      </w:pPr>
      <w:r w:rsidRPr="1EF09841">
        <w:rPr>
          <w:rFonts w:ascii="Arial" w:eastAsia="Arial" w:hAnsi="Arial" w:cs="Arial"/>
        </w:rPr>
        <w:t>Blog Post 1 (</w:t>
      </w:r>
      <w:r w:rsidR="00DA658D" w:rsidRPr="00DA658D">
        <w:rPr>
          <w:rFonts w:ascii="Arial" w:eastAsia="Arial" w:hAnsi="Arial" w:cs="Arial"/>
        </w:rPr>
        <w:t>1</w:t>
      </w:r>
      <w:r w:rsidR="00DA658D">
        <w:rPr>
          <w:rFonts w:ascii="Arial" w:eastAsia="Arial" w:hAnsi="Arial" w:cs="Arial"/>
        </w:rPr>
        <w:t>,</w:t>
      </w:r>
      <w:r w:rsidR="00DA658D" w:rsidRPr="00DA658D">
        <w:rPr>
          <w:rFonts w:ascii="Arial" w:eastAsia="Arial" w:hAnsi="Arial" w:cs="Arial"/>
        </w:rPr>
        <w:t xml:space="preserve">000 </w:t>
      </w:r>
      <w:r w:rsidRPr="1EF09841">
        <w:rPr>
          <w:rFonts w:ascii="Arial" w:eastAsia="Arial" w:hAnsi="Arial" w:cs="Arial"/>
        </w:rPr>
        <w:t>words) – 20%</w:t>
      </w:r>
    </w:p>
    <w:p w14:paraId="2FBDA0D7" w14:textId="71B6BD78" w:rsidR="00F71B95" w:rsidRDefault="00F71B95" w:rsidP="00DA658D">
      <w:pPr>
        <w:pStyle w:val="ListParagraph"/>
        <w:numPr>
          <w:ilvl w:val="0"/>
          <w:numId w:val="10"/>
        </w:numPr>
        <w:spacing w:after="120"/>
        <w:ind w:right="260"/>
        <w:contextualSpacing w:val="0"/>
        <w:rPr>
          <w:rFonts w:ascii="Arial" w:hAnsi="Arial" w:cs="Arial"/>
          <w:iCs/>
        </w:rPr>
      </w:pPr>
      <w:r w:rsidRPr="1EF09841">
        <w:rPr>
          <w:rFonts w:ascii="Arial" w:eastAsia="Arial" w:hAnsi="Arial" w:cs="Arial"/>
        </w:rPr>
        <w:t>Blog Post 2 (</w:t>
      </w:r>
      <w:r w:rsidR="00DA658D" w:rsidRPr="00DA658D">
        <w:rPr>
          <w:rFonts w:ascii="Arial" w:eastAsia="Arial" w:hAnsi="Arial" w:cs="Arial"/>
        </w:rPr>
        <w:t>1</w:t>
      </w:r>
      <w:r w:rsidR="00DA658D">
        <w:rPr>
          <w:rFonts w:ascii="Arial" w:eastAsia="Arial" w:hAnsi="Arial" w:cs="Arial"/>
        </w:rPr>
        <w:t>,</w:t>
      </w:r>
      <w:r w:rsidR="00DA658D" w:rsidRPr="00DA658D">
        <w:rPr>
          <w:rFonts w:ascii="Arial" w:eastAsia="Arial" w:hAnsi="Arial" w:cs="Arial"/>
        </w:rPr>
        <w:t xml:space="preserve">500 </w:t>
      </w:r>
      <w:r w:rsidRPr="1EF09841">
        <w:rPr>
          <w:rFonts w:ascii="Arial" w:eastAsia="Arial" w:hAnsi="Arial" w:cs="Arial"/>
        </w:rPr>
        <w:t>words) – 30%</w:t>
      </w:r>
    </w:p>
    <w:p w14:paraId="754E89C1" w14:textId="43ADADE7" w:rsidR="00F71B95" w:rsidRDefault="00F71B95" w:rsidP="00DA658D">
      <w:pPr>
        <w:pStyle w:val="ListParagraph"/>
        <w:numPr>
          <w:ilvl w:val="0"/>
          <w:numId w:val="10"/>
        </w:numPr>
        <w:spacing w:after="120"/>
        <w:ind w:right="260"/>
        <w:contextualSpacing w:val="0"/>
        <w:rPr>
          <w:rFonts w:ascii="Arial" w:hAnsi="Arial" w:cs="Arial"/>
          <w:iCs/>
        </w:rPr>
      </w:pPr>
      <w:bookmarkStart w:id="0" w:name="_GoBack"/>
      <w:r w:rsidRPr="1EF09841">
        <w:rPr>
          <w:rFonts w:ascii="Arial" w:eastAsia="Arial" w:hAnsi="Arial" w:cs="Arial"/>
        </w:rPr>
        <w:t xml:space="preserve">Interpretive Essay </w:t>
      </w:r>
      <w:r w:rsidR="1EF09841" w:rsidRPr="1EF09841">
        <w:rPr>
          <w:rFonts w:ascii="Arial" w:eastAsia="Arial" w:hAnsi="Arial" w:cs="Arial"/>
        </w:rPr>
        <w:t>(</w:t>
      </w:r>
      <w:r w:rsidR="00DA658D" w:rsidRPr="00DA658D">
        <w:rPr>
          <w:rFonts w:ascii="Arial" w:eastAsia="Arial" w:hAnsi="Arial" w:cs="Arial"/>
        </w:rPr>
        <w:t>4</w:t>
      </w:r>
      <w:r w:rsidR="00DA658D">
        <w:rPr>
          <w:rFonts w:ascii="Arial" w:eastAsia="Arial" w:hAnsi="Arial" w:cs="Arial"/>
        </w:rPr>
        <w:t>,</w:t>
      </w:r>
      <w:r w:rsidR="00DA658D" w:rsidRPr="00DA658D">
        <w:rPr>
          <w:rFonts w:ascii="Arial" w:eastAsia="Arial" w:hAnsi="Arial" w:cs="Arial"/>
        </w:rPr>
        <w:t xml:space="preserve">000 </w:t>
      </w:r>
      <w:r w:rsidRPr="1EF09841">
        <w:rPr>
          <w:rFonts w:ascii="Arial" w:eastAsia="Arial" w:hAnsi="Arial" w:cs="Arial"/>
        </w:rPr>
        <w:t xml:space="preserve">words) </w:t>
      </w:r>
      <w:bookmarkEnd w:id="0"/>
      <w:r w:rsidRPr="1EF09841">
        <w:rPr>
          <w:rFonts w:ascii="Arial" w:eastAsia="Arial" w:hAnsi="Arial" w:cs="Arial"/>
        </w:rPr>
        <w:t>–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81090D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F71B9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817"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tblGrid>
      <w:tr w:rsidR="00F71B95" w:rsidRPr="00302082" w14:paraId="5D269EE5" w14:textId="77777777" w:rsidTr="00F71B95">
        <w:tc>
          <w:tcPr>
            <w:tcW w:w="3147" w:type="dxa"/>
            <w:shd w:val="clear" w:color="auto" w:fill="D9D9D9" w:themeFill="background1" w:themeFillShade="D9"/>
          </w:tcPr>
          <w:p w14:paraId="766134FC" w14:textId="3983D46D" w:rsidR="00F71B95" w:rsidRPr="00302082" w:rsidRDefault="00F71B95" w:rsidP="00F71B95">
            <w:pPr>
              <w:spacing w:after="120"/>
              <w:rPr>
                <w:rFonts w:ascii="Arial" w:hAnsi="Arial" w:cs="Arial"/>
                <w:i/>
              </w:rPr>
            </w:pPr>
            <w:r w:rsidRPr="00302082">
              <w:rPr>
                <w:rFonts w:ascii="Arial" w:hAnsi="Arial" w:cs="Arial"/>
                <w:b/>
              </w:rPr>
              <w:t>Module learning outcome</w:t>
            </w:r>
          </w:p>
        </w:tc>
        <w:tc>
          <w:tcPr>
            <w:tcW w:w="567" w:type="dxa"/>
          </w:tcPr>
          <w:p w14:paraId="0A3A98C4" w14:textId="77777777" w:rsidR="00F71B95" w:rsidRPr="00302082" w:rsidRDefault="00F71B95" w:rsidP="00991E93">
            <w:pPr>
              <w:spacing w:after="120"/>
              <w:rPr>
                <w:rFonts w:ascii="Arial" w:hAnsi="Arial" w:cs="Arial"/>
                <w:i/>
              </w:rPr>
            </w:pPr>
            <w:r w:rsidRPr="00302082">
              <w:rPr>
                <w:rFonts w:ascii="Arial" w:hAnsi="Arial" w:cs="Arial"/>
                <w:i/>
              </w:rPr>
              <w:t>8.1</w:t>
            </w:r>
          </w:p>
        </w:tc>
        <w:tc>
          <w:tcPr>
            <w:tcW w:w="567" w:type="dxa"/>
          </w:tcPr>
          <w:p w14:paraId="05035C5E" w14:textId="77777777" w:rsidR="00F71B95" w:rsidRPr="00302082" w:rsidRDefault="00F71B95" w:rsidP="00991E93">
            <w:pPr>
              <w:spacing w:after="120"/>
              <w:rPr>
                <w:rFonts w:ascii="Arial" w:hAnsi="Arial" w:cs="Arial"/>
                <w:i/>
              </w:rPr>
            </w:pPr>
            <w:r w:rsidRPr="00302082">
              <w:rPr>
                <w:rFonts w:ascii="Arial" w:hAnsi="Arial" w:cs="Arial"/>
                <w:i/>
              </w:rPr>
              <w:t>8.2</w:t>
            </w:r>
          </w:p>
        </w:tc>
        <w:tc>
          <w:tcPr>
            <w:tcW w:w="567" w:type="dxa"/>
          </w:tcPr>
          <w:p w14:paraId="6CFB285C" w14:textId="77777777" w:rsidR="00F71B95" w:rsidRPr="00302082" w:rsidRDefault="00F71B95" w:rsidP="00991E93">
            <w:pPr>
              <w:spacing w:after="120"/>
              <w:rPr>
                <w:rFonts w:ascii="Arial" w:hAnsi="Arial" w:cs="Arial"/>
                <w:i/>
              </w:rPr>
            </w:pPr>
            <w:r w:rsidRPr="00302082">
              <w:rPr>
                <w:rFonts w:ascii="Arial" w:hAnsi="Arial" w:cs="Arial"/>
                <w:i/>
              </w:rPr>
              <w:t>8.3</w:t>
            </w:r>
          </w:p>
        </w:tc>
        <w:tc>
          <w:tcPr>
            <w:tcW w:w="567" w:type="dxa"/>
          </w:tcPr>
          <w:p w14:paraId="7A4843AF" w14:textId="77777777" w:rsidR="00F71B95" w:rsidRPr="00302082" w:rsidRDefault="00F71B95" w:rsidP="00991E93">
            <w:pPr>
              <w:spacing w:after="120"/>
              <w:rPr>
                <w:rFonts w:ascii="Arial" w:hAnsi="Arial" w:cs="Arial"/>
                <w:i/>
              </w:rPr>
            </w:pPr>
            <w:r w:rsidRPr="00302082">
              <w:rPr>
                <w:rFonts w:ascii="Arial" w:hAnsi="Arial" w:cs="Arial"/>
                <w:i/>
              </w:rPr>
              <w:t>8.4</w:t>
            </w:r>
          </w:p>
        </w:tc>
        <w:tc>
          <w:tcPr>
            <w:tcW w:w="567" w:type="dxa"/>
          </w:tcPr>
          <w:p w14:paraId="415990ED" w14:textId="77777777" w:rsidR="00F71B95" w:rsidRPr="00302082" w:rsidRDefault="00F71B95" w:rsidP="00991E93">
            <w:pPr>
              <w:spacing w:after="120"/>
              <w:rPr>
                <w:rFonts w:ascii="Arial" w:hAnsi="Arial" w:cs="Arial"/>
                <w:i/>
              </w:rPr>
            </w:pPr>
            <w:r w:rsidRPr="00302082">
              <w:rPr>
                <w:rFonts w:ascii="Arial" w:hAnsi="Arial" w:cs="Arial"/>
                <w:i/>
              </w:rPr>
              <w:t>8.5</w:t>
            </w:r>
          </w:p>
        </w:tc>
        <w:tc>
          <w:tcPr>
            <w:tcW w:w="567" w:type="dxa"/>
          </w:tcPr>
          <w:p w14:paraId="2419B3C8" w14:textId="77777777" w:rsidR="00F71B95" w:rsidRPr="00302082" w:rsidRDefault="00F71B95" w:rsidP="00991E93">
            <w:pPr>
              <w:spacing w:after="120"/>
              <w:rPr>
                <w:rFonts w:ascii="Arial" w:hAnsi="Arial" w:cs="Arial"/>
                <w:i/>
              </w:rPr>
            </w:pPr>
            <w:r w:rsidRPr="00302082">
              <w:rPr>
                <w:rFonts w:ascii="Arial" w:hAnsi="Arial" w:cs="Arial"/>
                <w:i/>
              </w:rPr>
              <w:t>9.1</w:t>
            </w:r>
          </w:p>
        </w:tc>
        <w:tc>
          <w:tcPr>
            <w:tcW w:w="567" w:type="dxa"/>
          </w:tcPr>
          <w:p w14:paraId="0912D7C7" w14:textId="77777777" w:rsidR="00F71B95" w:rsidRPr="00302082" w:rsidRDefault="00F71B95" w:rsidP="00991E93">
            <w:pPr>
              <w:spacing w:after="120"/>
              <w:rPr>
                <w:rFonts w:ascii="Arial" w:hAnsi="Arial" w:cs="Arial"/>
                <w:i/>
              </w:rPr>
            </w:pPr>
            <w:r w:rsidRPr="00302082">
              <w:rPr>
                <w:rFonts w:ascii="Arial" w:hAnsi="Arial" w:cs="Arial"/>
                <w:i/>
              </w:rPr>
              <w:t>9.2</w:t>
            </w:r>
          </w:p>
        </w:tc>
        <w:tc>
          <w:tcPr>
            <w:tcW w:w="567" w:type="dxa"/>
          </w:tcPr>
          <w:p w14:paraId="32EC91C9" w14:textId="77777777" w:rsidR="00F71B95" w:rsidRPr="00302082" w:rsidRDefault="00F71B95" w:rsidP="00991E93">
            <w:pPr>
              <w:spacing w:after="120"/>
              <w:rPr>
                <w:rFonts w:ascii="Arial" w:hAnsi="Arial" w:cs="Arial"/>
                <w:i/>
              </w:rPr>
            </w:pPr>
            <w:r w:rsidRPr="00302082">
              <w:rPr>
                <w:rFonts w:ascii="Arial" w:hAnsi="Arial" w:cs="Arial"/>
                <w:i/>
              </w:rPr>
              <w:t>9.3</w:t>
            </w:r>
          </w:p>
        </w:tc>
        <w:tc>
          <w:tcPr>
            <w:tcW w:w="567" w:type="dxa"/>
          </w:tcPr>
          <w:p w14:paraId="38A1911B" w14:textId="77777777" w:rsidR="00F71B95" w:rsidRPr="00302082" w:rsidRDefault="00F71B95" w:rsidP="00991E93">
            <w:pPr>
              <w:spacing w:after="120"/>
              <w:rPr>
                <w:rFonts w:ascii="Arial" w:hAnsi="Arial" w:cs="Arial"/>
                <w:i/>
              </w:rPr>
            </w:pPr>
            <w:r w:rsidRPr="00302082">
              <w:rPr>
                <w:rFonts w:ascii="Arial" w:hAnsi="Arial" w:cs="Arial"/>
                <w:i/>
              </w:rPr>
              <w:t>9.4</w:t>
            </w:r>
          </w:p>
        </w:tc>
        <w:tc>
          <w:tcPr>
            <w:tcW w:w="567" w:type="dxa"/>
          </w:tcPr>
          <w:p w14:paraId="29487E6B" w14:textId="77777777" w:rsidR="00F71B95" w:rsidRPr="00302082" w:rsidRDefault="00F71B95" w:rsidP="00991E93">
            <w:pPr>
              <w:spacing w:after="120"/>
              <w:rPr>
                <w:rFonts w:ascii="Arial" w:hAnsi="Arial" w:cs="Arial"/>
                <w:i/>
              </w:rPr>
            </w:pPr>
            <w:r>
              <w:rPr>
                <w:rFonts w:ascii="Arial" w:hAnsi="Arial" w:cs="Arial"/>
                <w:i/>
              </w:rPr>
              <w:t>9.5</w:t>
            </w:r>
          </w:p>
        </w:tc>
      </w:tr>
      <w:tr w:rsidR="00F71B95" w:rsidRPr="00302082" w14:paraId="58EF85AC" w14:textId="77777777" w:rsidTr="00F71B95">
        <w:tc>
          <w:tcPr>
            <w:tcW w:w="3147" w:type="dxa"/>
            <w:shd w:val="clear" w:color="auto" w:fill="D9D9D9" w:themeFill="background1" w:themeFillShade="D9"/>
          </w:tcPr>
          <w:p w14:paraId="037F3219" w14:textId="626EC091" w:rsidR="00F71B95" w:rsidRPr="00302082" w:rsidRDefault="00F71B95" w:rsidP="00F71B95">
            <w:pPr>
              <w:spacing w:after="120"/>
              <w:rPr>
                <w:rFonts w:ascii="Arial" w:hAnsi="Arial" w:cs="Arial"/>
                <w:b/>
              </w:rPr>
            </w:pPr>
            <w:r w:rsidRPr="00302082">
              <w:rPr>
                <w:rFonts w:ascii="Arial" w:hAnsi="Arial" w:cs="Arial"/>
                <w:b/>
              </w:rPr>
              <w:t>Learning/ teaching method</w:t>
            </w:r>
          </w:p>
        </w:tc>
        <w:tc>
          <w:tcPr>
            <w:tcW w:w="567" w:type="dxa"/>
          </w:tcPr>
          <w:p w14:paraId="41B1AC98" w14:textId="77777777" w:rsidR="00F71B95" w:rsidRPr="00302082" w:rsidRDefault="00F71B95" w:rsidP="00991E93">
            <w:pPr>
              <w:spacing w:after="120"/>
              <w:rPr>
                <w:rFonts w:ascii="Arial" w:hAnsi="Arial" w:cs="Arial"/>
                <w:b/>
              </w:rPr>
            </w:pPr>
          </w:p>
        </w:tc>
        <w:tc>
          <w:tcPr>
            <w:tcW w:w="567" w:type="dxa"/>
          </w:tcPr>
          <w:p w14:paraId="58370FF2" w14:textId="77777777" w:rsidR="00F71B95" w:rsidRPr="00302082" w:rsidRDefault="00F71B95" w:rsidP="00991E93">
            <w:pPr>
              <w:spacing w:after="120"/>
              <w:rPr>
                <w:rFonts w:ascii="Arial" w:hAnsi="Arial" w:cs="Arial"/>
                <w:b/>
              </w:rPr>
            </w:pPr>
          </w:p>
        </w:tc>
        <w:tc>
          <w:tcPr>
            <w:tcW w:w="567" w:type="dxa"/>
          </w:tcPr>
          <w:p w14:paraId="536B90C1" w14:textId="77777777" w:rsidR="00F71B95" w:rsidRPr="00302082" w:rsidRDefault="00F71B95" w:rsidP="00991E93">
            <w:pPr>
              <w:spacing w:after="120"/>
              <w:rPr>
                <w:rFonts w:ascii="Arial" w:hAnsi="Arial" w:cs="Arial"/>
                <w:b/>
              </w:rPr>
            </w:pPr>
          </w:p>
        </w:tc>
        <w:tc>
          <w:tcPr>
            <w:tcW w:w="567" w:type="dxa"/>
          </w:tcPr>
          <w:p w14:paraId="609D0DC9" w14:textId="77777777" w:rsidR="00F71B95" w:rsidRPr="00302082" w:rsidRDefault="00F71B95" w:rsidP="00991E93">
            <w:pPr>
              <w:spacing w:after="120"/>
              <w:rPr>
                <w:rFonts w:ascii="Arial" w:hAnsi="Arial" w:cs="Arial"/>
                <w:b/>
              </w:rPr>
            </w:pPr>
          </w:p>
        </w:tc>
        <w:tc>
          <w:tcPr>
            <w:tcW w:w="567" w:type="dxa"/>
          </w:tcPr>
          <w:p w14:paraId="0426B16A" w14:textId="77777777" w:rsidR="00F71B95" w:rsidRPr="00302082" w:rsidRDefault="00F71B95" w:rsidP="00991E93">
            <w:pPr>
              <w:spacing w:after="120"/>
              <w:rPr>
                <w:rFonts w:ascii="Arial" w:hAnsi="Arial" w:cs="Arial"/>
                <w:b/>
              </w:rPr>
            </w:pPr>
          </w:p>
        </w:tc>
        <w:tc>
          <w:tcPr>
            <w:tcW w:w="567" w:type="dxa"/>
          </w:tcPr>
          <w:p w14:paraId="5B70D75E" w14:textId="77777777" w:rsidR="00F71B95" w:rsidRPr="00302082" w:rsidRDefault="00F71B95" w:rsidP="00991E93">
            <w:pPr>
              <w:spacing w:after="120"/>
              <w:rPr>
                <w:rFonts w:ascii="Arial" w:hAnsi="Arial" w:cs="Arial"/>
                <w:b/>
              </w:rPr>
            </w:pPr>
          </w:p>
        </w:tc>
        <w:tc>
          <w:tcPr>
            <w:tcW w:w="567" w:type="dxa"/>
          </w:tcPr>
          <w:p w14:paraId="13032344" w14:textId="77777777" w:rsidR="00F71B95" w:rsidRPr="00302082" w:rsidRDefault="00F71B95" w:rsidP="00991E93">
            <w:pPr>
              <w:spacing w:after="120"/>
              <w:rPr>
                <w:rFonts w:ascii="Arial" w:hAnsi="Arial" w:cs="Arial"/>
                <w:b/>
              </w:rPr>
            </w:pPr>
          </w:p>
        </w:tc>
        <w:tc>
          <w:tcPr>
            <w:tcW w:w="567" w:type="dxa"/>
          </w:tcPr>
          <w:p w14:paraId="7A6CB3AD" w14:textId="77777777" w:rsidR="00F71B95" w:rsidRPr="00302082" w:rsidRDefault="00F71B95" w:rsidP="00991E93">
            <w:pPr>
              <w:spacing w:after="120"/>
              <w:rPr>
                <w:rFonts w:ascii="Arial" w:hAnsi="Arial" w:cs="Arial"/>
                <w:b/>
              </w:rPr>
            </w:pPr>
          </w:p>
        </w:tc>
        <w:tc>
          <w:tcPr>
            <w:tcW w:w="567" w:type="dxa"/>
          </w:tcPr>
          <w:p w14:paraId="3735FB18" w14:textId="77777777" w:rsidR="00F71B95" w:rsidRPr="00302082" w:rsidRDefault="00F71B95" w:rsidP="00991E93">
            <w:pPr>
              <w:spacing w:after="120"/>
              <w:rPr>
                <w:rFonts w:ascii="Arial" w:hAnsi="Arial" w:cs="Arial"/>
                <w:b/>
              </w:rPr>
            </w:pPr>
          </w:p>
        </w:tc>
        <w:tc>
          <w:tcPr>
            <w:tcW w:w="567" w:type="dxa"/>
          </w:tcPr>
          <w:p w14:paraId="2CEE9C50" w14:textId="77777777" w:rsidR="00F71B95" w:rsidRPr="00302082" w:rsidRDefault="00F71B95" w:rsidP="00991E93">
            <w:pPr>
              <w:spacing w:after="120"/>
              <w:rPr>
                <w:rFonts w:ascii="Arial" w:hAnsi="Arial" w:cs="Arial"/>
                <w:b/>
              </w:rPr>
            </w:pPr>
          </w:p>
        </w:tc>
      </w:tr>
      <w:tr w:rsidR="00F71B95" w:rsidRPr="00302082" w14:paraId="66A7FA96" w14:textId="77777777" w:rsidTr="008E3320">
        <w:tc>
          <w:tcPr>
            <w:tcW w:w="3147" w:type="dxa"/>
          </w:tcPr>
          <w:p w14:paraId="1B0D2D34" w14:textId="114D2FA0" w:rsidR="00F71B95" w:rsidRPr="00FC43C9" w:rsidRDefault="00F71B95" w:rsidP="00F71B95">
            <w:pPr>
              <w:spacing w:after="120"/>
              <w:rPr>
                <w:rFonts w:ascii="Arial" w:hAnsi="Arial" w:cs="Arial"/>
              </w:rPr>
            </w:pPr>
            <w:r w:rsidRPr="00FC43C9">
              <w:rPr>
                <w:rFonts w:ascii="Arial" w:hAnsi="Arial" w:cs="Arial"/>
              </w:rPr>
              <w:t>Private Study</w:t>
            </w:r>
          </w:p>
        </w:tc>
        <w:tc>
          <w:tcPr>
            <w:tcW w:w="567" w:type="dxa"/>
          </w:tcPr>
          <w:p w14:paraId="638BD9C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72DFEB0"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A90482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C2DE6E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800E03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4A7BC0A"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1E5755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AD477A8"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3FF4012"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249DCCB"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467DBA54" w14:textId="77777777" w:rsidTr="00307E0F">
        <w:tc>
          <w:tcPr>
            <w:tcW w:w="3147" w:type="dxa"/>
          </w:tcPr>
          <w:p w14:paraId="5B85B4E7" w14:textId="366F74B9" w:rsidR="00F71B95" w:rsidRPr="00FC43C9" w:rsidRDefault="00F71B95" w:rsidP="00F71B95">
            <w:pPr>
              <w:spacing w:after="120"/>
              <w:rPr>
                <w:rFonts w:ascii="Arial" w:hAnsi="Arial" w:cs="Arial"/>
              </w:rPr>
            </w:pPr>
            <w:r>
              <w:rPr>
                <w:rFonts w:ascii="Arial" w:hAnsi="Arial" w:cs="Arial"/>
              </w:rPr>
              <w:t>Seminar</w:t>
            </w:r>
          </w:p>
        </w:tc>
        <w:tc>
          <w:tcPr>
            <w:tcW w:w="567" w:type="dxa"/>
          </w:tcPr>
          <w:p w14:paraId="3379E6F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69F9FB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4C05DC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2DB14C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9B9F76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E561393" w14:textId="77777777" w:rsidR="00F71B95" w:rsidRPr="00F71B95" w:rsidRDefault="00F71B95" w:rsidP="00991E93">
            <w:pPr>
              <w:spacing w:after="120"/>
              <w:jc w:val="center"/>
              <w:rPr>
                <w:rFonts w:ascii="Arial" w:hAnsi="Arial" w:cs="Arial"/>
                <w:b/>
              </w:rPr>
            </w:pPr>
          </w:p>
        </w:tc>
        <w:tc>
          <w:tcPr>
            <w:tcW w:w="567" w:type="dxa"/>
          </w:tcPr>
          <w:p w14:paraId="1739B55D"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BEF64CA"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9FA4F1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2B9A1B7"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75B1B264" w14:textId="77777777" w:rsidTr="003F2E72">
        <w:tc>
          <w:tcPr>
            <w:tcW w:w="3147" w:type="dxa"/>
          </w:tcPr>
          <w:p w14:paraId="2AF2CF61" w14:textId="7E090ED9" w:rsidR="00F71B95" w:rsidRPr="00FC43C9" w:rsidRDefault="00F71B95" w:rsidP="00F71B95">
            <w:pPr>
              <w:spacing w:after="120"/>
              <w:rPr>
                <w:rFonts w:ascii="Arial" w:hAnsi="Arial" w:cs="Arial"/>
              </w:rPr>
            </w:pPr>
            <w:r>
              <w:rPr>
                <w:rFonts w:ascii="Arial" w:hAnsi="Arial" w:cs="Arial"/>
              </w:rPr>
              <w:t>1:1 Feedback</w:t>
            </w:r>
          </w:p>
        </w:tc>
        <w:tc>
          <w:tcPr>
            <w:tcW w:w="567" w:type="dxa"/>
          </w:tcPr>
          <w:p w14:paraId="400A83D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E71CE5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F06A32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CADA8D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D34321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672E70A" w14:textId="77777777" w:rsidR="00F71B95" w:rsidRPr="00F71B95" w:rsidRDefault="00F71B95" w:rsidP="00991E93">
            <w:pPr>
              <w:spacing w:after="120"/>
              <w:jc w:val="center"/>
              <w:rPr>
                <w:rFonts w:ascii="Arial" w:hAnsi="Arial" w:cs="Arial"/>
                <w:b/>
              </w:rPr>
            </w:pPr>
          </w:p>
        </w:tc>
        <w:tc>
          <w:tcPr>
            <w:tcW w:w="567" w:type="dxa"/>
          </w:tcPr>
          <w:p w14:paraId="21162B1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A7F3378" w14:textId="77777777" w:rsidR="00F71B95" w:rsidRPr="00F71B95" w:rsidRDefault="00F71B95" w:rsidP="00991E93">
            <w:pPr>
              <w:spacing w:after="120"/>
              <w:jc w:val="center"/>
              <w:rPr>
                <w:rFonts w:ascii="Arial" w:hAnsi="Arial" w:cs="Arial"/>
                <w:b/>
              </w:rPr>
            </w:pPr>
          </w:p>
        </w:tc>
        <w:tc>
          <w:tcPr>
            <w:tcW w:w="567" w:type="dxa"/>
          </w:tcPr>
          <w:p w14:paraId="2CE66BF2" w14:textId="77777777" w:rsidR="00F71B95" w:rsidRPr="00F71B95" w:rsidRDefault="00F71B95" w:rsidP="00991E93">
            <w:pPr>
              <w:spacing w:after="120"/>
              <w:jc w:val="center"/>
              <w:rPr>
                <w:rFonts w:ascii="Arial" w:hAnsi="Arial" w:cs="Arial"/>
                <w:b/>
              </w:rPr>
            </w:pPr>
          </w:p>
        </w:tc>
        <w:tc>
          <w:tcPr>
            <w:tcW w:w="567" w:type="dxa"/>
          </w:tcPr>
          <w:p w14:paraId="1EC7E53A"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5FCA6979" w14:textId="77777777" w:rsidTr="00F71B95">
        <w:tc>
          <w:tcPr>
            <w:tcW w:w="3147" w:type="dxa"/>
            <w:shd w:val="clear" w:color="auto" w:fill="D9D9D9" w:themeFill="background1" w:themeFillShade="D9"/>
            <w:vAlign w:val="center"/>
          </w:tcPr>
          <w:p w14:paraId="3D159BBE" w14:textId="77777777" w:rsidR="00F71B95" w:rsidRPr="00302082" w:rsidRDefault="00F71B95" w:rsidP="00991E93">
            <w:pPr>
              <w:spacing w:after="120"/>
              <w:rPr>
                <w:rFonts w:ascii="Arial" w:hAnsi="Arial" w:cs="Arial"/>
                <w:b/>
              </w:rPr>
            </w:pPr>
            <w:r w:rsidRPr="00302082">
              <w:rPr>
                <w:rFonts w:ascii="Arial" w:hAnsi="Arial" w:cs="Arial"/>
                <w:b/>
              </w:rPr>
              <w:lastRenderedPageBreak/>
              <w:t>Assessment method</w:t>
            </w:r>
          </w:p>
        </w:tc>
        <w:tc>
          <w:tcPr>
            <w:tcW w:w="567" w:type="dxa"/>
          </w:tcPr>
          <w:p w14:paraId="010493C8" w14:textId="77777777" w:rsidR="00F71B95" w:rsidRPr="00F71B95" w:rsidRDefault="00F71B95" w:rsidP="00991E93">
            <w:pPr>
              <w:spacing w:after="120"/>
              <w:rPr>
                <w:rFonts w:ascii="Arial" w:hAnsi="Arial" w:cs="Arial"/>
                <w:b/>
              </w:rPr>
            </w:pPr>
          </w:p>
        </w:tc>
        <w:tc>
          <w:tcPr>
            <w:tcW w:w="567" w:type="dxa"/>
          </w:tcPr>
          <w:p w14:paraId="27A60546" w14:textId="77777777" w:rsidR="00F71B95" w:rsidRPr="00F71B95" w:rsidRDefault="00F71B95" w:rsidP="00991E93">
            <w:pPr>
              <w:spacing w:after="120"/>
              <w:rPr>
                <w:rFonts w:ascii="Arial" w:hAnsi="Arial" w:cs="Arial"/>
                <w:b/>
              </w:rPr>
            </w:pPr>
          </w:p>
        </w:tc>
        <w:tc>
          <w:tcPr>
            <w:tcW w:w="567" w:type="dxa"/>
          </w:tcPr>
          <w:p w14:paraId="272508F4" w14:textId="77777777" w:rsidR="00F71B95" w:rsidRPr="00F71B95" w:rsidRDefault="00F71B95" w:rsidP="00991E93">
            <w:pPr>
              <w:spacing w:after="120"/>
              <w:rPr>
                <w:rFonts w:ascii="Arial" w:hAnsi="Arial" w:cs="Arial"/>
                <w:b/>
              </w:rPr>
            </w:pPr>
          </w:p>
        </w:tc>
        <w:tc>
          <w:tcPr>
            <w:tcW w:w="567" w:type="dxa"/>
          </w:tcPr>
          <w:p w14:paraId="52D5324C" w14:textId="77777777" w:rsidR="00F71B95" w:rsidRPr="00F71B95" w:rsidRDefault="00F71B95" w:rsidP="00991E93">
            <w:pPr>
              <w:spacing w:after="120"/>
              <w:rPr>
                <w:rFonts w:ascii="Arial" w:hAnsi="Arial" w:cs="Arial"/>
                <w:b/>
              </w:rPr>
            </w:pPr>
          </w:p>
        </w:tc>
        <w:tc>
          <w:tcPr>
            <w:tcW w:w="567" w:type="dxa"/>
          </w:tcPr>
          <w:p w14:paraId="57F771E6" w14:textId="77777777" w:rsidR="00F71B95" w:rsidRPr="00F71B95" w:rsidRDefault="00F71B95" w:rsidP="00991E93">
            <w:pPr>
              <w:spacing w:after="120"/>
              <w:rPr>
                <w:rFonts w:ascii="Arial" w:hAnsi="Arial" w:cs="Arial"/>
                <w:b/>
              </w:rPr>
            </w:pPr>
          </w:p>
        </w:tc>
        <w:tc>
          <w:tcPr>
            <w:tcW w:w="567" w:type="dxa"/>
          </w:tcPr>
          <w:p w14:paraId="4AD97672" w14:textId="77777777" w:rsidR="00F71B95" w:rsidRPr="00F71B95" w:rsidRDefault="00F71B95" w:rsidP="00991E93">
            <w:pPr>
              <w:spacing w:after="120"/>
              <w:rPr>
                <w:rFonts w:ascii="Arial" w:hAnsi="Arial" w:cs="Arial"/>
                <w:b/>
              </w:rPr>
            </w:pPr>
          </w:p>
        </w:tc>
        <w:tc>
          <w:tcPr>
            <w:tcW w:w="567" w:type="dxa"/>
          </w:tcPr>
          <w:p w14:paraId="13A1D0DA" w14:textId="77777777" w:rsidR="00F71B95" w:rsidRPr="00F71B95" w:rsidRDefault="00F71B95" w:rsidP="00991E93">
            <w:pPr>
              <w:spacing w:after="120"/>
              <w:rPr>
                <w:rFonts w:ascii="Arial" w:hAnsi="Arial" w:cs="Arial"/>
                <w:b/>
              </w:rPr>
            </w:pPr>
          </w:p>
        </w:tc>
        <w:tc>
          <w:tcPr>
            <w:tcW w:w="567" w:type="dxa"/>
          </w:tcPr>
          <w:p w14:paraId="41D60214" w14:textId="77777777" w:rsidR="00F71B95" w:rsidRPr="00F71B95" w:rsidRDefault="00F71B95" w:rsidP="00991E93">
            <w:pPr>
              <w:spacing w:after="120"/>
              <w:rPr>
                <w:rFonts w:ascii="Arial" w:hAnsi="Arial" w:cs="Arial"/>
                <w:b/>
              </w:rPr>
            </w:pPr>
          </w:p>
        </w:tc>
        <w:tc>
          <w:tcPr>
            <w:tcW w:w="567" w:type="dxa"/>
          </w:tcPr>
          <w:p w14:paraId="4A1A8CA9" w14:textId="77777777" w:rsidR="00F71B95" w:rsidRPr="00F71B95" w:rsidRDefault="00F71B95" w:rsidP="00991E93">
            <w:pPr>
              <w:spacing w:after="120"/>
              <w:rPr>
                <w:rFonts w:ascii="Arial" w:hAnsi="Arial" w:cs="Arial"/>
                <w:b/>
              </w:rPr>
            </w:pPr>
          </w:p>
        </w:tc>
        <w:tc>
          <w:tcPr>
            <w:tcW w:w="567" w:type="dxa"/>
          </w:tcPr>
          <w:p w14:paraId="77930F99" w14:textId="77777777" w:rsidR="00F71B95" w:rsidRPr="00F71B95" w:rsidRDefault="00F71B95" w:rsidP="00991E93">
            <w:pPr>
              <w:spacing w:after="120"/>
              <w:rPr>
                <w:rFonts w:ascii="Arial" w:hAnsi="Arial" w:cs="Arial"/>
                <w:b/>
              </w:rPr>
            </w:pPr>
          </w:p>
        </w:tc>
      </w:tr>
      <w:tr w:rsidR="00F71B95" w:rsidRPr="00302082" w14:paraId="75D76278" w14:textId="77777777" w:rsidTr="00F71B95">
        <w:tc>
          <w:tcPr>
            <w:tcW w:w="3147" w:type="dxa"/>
          </w:tcPr>
          <w:p w14:paraId="733D41C3" w14:textId="77777777" w:rsidR="00F71B95" w:rsidRPr="00FC43C9" w:rsidRDefault="00F71B95" w:rsidP="00991E93">
            <w:pPr>
              <w:spacing w:after="120"/>
              <w:rPr>
                <w:rFonts w:ascii="Arial" w:hAnsi="Arial" w:cs="Arial"/>
              </w:rPr>
            </w:pPr>
            <w:r>
              <w:rPr>
                <w:rFonts w:ascii="Arial" w:hAnsi="Arial" w:cs="Arial"/>
              </w:rPr>
              <w:t>Blog Post 1: Antiquity</w:t>
            </w:r>
          </w:p>
        </w:tc>
        <w:tc>
          <w:tcPr>
            <w:tcW w:w="567" w:type="dxa"/>
          </w:tcPr>
          <w:p w14:paraId="1010CAE2"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F43E91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B51D88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DED278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E1280D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6E5C2A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7692E9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92D8A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32E3304"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E67F964"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2089523D" w14:textId="77777777" w:rsidTr="00F71B95">
        <w:tc>
          <w:tcPr>
            <w:tcW w:w="3147" w:type="dxa"/>
          </w:tcPr>
          <w:p w14:paraId="62E97A38" w14:textId="77777777" w:rsidR="00F71B95" w:rsidRPr="00FC43C9" w:rsidRDefault="00F71B95" w:rsidP="00991E93">
            <w:pPr>
              <w:spacing w:after="120"/>
              <w:rPr>
                <w:rFonts w:ascii="Arial" w:hAnsi="Arial" w:cs="Arial"/>
              </w:rPr>
            </w:pPr>
            <w:r>
              <w:rPr>
                <w:rFonts w:ascii="Arial" w:hAnsi="Arial" w:cs="Arial"/>
              </w:rPr>
              <w:t>Blog Post 2: Reception</w:t>
            </w:r>
          </w:p>
        </w:tc>
        <w:tc>
          <w:tcPr>
            <w:tcW w:w="567" w:type="dxa"/>
          </w:tcPr>
          <w:p w14:paraId="3202B47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CD16E2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97BA7D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7E366A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9E61CA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BE6733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2DF9798"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6C7710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C489021"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6CE39B9"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0B540049" w14:textId="77777777" w:rsidTr="00F71B95">
        <w:tc>
          <w:tcPr>
            <w:tcW w:w="3147" w:type="dxa"/>
          </w:tcPr>
          <w:p w14:paraId="4F24B471" w14:textId="77777777" w:rsidR="00F71B95" w:rsidRPr="00FC43C9" w:rsidRDefault="00F71B95" w:rsidP="00991E93">
            <w:pPr>
              <w:spacing w:after="120"/>
              <w:rPr>
                <w:rFonts w:ascii="Arial" w:hAnsi="Arial" w:cs="Arial"/>
              </w:rPr>
            </w:pPr>
            <w:r>
              <w:rPr>
                <w:rFonts w:ascii="Arial" w:hAnsi="Arial" w:cs="Arial"/>
              </w:rPr>
              <w:t>Essay</w:t>
            </w:r>
          </w:p>
        </w:tc>
        <w:tc>
          <w:tcPr>
            <w:tcW w:w="567" w:type="dxa"/>
          </w:tcPr>
          <w:p w14:paraId="4E2B3B6D"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B939F6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9575E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7D8037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509C64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30911D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DFD98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4D71A8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B22C77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04C548B"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19FB2B28" w:rsidR="002A7F48" w:rsidRPr="00DA658D" w:rsidRDefault="00DA658D" w:rsidP="00DA658D">
      <w:pPr>
        <w:pStyle w:val="ListParagraph"/>
        <w:numPr>
          <w:ilvl w:val="0"/>
          <w:numId w:val="1"/>
        </w:numPr>
        <w:autoSpaceDE w:val="0"/>
        <w:autoSpaceDN w:val="0"/>
        <w:adjustRightInd w:val="0"/>
        <w:spacing w:after="120" w:line="240" w:lineRule="auto"/>
        <w:ind w:right="260"/>
        <w:jc w:val="both"/>
        <w:rPr>
          <w:rFonts w:ascii="Arial" w:hAnsi="Arial" w:cs="Arial"/>
        </w:rPr>
      </w:pPr>
      <w:r w:rsidRPr="00DA658D">
        <w:rPr>
          <w:rFonts w:ascii="Arial" w:hAnsi="Arial" w:cs="Arial"/>
        </w:rPr>
        <w:t>The subject content of this module is international because it focuses on ancient Rome but it also covers a broad chronological and geographical span. Students are asked to think critically about the myth of Rome in ancient, medieval, early modern and contemporary times and in various parts of the world. The seminars offer many opportunities for peer-evaluation among mixed-nationality students. More broadly, the teaching activities are designed to show how particular cultural interpretations or applications of knowledge may differ from region to region. The reading list has references to up to date international research. Teachers and academic advisers with international experience are provided to support both home and international students in relation to the varying challenges of students from diverse backgrounds.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DDE83E7" w:rsidR="008B2543" w:rsidRDefault="0019787E" w:rsidP="009A2D37">
        <w:pPr>
          <w:pStyle w:val="Footer"/>
          <w:jc w:val="center"/>
        </w:pPr>
        <w:r>
          <w:fldChar w:fldCharType="begin"/>
        </w:r>
        <w:r>
          <w:instrText xml:space="preserve"> PAGE   \* MERGEFORMAT </w:instrText>
        </w:r>
        <w:r>
          <w:fldChar w:fldCharType="separate"/>
        </w:r>
        <w:r w:rsidR="00BB7F1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649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B7F1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A658D"/>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1B95"/>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F09841"/>
    <w:rsid w:val="349AA348"/>
    <w:rsid w:val="3FE8241E"/>
    <w:rsid w:val="4F79FD64"/>
    <w:rsid w:val="6963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3F31-83EB-4830-886A-F179A2DB6E79}">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68FEB6-074F-4177-AA15-B447361D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ED4B2-9659-41EB-A4B5-D0398386E137}"/>
</file>

<file path=customXml/itemProps4.xml><?xml version="1.0" encoding="utf-8"?>
<ds:datastoreItem xmlns:ds="http://schemas.openxmlformats.org/officeDocument/2006/customXml" ds:itemID="{175DA8AC-9461-43AE-8463-EC64E922B9AD}">
  <ds:schemaRefs>
    <ds:schemaRef ds:uri="http://schemas.microsoft.com/sharepoint/v3/contenttype/forms"/>
  </ds:schemaRefs>
</ds:datastoreItem>
</file>

<file path=customXml/itemProps5.xml><?xml version="1.0" encoding="utf-8"?>
<ds:datastoreItem xmlns:ds="http://schemas.openxmlformats.org/officeDocument/2006/customXml" ds:itemID="{D01C8779-637F-4800-B55C-50276085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2018-02-26T09:41:00Z</dcterms:created>
  <dcterms:modified xsi:type="dcterms:W3CDTF">2018-03-16T12:05:00Z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db78e919-0dcf-4fb4-a56f-fbff5200a134</vt:lpwstr>
  </property>
</Properties>
</file>