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25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042505" w14:textId="77777777" w:rsidR="009A2D37" w:rsidRPr="00302082" w:rsidRDefault="00A30A66" w:rsidP="00745702">
      <w:pPr>
        <w:spacing w:after="120" w:line="240" w:lineRule="auto"/>
        <w:ind w:left="567" w:right="260"/>
        <w:jc w:val="both"/>
        <w:rPr>
          <w:rFonts w:ascii="Arial" w:hAnsi="Arial" w:cs="Arial"/>
        </w:rPr>
      </w:pPr>
      <w:r>
        <w:rPr>
          <w:rFonts w:ascii="Arial" w:hAnsi="Arial" w:cs="Arial"/>
        </w:rPr>
        <w:t xml:space="preserve">CLAS8310 (CL831) – </w:t>
      </w:r>
      <w:r w:rsidRPr="00A30A66">
        <w:rPr>
          <w:rFonts w:ascii="Arial" w:hAnsi="Arial" w:cs="Arial"/>
        </w:rPr>
        <w:t>Heritage and Human Rights</w:t>
      </w:r>
    </w:p>
    <w:p w14:paraId="0F0425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04250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F04250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04250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30A66">
        <w:rPr>
          <w:rFonts w:ascii="Arial" w:hAnsi="Arial" w:cs="Arial"/>
          <w:iCs/>
        </w:rPr>
        <w:t>7</w:t>
      </w:r>
    </w:p>
    <w:p w14:paraId="0F0425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04250B" w14:textId="77777777" w:rsidR="009A2D37" w:rsidRPr="0036174D" w:rsidRDefault="00A30A66" w:rsidP="00745702">
      <w:pPr>
        <w:spacing w:after="120" w:line="240" w:lineRule="auto"/>
        <w:ind w:left="567" w:right="260"/>
        <w:rPr>
          <w:rFonts w:ascii="Arial" w:hAnsi="Arial" w:cs="Arial"/>
        </w:rPr>
      </w:pPr>
      <w:r w:rsidRPr="00A30A66">
        <w:rPr>
          <w:rFonts w:ascii="Arial" w:hAnsi="Arial" w:cs="Arial"/>
        </w:rPr>
        <w:t>30 Credits (15 ECTS)</w:t>
      </w:r>
    </w:p>
    <w:p w14:paraId="0F04250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04250D" w14:textId="77777777" w:rsidR="009A2D37" w:rsidRPr="0036174D" w:rsidRDefault="00A30A66" w:rsidP="00745702">
      <w:pPr>
        <w:spacing w:after="120" w:line="240" w:lineRule="auto"/>
        <w:ind w:left="567" w:right="260"/>
        <w:rPr>
          <w:rFonts w:ascii="Arial" w:hAnsi="Arial" w:cs="Arial"/>
          <w:iCs/>
        </w:rPr>
      </w:pPr>
      <w:r w:rsidRPr="00A30A66">
        <w:rPr>
          <w:rFonts w:ascii="Arial" w:hAnsi="Arial" w:cs="Arial"/>
          <w:iCs/>
        </w:rPr>
        <w:t>Autumn</w:t>
      </w:r>
    </w:p>
    <w:p w14:paraId="0F0425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04250F" w14:textId="77777777" w:rsidR="009A2D37" w:rsidRPr="0036174D" w:rsidRDefault="00A30A66" w:rsidP="00745702">
      <w:pPr>
        <w:spacing w:after="120" w:line="240" w:lineRule="auto"/>
        <w:ind w:left="567" w:right="260"/>
        <w:rPr>
          <w:rFonts w:ascii="Arial" w:hAnsi="Arial" w:cs="Arial"/>
          <w:iCs/>
        </w:rPr>
      </w:pPr>
      <w:r w:rsidRPr="00A30A66">
        <w:rPr>
          <w:rFonts w:ascii="Arial" w:hAnsi="Arial" w:cs="Arial"/>
          <w:iCs/>
        </w:rPr>
        <w:t>None</w:t>
      </w:r>
    </w:p>
    <w:p w14:paraId="0F04251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042511" w14:textId="77777777" w:rsidR="004412BE" w:rsidRPr="0036174D" w:rsidRDefault="00A30A66" w:rsidP="00A30A66">
      <w:pPr>
        <w:spacing w:after="120" w:line="240" w:lineRule="auto"/>
        <w:ind w:left="567" w:right="260"/>
        <w:jc w:val="both"/>
        <w:rPr>
          <w:rFonts w:ascii="Arial" w:hAnsi="Arial" w:cs="Arial"/>
          <w:iCs/>
        </w:rPr>
      </w:pPr>
      <w:r w:rsidRPr="00A30A66">
        <w:rPr>
          <w:rFonts w:ascii="Arial" w:hAnsi="Arial" w:cs="Arial"/>
          <w:iCs/>
        </w:rPr>
        <w:t>Optional for MA International Heritage and Law; LLM Law and International Heritage; MA Archaeology; MA Ancient History; MA Ancient History; M</w:t>
      </w:r>
      <w:r>
        <w:rPr>
          <w:rFonts w:ascii="Arial" w:hAnsi="Arial" w:cs="Arial"/>
          <w:iCs/>
        </w:rPr>
        <w:t>A Roman History and Archaeology</w:t>
      </w:r>
    </w:p>
    <w:p w14:paraId="0F04251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042513" w14:textId="77777777" w:rsidR="00A30A66" w:rsidRPr="00A30A66" w:rsidRDefault="00A30A66" w:rsidP="00A30A66">
      <w:pPr>
        <w:spacing w:after="120" w:line="240" w:lineRule="auto"/>
        <w:ind w:left="1418" w:right="260" w:hanging="567"/>
        <w:jc w:val="both"/>
        <w:rPr>
          <w:rFonts w:ascii="Arial" w:hAnsi="Arial" w:cs="Arial"/>
        </w:rPr>
      </w:pPr>
      <w:r w:rsidRPr="00A30A66">
        <w:rPr>
          <w:rFonts w:ascii="Arial" w:hAnsi="Arial" w:cs="Arial"/>
        </w:rPr>
        <w:t>8.1</w:t>
      </w:r>
      <w:r w:rsidRPr="00A30A66">
        <w:rPr>
          <w:rFonts w:ascii="Arial" w:hAnsi="Arial" w:cs="Arial"/>
        </w:rPr>
        <w:tab/>
        <w:t>Demonstrate a systematic understanding and detailed knowledge of key aspects of the complex relationships between heritage and human rights, and a critical awareness of current problems and/or new insights in these academic fields;</w:t>
      </w:r>
    </w:p>
    <w:p w14:paraId="0F042514" w14:textId="77777777" w:rsidR="00A30A66" w:rsidRPr="00A30A66" w:rsidRDefault="00A30A66" w:rsidP="00A30A66">
      <w:pPr>
        <w:spacing w:after="120" w:line="240" w:lineRule="auto"/>
        <w:ind w:left="1418" w:right="260" w:hanging="567"/>
        <w:jc w:val="both"/>
        <w:rPr>
          <w:rFonts w:ascii="Arial" w:hAnsi="Arial" w:cs="Arial"/>
        </w:rPr>
      </w:pPr>
      <w:r w:rsidRPr="00A30A66">
        <w:rPr>
          <w:rFonts w:ascii="Arial" w:hAnsi="Arial" w:cs="Arial"/>
        </w:rPr>
        <w:t>8.2</w:t>
      </w:r>
      <w:r w:rsidRPr="00A30A66">
        <w:rPr>
          <w:rFonts w:ascii="Arial" w:hAnsi="Arial" w:cs="Arial"/>
        </w:rPr>
        <w:tab/>
        <w:t>Show a comprehensive understanding of techniques of analysis and enquiry applicable to their own research or advanced scholarship in the disciplines of Heritage Studies and Human Rights;</w:t>
      </w:r>
    </w:p>
    <w:p w14:paraId="0F042515" w14:textId="77777777" w:rsidR="00A30A66" w:rsidRPr="00A30A66" w:rsidRDefault="00A30A66" w:rsidP="00A30A66">
      <w:pPr>
        <w:spacing w:after="120" w:line="240" w:lineRule="auto"/>
        <w:ind w:left="1418" w:right="260" w:hanging="567"/>
        <w:jc w:val="both"/>
        <w:rPr>
          <w:rFonts w:ascii="Arial" w:hAnsi="Arial" w:cs="Arial"/>
        </w:rPr>
      </w:pPr>
      <w:r w:rsidRPr="00A30A66">
        <w:rPr>
          <w:rFonts w:ascii="Arial" w:hAnsi="Arial" w:cs="Arial"/>
        </w:rPr>
        <w:t>8.3</w:t>
      </w:r>
      <w:r w:rsidRPr="00A30A66">
        <w:rPr>
          <w:rFonts w:ascii="Arial" w:hAnsi="Arial" w:cs="Arial"/>
        </w:rPr>
        <w:tab/>
        <w:t>Demonstrate originality in the application of knowledge, together with a practical understanding of how established techniques of research and enquiry are used to create and interpret knowledge in the field of Heritage Studies and Human Rights;</w:t>
      </w:r>
    </w:p>
    <w:p w14:paraId="0F042516" w14:textId="77777777" w:rsidR="00A30A66" w:rsidRPr="00A30A66" w:rsidRDefault="00A30A66" w:rsidP="00A30A66">
      <w:pPr>
        <w:spacing w:after="120" w:line="240" w:lineRule="auto"/>
        <w:ind w:left="1418" w:right="260" w:hanging="567"/>
        <w:jc w:val="both"/>
        <w:rPr>
          <w:rFonts w:ascii="Arial" w:hAnsi="Arial" w:cs="Arial"/>
        </w:rPr>
      </w:pPr>
      <w:r w:rsidRPr="00A30A66">
        <w:rPr>
          <w:rFonts w:ascii="Arial" w:hAnsi="Arial" w:cs="Arial"/>
        </w:rPr>
        <w:t>8.4</w:t>
      </w:r>
      <w:r w:rsidRPr="00A30A66">
        <w:rPr>
          <w:rFonts w:ascii="Arial" w:hAnsi="Arial" w:cs="Arial"/>
        </w:rPr>
        <w:tab/>
        <w:t>Show conceptual understanding that enables them to (a) evaluate and critique current research, advanced scholarship and methodologies, and (b), where appropriate, to propose new hypotheses.</w:t>
      </w:r>
    </w:p>
    <w:p w14:paraId="0F042517" w14:textId="77777777" w:rsidR="00C25C76" w:rsidRPr="00C25C76" w:rsidRDefault="00A30A66" w:rsidP="00A30A66">
      <w:pPr>
        <w:spacing w:after="120" w:line="240" w:lineRule="auto"/>
        <w:ind w:left="1418" w:right="260" w:hanging="567"/>
        <w:jc w:val="both"/>
        <w:rPr>
          <w:rFonts w:ascii="Arial" w:hAnsi="Arial" w:cs="Arial"/>
        </w:rPr>
      </w:pPr>
      <w:r w:rsidRPr="00A30A66">
        <w:rPr>
          <w:rFonts w:ascii="Arial" w:hAnsi="Arial" w:cs="Arial"/>
        </w:rPr>
        <w:t>8.5.</w:t>
      </w:r>
      <w:r w:rsidRPr="00A30A66">
        <w:rPr>
          <w:rFonts w:ascii="Arial" w:hAnsi="Arial" w:cs="Arial"/>
        </w:rPr>
        <w:tab/>
        <w:t>Demonstrate self-direction and originality in tackling and solving problems, and act autonomously in planning and implementing tasks at a professional or equivalent level.</w:t>
      </w:r>
    </w:p>
    <w:p w14:paraId="0F04251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042519" w14:textId="77777777" w:rsidR="00A30A66" w:rsidRPr="00A30A66" w:rsidRDefault="00A30A66" w:rsidP="00A30A66">
      <w:pPr>
        <w:spacing w:after="120" w:line="240" w:lineRule="auto"/>
        <w:ind w:left="1418" w:right="260" w:hanging="567"/>
        <w:jc w:val="both"/>
        <w:rPr>
          <w:rFonts w:ascii="Arial" w:hAnsi="Arial" w:cs="Arial"/>
        </w:rPr>
      </w:pPr>
      <w:r w:rsidRPr="00A30A66">
        <w:rPr>
          <w:rFonts w:ascii="Arial" w:hAnsi="Arial" w:cs="Arial"/>
        </w:rPr>
        <w:t>9.1</w:t>
      </w:r>
      <w:r w:rsidRPr="00A30A66">
        <w:rPr>
          <w:rFonts w:ascii="Arial" w:hAnsi="Arial" w:cs="Arial"/>
        </w:rPr>
        <w:tab/>
        <w:t>Demonstrate the exercise of initiative and personal responsibility;</w:t>
      </w:r>
    </w:p>
    <w:p w14:paraId="0F04251A" w14:textId="77777777" w:rsidR="00A30A66" w:rsidRPr="00A30A66" w:rsidRDefault="00A30A66" w:rsidP="00A30A66">
      <w:pPr>
        <w:spacing w:after="120" w:line="240" w:lineRule="auto"/>
        <w:ind w:left="1418" w:right="260" w:hanging="567"/>
        <w:jc w:val="both"/>
        <w:rPr>
          <w:rFonts w:ascii="Arial" w:hAnsi="Arial" w:cs="Arial"/>
        </w:rPr>
      </w:pPr>
      <w:r w:rsidRPr="00A30A66">
        <w:rPr>
          <w:rFonts w:ascii="Arial" w:hAnsi="Arial" w:cs="Arial"/>
        </w:rPr>
        <w:t>9.2</w:t>
      </w:r>
      <w:r w:rsidRPr="00A30A66">
        <w:rPr>
          <w:rFonts w:ascii="Arial" w:hAnsi="Arial" w:cs="Arial"/>
        </w:rPr>
        <w:tab/>
        <w:t>Demonstrate decision-making skills, particularly in complex situations;</w:t>
      </w:r>
    </w:p>
    <w:p w14:paraId="0F04251B" w14:textId="77777777" w:rsidR="00C25C76" w:rsidRPr="0036174D" w:rsidRDefault="00A30A66" w:rsidP="00A30A66">
      <w:pPr>
        <w:spacing w:after="120" w:line="240" w:lineRule="auto"/>
        <w:ind w:left="1418" w:right="260" w:hanging="567"/>
        <w:jc w:val="both"/>
        <w:rPr>
          <w:rFonts w:ascii="Arial" w:hAnsi="Arial" w:cs="Arial"/>
        </w:rPr>
      </w:pPr>
      <w:r w:rsidRPr="00A30A66">
        <w:rPr>
          <w:rFonts w:ascii="Arial" w:hAnsi="Arial" w:cs="Arial"/>
        </w:rPr>
        <w:t>9.3</w:t>
      </w:r>
      <w:r w:rsidRPr="00A30A66">
        <w:rPr>
          <w:rFonts w:ascii="Arial" w:hAnsi="Arial" w:cs="Arial"/>
        </w:rPr>
        <w:tab/>
        <w:t>Demonstrate the independent learning ability required for continuing professional development.</w:t>
      </w:r>
    </w:p>
    <w:p w14:paraId="0F04251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04251D" w14:textId="77777777" w:rsidR="00A30A66" w:rsidRPr="00A30A66" w:rsidRDefault="00A30A66" w:rsidP="00A30A66">
      <w:pPr>
        <w:spacing w:after="120" w:line="240" w:lineRule="auto"/>
        <w:ind w:left="567" w:right="260"/>
        <w:jc w:val="both"/>
        <w:rPr>
          <w:rFonts w:ascii="Arial" w:hAnsi="Arial" w:cs="Arial"/>
          <w:iCs/>
        </w:rPr>
      </w:pPr>
      <w:r w:rsidRPr="00A30A66">
        <w:rPr>
          <w:rFonts w:ascii="Arial" w:hAnsi="Arial" w:cs="Arial"/>
          <w:iCs/>
        </w:rPr>
        <w:t xml:space="preserve">This module will allow students to explore the different aspects of the increasingly important relationships between heritage (understood in its broadest sense) and human rights. Each week, the lecture will focus on one aspect of this complex relationship, using existing references as well as the extensive work undertaken by the course convenor on this topic. This will include analyses of the concept of human rights itself, and of human rights based approaches to heritage conservation and management; issues of repatriation and indigenous heritage, rights and heritage in conflict and post-conflict zones as well as museums and the socio-economic rights of minorities. </w:t>
      </w:r>
    </w:p>
    <w:p w14:paraId="0F04251E" w14:textId="77777777" w:rsidR="009A2D37" w:rsidRPr="0036174D" w:rsidRDefault="00A30A66" w:rsidP="00A30A66">
      <w:pPr>
        <w:spacing w:after="120" w:line="240" w:lineRule="auto"/>
        <w:ind w:left="567" w:right="260"/>
        <w:jc w:val="both"/>
        <w:rPr>
          <w:rFonts w:ascii="Arial" w:hAnsi="Arial" w:cs="Arial"/>
          <w:iCs/>
        </w:rPr>
      </w:pPr>
      <w:r w:rsidRPr="00A30A66">
        <w:rPr>
          <w:rFonts w:ascii="Arial" w:hAnsi="Arial" w:cs="Arial"/>
          <w:iCs/>
        </w:rPr>
        <w:lastRenderedPageBreak/>
        <w:t>This module will also provide some introduction to an ethical approach to fieldwork or heritage management through introducing students to anthropological or ethnological methods, including participatory approaches to heritage conservation and management; methods for conducting social impact assessment or rapid ethnographic assessment. The student-focused seminars will include presentations by students of key readings, as well as critical analyses and discussions of references related to each lecture. During the seminar, students will also discuss the preparation of the event which they will be assessed on (e.g. exhibition, reading, presentations, panel discussions, symposium, etc.), and any issue with this task will be collectively solved.</w:t>
      </w:r>
    </w:p>
    <w:p w14:paraId="0F04251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042520" w14:textId="77777777" w:rsidR="00A30A66" w:rsidRPr="00A30A66" w:rsidRDefault="00A30A66" w:rsidP="00A30A66">
      <w:pPr>
        <w:spacing w:after="120" w:line="240" w:lineRule="auto"/>
        <w:ind w:left="567" w:right="260"/>
        <w:jc w:val="both"/>
        <w:rPr>
          <w:rFonts w:ascii="Arial" w:hAnsi="Arial" w:cs="Arial"/>
        </w:rPr>
      </w:pPr>
      <w:r w:rsidRPr="00A30A66">
        <w:rPr>
          <w:rFonts w:ascii="Arial" w:hAnsi="Arial" w:cs="Arial"/>
        </w:rPr>
        <w:t xml:space="preserve">Busby, K. et al (eds). </w:t>
      </w:r>
      <w:r>
        <w:rPr>
          <w:rFonts w:ascii="Arial" w:hAnsi="Arial" w:cs="Arial"/>
        </w:rPr>
        <w:t>(</w:t>
      </w:r>
      <w:r w:rsidRPr="00A30A66">
        <w:rPr>
          <w:rFonts w:ascii="Arial" w:hAnsi="Arial" w:cs="Arial"/>
        </w:rPr>
        <w:t>2015</w:t>
      </w:r>
      <w:r>
        <w:rPr>
          <w:rFonts w:ascii="Arial" w:hAnsi="Arial" w:cs="Arial"/>
        </w:rPr>
        <w:t>)</w:t>
      </w:r>
      <w:r w:rsidRPr="00A30A66">
        <w:rPr>
          <w:rFonts w:ascii="Arial" w:hAnsi="Arial" w:cs="Arial"/>
        </w:rPr>
        <w:t xml:space="preserve">. </w:t>
      </w:r>
      <w:r w:rsidRPr="00A30A66">
        <w:rPr>
          <w:rFonts w:ascii="Arial" w:hAnsi="Arial" w:cs="Arial"/>
          <w:i/>
        </w:rPr>
        <w:t>The Idea of a Human Rights Museum</w:t>
      </w:r>
      <w:r w:rsidRPr="00A30A66">
        <w:rPr>
          <w:rFonts w:ascii="Arial" w:hAnsi="Arial" w:cs="Arial"/>
        </w:rPr>
        <w:t>. Winnipeg: Univers</w:t>
      </w:r>
      <w:r>
        <w:rPr>
          <w:rFonts w:ascii="Arial" w:hAnsi="Arial" w:cs="Arial"/>
        </w:rPr>
        <w:t>ity of Manitoba Press</w:t>
      </w:r>
    </w:p>
    <w:p w14:paraId="0F042521" w14:textId="77777777" w:rsidR="00A30A66" w:rsidRPr="00A30A66" w:rsidRDefault="00A30A66" w:rsidP="00A30A66">
      <w:pPr>
        <w:spacing w:after="120" w:line="240" w:lineRule="auto"/>
        <w:ind w:left="567" w:right="260"/>
        <w:jc w:val="both"/>
        <w:rPr>
          <w:rFonts w:ascii="Arial" w:hAnsi="Arial" w:cs="Arial"/>
        </w:rPr>
      </w:pPr>
      <w:r w:rsidRPr="00A30A66">
        <w:rPr>
          <w:rFonts w:ascii="Arial" w:hAnsi="Arial" w:cs="Arial"/>
        </w:rPr>
        <w:t xml:space="preserve">Ekern, S. et al (eds). </w:t>
      </w:r>
      <w:r>
        <w:rPr>
          <w:rFonts w:ascii="Arial" w:hAnsi="Arial" w:cs="Arial"/>
        </w:rPr>
        <w:t>(</w:t>
      </w:r>
      <w:r w:rsidRPr="00A30A66">
        <w:rPr>
          <w:rFonts w:ascii="Arial" w:hAnsi="Arial" w:cs="Arial"/>
        </w:rPr>
        <w:t>2015</w:t>
      </w:r>
      <w:r>
        <w:rPr>
          <w:rFonts w:ascii="Arial" w:hAnsi="Arial" w:cs="Arial"/>
        </w:rPr>
        <w:t>)</w:t>
      </w:r>
      <w:r w:rsidRPr="00A30A66">
        <w:rPr>
          <w:rFonts w:ascii="Arial" w:hAnsi="Arial" w:cs="Arial"/>
        </w:rPr>
        <w:t xml:space="preserve">. </w:t>
      </w:r>
      <w:r w:rsidRPr="00A30A66">
        <w:rPr>
          <w:rFonts w:ascii="Arial" w:hAnsi="Arial" w:cs="Arial"/>
          <w:i/>
        </w:rPr>
        <w:t>World Heritage Management and Human Rights</w:t>
      </w:r>
      <w:r>
        <w:rPr>
          <w:rFonts w:ascii="Arial" w:hAnsi="Arial" w:cs="Arial"/>
        </w:rPr>
        <w:t>. London: Routledge</w:t>
      </w:r>
    </w:p>
    <w:p w14:paraId="0F042522" w14:textId="77777777" w:rsidR="00A30A66" w:rsidRPr="00A30A66" w:rsidRDefault="00A30A66" w:rsidP="00A30A66">
      <w:pPr>
        <w:spacing w:after="120" w:line="240" w:lineRule="auto"/>
        <w:ind w:left="567" w:right="260"/>
        <w:jc w:val="both"/>
        <w:rPr>
          <w:rFonts w:ascii="Arial" w:hAnsi="Arial" w:cs="Arial"/>
        </w:rPr>
      </w:pPr>
      <w:r w:rsidRPr="00A30A66">
        <w:rPr>
          <w:rFonts w:ascii="Arial" w:hAnsi="Arial" w:cs="Arial"/>
        </w:rPr>
        <w:t xml:space="preserve">Langfield, M. (ed) </w:t>
      </w:r>
      <w:r>
        <w:rPr>
          <w:rFonts w:ascii="Arial" w:hAnsi="Arial" w:cs="Arial"/>
        </w:rPr>
        <w:t>(</w:t>
      </w:r>
      <w:r w:rsidRPr="00A30A66">
        <w:rPr>
          <w:rFonts w:ascii="Arial" w:hAnsi="Arial" w:cs="Arial"/>
        </w:rPr>
        <w:t>2009</w:t>
      </w:r>
      <w:r>
        <w:rPr>
          <w:rFonts w:ascii="Arial" w:hAnsi="Arial" w:cs="Arial"/>
        </w:rPr>
        <w:t>)</w:t>
      </w:r>
      <w:r w:rsidRPr="00A30A66">
        <w:rPr>
          <w:rFonts w:ascii="Arial" w:hAnsi="Arial" w:cs="Arial"/>
        </w:rPr>
        <w:t xml:space="preserve">. </w:t>
      </w:r>
      <w:r w:rsidRPr="00A30A66">
        <w:rPr>
          <w:rFonts w:ascii="Arial" w:hAnsi="Arial" w:cs="Arial"/>
          <w:i/>
        </w:rPr>
        <w:t>Cultural Diversity, Heritage and Human Rights: Intersections in Theory and Practice</w:t>
      </w:r>
      <w:r w:rsidRPr="00A30A66">
        <w:rPr>
          <w:rFonts w:ascii="Arial" w:hAnsi="Arial" w:cs="Arial"/>
        </w:rPr>
        <w:t>. London:</w:t>
      </w:r>
      <w:r>
        <w:rPr>
          <w:rFonts w:ascii="Arial" w:hAnsi="Arial" w:cs="Arial"/>
        </w:rPr>
        <w:t xml:space="preserve"> Routledge</w:t>
      </w:r>
    </w:p>
    <w:p w14:paraId="0F042523" w14:textId="77777777" w:rsidR="00A30A66" w:rsidRPr="00A30A66" w:rsidRDefault="00A30A66" w:rsidP="00A30A66">
      <w:pPr>
        <w:spacing w:after="120" w:line="240" w:lineRule="auto"/>
        <w:ind w:left="567" w:right="260"/>
        <w:jc w:val="both"/>
        <w:rPr>
          <w:rFonts w:ascii="Arial" w:hAnsi="Arial" w:cs="Arial"/>
        </w:rPr>
      </w:pPr>
      <w:r w:rsidRPr="00A30A66">
        <w:rPr>
          <w:rFonts w:ascii="Arial" w:hAnsi="Arial" w:cs="Arial"/>
        </w:rPr>
        <w:t xml:space="preserve">Meskell, L. </w:t>
      </w:r>
      <w:r>
        <w:rPr>
          <w:rFonts w:ascii="Arial" w:hAnsi="Arial" w:cs="Arial"/>
        </w:rPr>
        <w:t>(</w:t>
      </w:r>
      <w:r w:rsidRPr="00A30A66">
        <w:rPr>
          <w:rFonts w:ascii="Arial" w:hAnsi="Arial" w:cs="Arial"/>
        </w:rPr>
        <w:t>2009</w:t>
      </w:r>
      <w:r>
        <w:rPr>
          <w:rFonts w:ascii="Arial" w:hAnsi="Arial" w:cs="Arial"/>
        </w:rPr>
        <w:t>)</w:t>
      </w:r>
      <w:r w:rsidRPr="00A30A66">
        <w:rPr>
          <w:rFonts w:ascii="Arial" w:hAnsi="Arial" w:cs="Arial"/>
        </w:rPr>
        <w:t xml:space="preserve">. </w:t>
      </w:r>
      <w:r w:rsidRPr="00A30A66">
        <w:rPr>
          <w:rFonts w:ascii="Arial" w:hAnsi="Arial" w:cs="Arial"/>
          <w:i/>
        </w:rPr>
        <w:t>Talking of Human Rights: Histories, Heritage and Human Remains. Reviews in Anthropology</w:t>
      </w:r>
      <w:r>
        <w:rPr>
          <w:rFonts w:ascii="Arial" w:hAnsi="Arial" w:cs="Arial"/>
        </w:rPr>
        <w:t>. Volume 38, Issue 4</w:t>
      </w:r>
    </w:p>
    <w:p w14:paraId="0F042524" w14:textId="77777777" w:rsidR="004412BE" w:rsidRPr="004412BE" w:rsidRDefault="00A30A66" w:rsidP="00A30A66">
      <w:pPr>
        <w:spacing w:after="120" w:line="240" w:lineRule="auto"/>
        <w:ind w:left="567" w:right="260"/>
        <w:jc w:val="both"/>
        <w:rPr>
          <w:rFonts w:ascii="Arial" w:hAnsi="Arial" w:cs="Arial"/>
        </w:rPr>
      </w:pPr>
      <w:r w:rsidRPr="00A30A66">
        <w:rPr>
          <w:rFonts w:ascii="Arial" w:hAnsi="Arial" w:cs="Arial"/>
        </w:rPr>
        <w:t xml:space="preserve">Ruggles, F. and Silverman, H (eds). </w:t>
      </w:r>
      <w:r>
        <w:rPr>
          <w:rFonts w:ascii="Arial" w:hAnsi="Arial" w:cs="Arial"/>
        </w:rPr>
        <w:t>(</w:t>
      </w:r>
      <w:r w:rsidRPr="00A30A66">
        <w:rPr>
          <w:rFonts w:ascii="Arial" w:hAnsi="Arial" w:cs="Arial"/>
        </w:rPr>
        <w:t>2009</w:t>
      </w:r>
      <w:r>
        <w:rPr>
          <w:rFonts w:ascii="Arial" w:hAnsi="Arial" w:cs="Arial"/>
        </w:rPr>
        <w:t>)</w:t>
      </w:r>
      <w:r w:rsidRPr="00A30A66">
        <w:rPr>
          <w:rFonts w:ascii="Arial" w:hAnsi="Arial" w:cs="Arial"/>
        </w:rPr>
        <w:t xml:space="preserve">. </w:t>
      </w:r>
      <w:r w:rsidRPr="00A30A66">
        <w:rPr>
          <w:rFonts w:ascii="Arial" w:hAnsi="Arial" w:cs="Arial"/>
          <w:i/>
        </w:rPr>
        <w:t>Cultural Heritage and Human Rights</w:t>
      </w:r>
      <w:r w:rsidRPr="00A30A66">
        <w:rPr>
          <w:rFonts w:ascii="Arial" w:hAnsi="Arial" w:cs="Arial"/>
        </w:rPr>
        <w:t>. New York: Springe</w:t>
      </w:r>
      <w:r>
        <w:rPr>
          <w:rFonts w:ascii="Arial" w:hAnsi="Arial" w:cs="Arial"/>
        </w:rPr>
        <w:t>r</w:t>
      </w:r>
    </w:p>
    <w:p w14:paraId="0F04252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042526" w14:textId="7777777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C62DF0">
        <w:rPr>
          <w:rFonts w:ascii="Arial" w:hAnsi="Arial" w:cs="Arial"/>
          <w:iCs/>
        </w:rPr>
        <w:t>20</w:t>
      </w:r>
    </w:p>
    <w:p w14:paraId="0F042527" w14:textId="7777777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C62DF0">
        <w:rPr>
          <w:rFonts w:ascii="Arial" w:hAnsi="Arial" w:cs="Arial"/>
          <w:iCs/>
        </w:rPr>
        <w:t>280</w:t>
      </w:r>
    </w:p>
    <w:p w14:paraId="0F042528" w14:textId="7777777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C62DF0">
        <w:rPr>
          <w:rFonts w:ascii="Arial" w:hAnsi="Arial" w:cs="Arial"/>
          <w:iCs/>
        </w:rPr>
        <w:t>300</w:t>
      </w:r>
    </w:p>
    <w:p w14:paraId="0F04252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F04252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F04252B" w14:textId="48D4245F" w:rsidR="00B81E6B" w:rsidRDefault="00C62DF0"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777923">
        <w:rPr>
          <w:rFonts w:ascii="Arial" w:hAnsi="Arial" w:cs="Arial"/>
          <w:iCs/>
        </w:rPr>
        <w:t xml:space="preserve">(20 </w:t>
      </w:r>
      <w:r>
        <w:rPr>
          <w:rFonts w:ascii="Arial" w:hAnsi="Arial" w:cs="Arial"/>
          <w:iCs/>
        </w:rPr>
        <w:t>minutes) – 20%</w:t>
      </w:r>
    </w:p>
    <w:p w14:paraId="0F04252C" w14:textId="0D70CB6F" w:rsidR="00C62DF0" w:rsidRDefault="00C62DF0"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777923">
        <w:rPr>
          <w:rFonts w:ascii="Arial" w:hAnsi="Arial" w:cs="Arial"/>
          <w:iCs/>
        </w:rPr>
        <w:t>(5</w:t>
      </w:r>
      <w:r w:rsidR="004104A4">
        <w:rPr>
          <w:rFonts w:ascii="Arial" w:hAnsi="Arial" w:cs="Arial"/>
          <w:iCs/>
        </w:rPr>
        <w:t>,</w:t>
      </w:r>
      <w:r w:rsidR="00777923">
        <w:rPr>
          <w:rFonts w:ascii="Arial" w:hAnsi="Arial" w:cs="Arial"/>
          <w:iCs/>
        </w:rPr>
        <w:t xml:space="preserve">000 </w:t>
      </w:r>
      <w:r>
        <w:rPr>
          <w:rFonts w:ascii="Arial" w:hAnsi="Arial" w:cs="Arial"/>
          <w:iCs/>
        </w:rPr>
        <w:t>words) – 50%</w:t>
      </w:r>
    </w:p>
    <w:p w14:paraId="0F04252D" w14:textId="546273E3" w:rsidR="00C62DF0" w:rsidRDefault="00C62DF0" w:rsidP="00B81E6B">
      <w:pPr>
        <w:pStyle w:val="ListParagraph"/>
        <w:numPr>
          <w:ilvl w:val="0"/>
          <w:numId w:val="10"/>
        </w:numPr>
        <w:spacing w:after="120"/>
        <w:ind w:right="260"/>
        <w:contextualSpacing w:val="0"/>
        <w:rPr>
          <w:rFonts w:ascii="Arial" w:hAnsi="Arial" w:cs="Arial"/>
          <w:iCs/>
        </w:rPr>
      </w:pPr>
      <w:bookmarkStart w:id="0" w:name="_GoBack"/>
      <w:r>
        <w:rPr>
          <w:rFonts w:ascii="Arial" w:hAnsi="Arial" w:cs="Arial"/>
          <w:iCs/>
        </w:rPr>
        <w:t xml:space="preserve">Event Report </w:t>
      </w:r>
      <w:r w:rsidR="00777923">
        <w:rPr>
          <w:rFonts w:ascii="Arial" w:hAnsi="Arial" w:cs="Arial"/>
          <w:iCs/>
        </w:rPr>
        <w:t>(2</w:t>
      </w:r>
      <w:r w:rsidR="004104A4">
        <w:rPr>
          <w:rFonts w:ascii="Arial" w:hAnsi="Arial" w:cs="Arial"/>
          <w:iCs/>
        </w:rPr>
        <w:t>,</w:t>
      </w:r>
      <w:r w:rsidR="00777923">
        <w:rPr>
          <w:rFonts w:ascii="Arial" w:hAnsi="Arial" w:cs="Arial"/>
          <w:iCs/>
        </w:rPr>
        <w:t xml:space="preserve">000 </w:t>
      </w:r>
      <w:r>
        <w:rPr>
          <w:rFonts w:ascii="Arial" w:hAnsi="Arial" w:cs="Arial"/>
          <w:iCs/>
        </w:rPr>
        <w:t>words)</w:t>
      </w:r>
      <w:bookmarkEnd w:id="0"/>
      <w:r>
        <w:rPr>
          <w:rFonts w:ascii="Arial" w:hAnsi="Arial" w:cs="Arial"/>
          <w:iCs/>
        </w:rPr>
        <w:t xml:space="preserve"> – 30%</w:t>
      </w:r>
    </w:p>
    <w:p w14:paraId="0F04252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F04252F" w14:textId="7777777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C62DF0">
        <w:rPr>
          <w:rFonts w:ascii="Arial" w:hAnsi="Arial" w:cs="Arial"/>
          <w:iCs/>
        </w:rPr>
        <w:t>Coursework</w:t>
      </w:r>
    </w:p>
    <w:p w14:paraId="0F04253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567"/>
        <w:gridCol w:w="567"/>
        <w:gridCol w:w="567"/>
        <w:gridCol w:w="567"/>
        <w:gridCol w:w="567"/>
        <w:gridCol w:w="567"/>
        <w:gridCol w:w="567"/>
      </w:tblGrid>
      <w:tr w:rsidR="00C62DF0" w:rsidRPr="00C62DF0" w14:paraId="0F04253A" w14:textId="77777777" w:rsidTr="00690E0B">
        <w:tc>
          <w:tcPr>
            <w:tcW w:w="3402" w:type="dxa"/>
            <w:shd w:val="clear" w:color="auto" w:fill="D9D9D9"/>
          </w:tcPr>
          <w:p w14:paraId="0F042531"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b/>
              </w:rPr>
              <w:t>Module learning outcome</w:t>
            </w:r>
          </w:p>
        </w:tc>
        <w:tc>
          <w:tcPr>
            <w:tcW w:w="567" w:type="dxa"/>
          </w:tcPr>
          <w:p w14:paraId="0F042532"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8.1</w:t>
            </w:r>
          </w:p>
        </w:tc>
        <w:tc>
          <w:tcPr>
            <w:tcW w:w="567" w:type="dxa"/>
          </w:tcPr>
          <w:p w14:paraId="0F042533"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8.2</w:t>
            </w:r>
          </w:p>
        </w:tc>
        <w:tc>
          <w:tcPr>
            <w:tcW w:w="567" w:type="dxa"/>
          </w:tcPr>
          <w:p w14:paraId="0F042534"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8.3</w:t>
            </w:r>
          </w:p>
        </w:tc>
        <w:tc>
          <w:tcPr>
            <w:tcW w:w="567" w:type="dxa"/>
          </w:tcPr>
          <w:p w14:paraId="0F042535"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8.4</w:t>
            </w:r>
          </w:p>
        </w:tc>
        <w:tc>
          <w:tcPr>
            <w:tcW w:w="567" w:type="dxa"/>
          </w:tcPr>
          <w:p w14:paraId="0F042536"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8.5</w:t>
            </w:r>
          </w:p>
        </w:tc>
        <w:tc>
          <w:tcPr>
            <w:tcW w:w="567" w:type="dxa"/>
          </w:tcPr>
          <w:p w14:paraId="0F042537"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9.1</w:t>
            </w:r>
          </w:p>
        </w:tc>
        <w:tc>
          <w:tcPr>
            <w:tcW w:w="567" w:type="dxa"/>
          </w:tcPr>
          <w:p w14:paraId="0F042538"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9.2</w:t>
            </w:r>
          </w:p>
        </w:tc>
        <w:tc>
          <w:tcPr>
            <w:tcW w:w="567" w:type="dxa"/>
          </w:tcPr>
          <w:p w14:paraId="0F042539" w14:textId="77777777" w:rsidR="00C62DF0" w:rsidRPr="00C62DF0" w:rsidRDefault="00C62DF0" w:rsidP="00C62DF0">
            <w:pPr>
              <w:spacing w:after="120" w:line="240" w:lineRule="auto"/>
              <w:rPr>
                <w:rFonts w:ascii="Arial" w:eastAsia="Times New Roman" w:hAnsi="Arial" w:cs="Arial"/>
                <w:i/>
              </w:rPr>
            </w:pPr>
            <w:r w:rsidRPr="00C62DF0">
              <w:rPr>
                <w:rFonts w:ascii="Arial" w:eastAsia="Times New Roman" w:hAnsi="Arial" w:cs="Arial"/>
                <w:i/>
              </w:rPr>
              <w:t>9.3</w:t>
            </w:r>
          </w:p>
        </w:tc>
      </w:tr>
      <w:tr w:rsidR="00C62DF0" w:rsidRPr="00C62DF0" w14:paraId="0F042544" w14:textId="77777777" w:rsidTr="0037264B">
        <w:tc>
          <w:tcPr>
            <w:tcW w:w="3402" w:type="dxa"/>
            <w:shd w:val="clear" w:color="auto" w:fill="D9D9D9"/>
          </w:tcPr>
          <w:p w14:paraId="0F04253B" w14:textId="77777777" w:rsidR="00C62DF0" w:rsidRPr="00C62DF0" w:rsidRDefault="00C62DF0" w:rsidP="00C62DF0">
            <w:pPr>
              <w:spacing w:after="120" w:line="240" w:lineRule="auto"/>
              <w:rPr>
                <w:rFonts w:ascii="Arial" w:eastAsia="Times New Roman" w:hAnsi="Arial" w:cs="Arial"/>
                <w:b/>
              </w:rPr>
            </w:pPr>
            <w:r w:rsidRPr="00C62DF0">
              <w:rPr>
                <w:rFonts w:ascii="Arial" w:eastAsia="Times New Roman" w:hAnsi="Arial" w:cs="Arial"/>
                <w:b/>
              </w:rPr>
              <w:t>Learning/ teaching method</w:t>
            </w:r>
          </w:p>
        </w:tc>
        <w:tc>
          <w:tcPr>
            <w:tcW w:w="567" w:type="dxa"/>
          </w:tcPr>
          <w:p w14:paraId="0F04253C"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3D"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3E"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3F"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40"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41"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42"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43" w14:textId="77777777" w:rsidR="00C62DF0" w:rsidRPr="00C62DF0" w:rsidRDefault="00C62DF0" w:rsidP="00C62DF0">
            <w:pPr>
              <w:spacing w:after="120" w:line="240" w:lineRule="auto"/>
              <w:rPr>
                <w:rFonts w:ascii="Arial" w:eastAsia="Times New Roman" w:hAnsi="Arial" w:cs="Arial"/>
                <w:b/>
              </w:rPr>
            </w:pPr>
          </w:p>
        </w:tc>
      </w:tr>
      <w:tr w:rsidR="00C62DF0" w:rsidRPr="00C62DF0" w14:paraId="0F04254E" w14:textId="77777777" w:rsidTr="00945DE8">
        <w:tc>
          <w:tcPr>
            <w:tcW w:w="3402" w:type="dxa"/>
          </w:tcPr>
          <w:p w14:paraId="0F042545" w14:textId="77777777" w:rsidR="00C62DF0" w:rsidRPr="00C62DF0" w:rsidRDefault="00C62DF0" w:rsidP="00C62DF0">
            <w:pPr>
              <w:spacing w:after="120" w:line="240" w:lineRule="auto"/>
              <w:rPr>
                <w:rFonts w:ascii="Arial" w:eastAsia="Times New Roman" w:hAnsi="Arial" w:cs="Arial"/>
              </w:rPr>
            </w:pPr>
            <w:r w:rsidRPr="00C62DF0">
              <w:rPr>
                <w:rFonts w:ascii="Arial" w:eastAsia="Times New Roman" w:hAnsi="Arial" w:cs="Arial"/>
              </w:rPr>
              <w:t>Private Study</w:t>
            </w:r>
          </w:p>
        </w:tc>
        <w:tc>
          <w:tcPr>
            <w:tcW w:w="567" w:type="dxa"/>
          </w:tcPr>
          <w:p w14:paraId="0F042546"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7"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8"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9"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A"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B"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C"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4D"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r>
      <w:tr w:rsidR="00C62DF0" w:rsidRPr="00C62DF0" w14:paraId="0F042558" w14:textId="77777777" w:rsidTr="007C49C4">
        <w:tc>
          <w:tcPr>
            <w:tcW w:w="3402" w:type="dxa"/>
          </w:tcPr>
          <w:p w14:paraId="0F04254F" w14:textId="77777777" w:rsidR="00C62DF0" w:rsidRPr="00C62DF0" w:rsidRDefault="00C62DF0" w:rsidP="00C62DF0">
            <w:pPr>
              <w:spacing w:after="120" w:line="240" w:lineRule="auto"/>
              <w:rPr>
                <w:rFonts w:ascii="Arial" w:eastAsia="Times New Roman" w:hAnsi="Arial" w:cs="Arial"/>
              </w:rPr>
            </w:pPr>
            <w:r w:rsidRPr="00C62DF0">
              <w:rPr>
                <w:rFonts w:ascii="Arial" w:eastAsia="Times New Roman" w:hAnsi="Arial" w:cs="Arial"/>
              </w:rPr>
              <w:t>Lecture</w:t>
            </w:r>
          </w:p>
        </w:tc>
        <w:tc>
          <w:tcPr>
            <w:tcW w:w="567" w:type="dxa"/>
          </w:tcPr>
          <w:p w14:paraId="0F042550"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51"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52"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53"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54"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55"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56"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57"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r>
      <w:tr w:rsidR="00C62DF0" w:rsidRPr="00C62DF0" w14:paraId="0F042562" w14:textId="77777777" w:rsidTr="00C412FD">
        <w:tc>
          <w:tcPr>
            <w:tcW w:w="3402" w:type="dxa"/>
          </w:tcPr>
          <w:p w14:paraId="0F042559" w14:textId="77777777" w:rsidR="00C62DF0" w:rsidRPr="00C62DF0" w:rsidRDefault="00C62DF0" w:rsidP="00C62DF0">
            <w:pPr>
              <w:spacing w:after="120" w:line="240" w:lineRule="auto"/>
              <w:rPr>
                <w:rFonts w:ascii="Arial" w:eastAsia="Times New Roman" w:hAnsi="Arial" w:cs="Arial"/>
              </w:rPr>
            </w:pPr>
            <w:r w:rsidRPr="00C62DF0">
              <w:rPr>
                <w:rFonts w:ascii="Arial" w:eastAsia="Times New Roman" w:hAnsi="Arial" w:cs="Arial"/>
              </w:rPr>
              <w:t>Seminar</w:t>
            </w:r>
          </w:p>
        </w:tc>
        <w:tc>
          <w:tcPr>
            <w:tcW w:w="567" w:type="dxa"/>
          </w:tcPr>
          <w:p w14:paraId="0F04255A"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5B"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5C"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5D"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5E"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5F"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60"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61"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r>
      <w:tr w:rsidR="00C62DF0" w:rsidRPr="00C62DF0" w14:paraId="0F04256C" w14:textId="77777777" w:rsidTr="004232D6">
        <w:tc>
          <w:tcPr>
            <w:tcW w:w="3402" w:type="dxa"/>
            <w:shd w:val="clear" w:color="auto" w:fill="D9D9D9"/>
          </w:tcPr>
          <w:p w14:paraId="0F042563" w14:textId="77777777" w:rsidR="00C62DF0" w:rsidRPr="00C62DF0" w:rsidRDefault="00C62DF0" w:rsidP="00C62DF0">
            <w:pPr>
              <w:spacing w:after="120" w:line="240" w:lineRule="auto"/>
              <w:rPr>
                <w:rFonts w:ascii="Arial" w:eastAsia="Times New Roman" w:hAnsi="Arial" w:cs="Arial"/>
                <w:b/>
              </w:rPr>
            </w:pPr>
            <w:r w:rsidRPr="00C62DF0">
              <w:rPr>
                <w:rFonts w:ascii="Arial" w:eastAsia="Times New Roman" w:hAnsi="Arial" w:cs="Arial"/>
                <w:b/>
              </w:rPr>
              <w:t>Assessment method</w:t>
            </w:r>
          </w:p>
        </w:tc>
        <w:tc>
          <w:tcPr>
            <w:tcW w:w="567" w:type="dxa"/>
          </w:tcPr>
          <w:p w14:paraId="0F042564"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5"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6"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7"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8"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9"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A" w14:textId="77777777" w:rsidR="00C62DF0" w:rsidRPr="00C62DF0" w:rsidRDefault="00C62DF0" w:rsidP="00C62DF0">
            <w:pPr>
              <w:spacing w:after="120" w:line="240" w:lineRule="auto"/>
              <w:rPr>
                <w:rFonts w:ascii="Arial" w:eastAsia="Times New Roman" w:hAnsi="Arial" w:cs="Arial"/>
                <w:b/>
              </w:rPr>
            </w:pPr>
          </w:p>
        </w:tc>
        <w:tc>
          <w:tcPr>
            <w:tcW w:w="567" w:type="dxa"/>
          </w:tcPr>
          <w:p w14:paraId="0F04256B" w14:textId="77777777" w:rsidR="00C62DF0" w:rsidRPr="00C62DF0" w:rsidRDefault="00C62DF0" w:rsidP="00C62DF0">
            <w:pPr>
              <w:spacing w:after="120" w:line="240" w:lineRule="auto"/>
              <w:rPr>
                <w:rFonts w:ascii="Arial" w:eastAsia="Times New Roman" w:hAnsi="Arial" w:cs="Arial"/>
                <w:b/>
              </w:rPr>
            </w:pPr>
          </w:p>
        </w:tc>
      </w:tr>
      <w:tr w:rsidR="00C62DF0" w:rsidRPr="00C62DF0" w14:paraId="0F042576" w14:textId="77777777" w:rsidTr="004232D6">
        <w:tc>
          <w:tcPr>
            <w:tcW w:w="3402" w:type="dxa"/>
          </w:tcPr>
          <w:p w14:paraId="0F04256D" w14:textId="77777777" w:rsidR="00C62DF0" w:rsidRPr="00C62DF0" w:rsidRDefault="00C62DF0" w:rsidP="00C62DF0">
            <w:pPr>
              <w:spacing w:after="120" w:line="240" w:lineRule="auto"/>
              <w:rPr>
                <w:rFonts w:ascii="Arial" w:eastAsia="Times New Roman" w:hAnsi="Arial" w:cs="Arial"/>
              </w:rPr>
            </w:pPr>
            <w:r w:rsidRPr="00C62DF0">
              <w:rPr>
                <w:rFonts w:ascii="Arial" w:eastAsia="Times New Roman" w:hAnsi="Arial" w:cs="Arial"/>
              </w:rPr>
              <w:t>Presentation</w:t>
            </w:r>
          </w:p>
        </w:tc>
        <w:tc>
          <w:tcPr>
            <w:tcW w:w="567" w:type="dxa"/>
          </w:tcPr>
          <w:p w14:paraId="0F04256E"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6F"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70"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71"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2"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3"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4"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5" w14:textId="77777777" w:rsidR="00C62DF0" w:rsidRPr="00C62DF0" w:rsidRDefault="00C62DF0" w:rsidP="00C62DF0">
            <w:pPr>
              <w:spacing w:after="120" w:line="240" w:lineRule="auto"/>
              <w:jc w:val="center"/>
              <w:rPr>
                <w:rFonts w:ascii="Arial" w:eastAsia="Times New Roman" w:hAnsi="Arial" w:cs="Arial"/>
                <w:b/>
              </w:rPr>
            </w:pPr>
          </w:p>
        </w:tc>
      </w:tr>
      <w:tr w:rsidR="00C62DF0" w:rsidRPr="00C62DF0" w14:paraId="0F042580" w14:textId="77777777" w:rsidTr="004232D6">
        <w:tc>
          <w:tcPr>
            <w:tcW w:w="3402" w:type="dxa"/>
          </w:tcPr>
          <w:p w14:paraId="0F042577" w14:textId="77777777" w:rsidR="00C62DF0" w:rsidRPr="00C62DF0" w:rsidRDefault="00C62DF0" w:rsidP="00C62DF0">
            <w:pPr>
              <w:spacing w:after="120" w:line="240" w:lineRule="auto"/>
              <w:rPr>
                <w:rFonts w:ascii="Arial" w:eastAsia="Times New Roman" w:hAnsi="Arial" w:cs="Arial"/>
              </w:rPr>
            </w:pPr>
            <w:r w:rsidRPr="00C62DF0">
              <w:rPr>
                <w:rFonts w:ascii="Arial" w:eastAsia="Times New Roman" w:hAnsi="Arial" w:cs="Arial"/>
              </w:rPr>
              <w:lastRenderedPageBreak/>
              <w:t>Essay</w:t>
            </w:r>
          </w:p>
        </w:tc>
        <w:tc>
          <w:tcPr>
            <w:tcW w:w="567" w:type="dxa"/>
          </w:tcPr>
          <w:p w14:paraId="0F042578"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9"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A"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B"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C"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D"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7E"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7F"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r>
      <w:tr w:rsidR="00C62DF0" w:rsidRPr="00C62DF0" w14:paraId="0F04258A" w14:textId="77777777" w:rsidTr="004232D6">
        <w:tc>
          <w:tcPr>
            <w:tcW w:w="3402" w:type="dxa"/>
          </w:tcPr>
          <w:p w14:paraId="0F042581" w14:textId="77777777" w:rsidR="00C62DF0" w:rsidRPr="00C62DF0" w:rsidRDefault="00C62DF0" w:rsidP="00C62DF0">
            <w:pPr>
              <w:spacing w:after="120" w:line="240" w:lineRule="auto"/>
              <w:rPr>
                <w:rFonts w:ascii="Arial" w:eastAsia="Times New Roman" w:hAnsi="Arial" w:cs="Arial"/>
              </w:rPr>
            </w:pPr>
            <w:r w:rsidRPr="00C62DF0">
              <w:rPr>
                <w:rFonts w:ascii="Arial" w:eastAsia="Times New Roman" w:hAnsi="Arial" w:cs="Arial"/>
              </w:rPr>
              <w:t>Event Report</w:t>
            </w:r>
          </w:p>
        </w:tc>
        <w:tc>
          <w:tcPr>
            <w:tcW w:w="567" w:type="dxa"/>
          </w:tcPr>
          <w:p w14:paraId="0F042582"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83" w14:textId="77777777" w:rsidR="00C62DF0" w:rsidRPr="00C62DF0" w:rsidRDefault="00C62DF0" w:rsidP="00C62DF0">
            <w:pPr>
              <w:spacing w:after="120" w:line="240" w:lineRule="auto"/>
              <w:jc w:val="center"/>
              <w:rPr>
                <w:rFonts w:ascii="Arial" w:eastAsia="Times New Roman" w:hAnsi="Arial" w:cs="Arial"/>
                <w:b/>
              </w:rPr>
            </w:pPr>
          </w:p>
        </w:tc>
        <w:tc>
          <w:tcPr>
            <w:tcW w:w="567" w:type="dxa"/>
          </w:tcPr>
          <w:p w14:paraId="0F042584"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85"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86"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87"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88"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c>
          <w:tcPr>
            <w:tcW w:w="567" w:type="dxa"/>
          </w:tcPr>
          <w:p w14:paraId="0F042589" w14:textId="77777777" w:rsidR="00C62DF0" w:rsidRPr="00C62DF0" w:rsidRDefault="00C62DF0" w:rsidP="00C62DF0">
            <w:pPr>
              <w:spacing w:after="120" w:line="240" w:lineRule="auto"/>
              <w:jc w:val="center"/>
              <w:rPr>
                <w:rFonts w:ascii="Arial" w:eastAsia="Times New Roman" w:hAnsi="Arial" w:cs="Arial"/>
                <w:b/>
              </w:rPr>
            </w:pPr>
            <w:r w:rsidRPr="00C62DF0">
              <w:rPr>
                <w:rFonts w:ascii="Arial" w:eastAsia="Times New Roman" w:hAnsi="Arial" w:cs="Arial"/>
                <w:b/>
              </w:rPr>
              <w:t>x</w:t>
            </w:r>
          </w:p>
        </w:tc>
      </w:tr>
    </w:tbl>
    <w:p w14:paraId="0F04258B" w14:textId="77777777" w:rsidR="007A6245" w:rsidRDefault="007A6245" w:rsidP="00302082">
      <w:pPr>
        <w:spacing w:after="120" w:line="240" w:lineRule="auto"/>
        <w:ind w:left="426" w:right="260"/>
        <w:rPr>
          <w:rFonts w:ascii="Arial" w:hAnsi="Arial" w:cs="Arial"/>
          <w:b/>
          <w:iCs/>
        </w:rPr>
      </w:pPr>
    </w:p>
    <w:p w14:paraId="0F04258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F04258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F04258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4258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04259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F04259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F04259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F04259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F042594" w14:textId="77777777" w:rsidR="00C62DF0" w:rsidRPr="00C62DF0" w:rsidRDefault="00C62DF0" w:rsidP="00C62DF0">
      <w:pPr>
        <w:autoSpaceDE w:val="0"/>
        <w:autoSpaceDN w:val="0"/>
        <w:adjustRightInd w:val="0"/>
        <w:spacing w:after="120" w:line="240" w:lineRule="auto"/>
        <w:ind w:left="567" w:right="261"/>
        <w:jc w:val="both"/>
        <w:rPr>
          <w:rFonts w:ascii="Arial" w:hAnsi="Arial" w:cs="Arial"/>
        </w:rPr>
      </w:pPr>
      <w:r w:rsidRPr="00C62DF0">
        <w:rPr>
          <w:rFonts w:ascii="Arial" w:hAnsi="Arial" w:cs="Arial"/>
        </w:rPr>
        <w:t xml:space="preserve">The organisation of events by students will further develop and enhance partnerships and networks in the wider international world and raise the profile and increase international esteem of the University. </w:t>
      </w:r>
    </w:p>
    <w:p w14:paraId="0F042595" w14:textId="77777777" w:rsidR="00CE256C" w:rsidRPr="00745702" w:rsidRDefault="00C62DF0" w:rsidP="00C62DF0">
      <w:pPr>
        <w:autoSpaceDE w:val="0"/>
        <w:autoSpaceDN w:val="0"/>
        <w:adjustRightInd w:val="0"/>
        <w:spacing w:after="120" w:line="240" w:lineRule="auto"/>
        <w:ind w:left="567" w:right="261"/>
        <w:jc w:val="both"/>
        <w:rPr>
          <w:rFonts w:ascii="Arial" w:hAnsi="Arial" w:cs="Arial"/>
        </w:rPr>
      </w:pPr>
      <w:r w:rsidRPr="00C62DF0">
        <w:rPr>
          <w:rFonts w:ascii="Arial" w:hAnsi="Arial" w:cs="Arial"/>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w:t>
      </w:r>
      <w:r w:rsidR="00CE256C" w:rsidRPr="005D4D5C">
        <w:rPr>
          <w:rFonts w:ascii="Arial" w:hAnsi="Arial" w:cs="Arial"/>
          <w:iCs/>
        </w:rPr>
        <w:t xml:space="preserve"> </w:t>
      </w:r>
    </w:p>
    <w:p w14:paraId="0F042596" w14:textId="77777777" w:rsidR="00641D6D" w:rsidRPr="00302082" w:rsidRDefault="00641D6D" w:rsidP="002A7F48">
      <w:pPr>
        <w:pBdr>
          <w:bottom w:val="single" w:sz="6" w:space="1" w:color="auto"/>
        </w:pBdr>
        <w:spacing w:after="120" w:line="240" w:lineRule="auto"/>
        <w:ind w:right="261"/>
        <w:rPr>
          <w:rFonts w:ascii="Arial" w:hAnsi="Arial" w:cs="Arial"/>
        </w:rPr>
      </w:pPr>
    </w:p>
    <w:p w14:paraId="0F04259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0425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04259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F04259F" w14:textId="77777777" w:rsidTr="006A1103">
        <w:trPr>
          <w:trHeight w:val="317"/>
        </w:trPr>
        <w:tc>
          <w:tcPr>
            <w:tcW w:w="1526" w:type="dxa"/>
          </w:tcPr>
          <w:p w14:paraId="0F04259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F04259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F04259C"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04259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F04259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F0425A5" w14:textId="77777777" w:rsidTr="006A1103">
        <w:trPr>
          <w:trHeight w:val="305"/>
        </w:trPr>
        <w:tc>
          <w:tcPr>
            <w:tcW w:w="1526" w:type="dxa"/>
            <w:vAlign w:val="center"/>
          </w:tcPr>
          <w:p w14:paraId="0F0425A0" w14:textId="77777777" w:rsidR="007A648C" w:rsidRPr="00DF4971" w:rsidRDefault="007A648C" w:rsidP="006A1103">
            <w:pPr>
              <w:rPr>
                <w:rFonts w:ascii="Arial" w:hAnsi="Arial" w:cs="Arial"/>
                <w:sz w:val="18"/>
                <w:szCs w:val="18"/>
              </w:rPr>
            </w:pPr>
          </w:p>
        </w:tc>
        <w:tc>
          <w:tcPr>
            <w:tcW w:w="1701" w:type="dxa"/>
            <w:vAlign w:val="center"/>
          </w:tcPr>
          <w:p w14:paraId="0F0425A1" w14:textId="77777777" w:rsidR="007A648C" w:rsidRPr="00DF4971" w:rsidRDefault="007A648C" w:rsidP="006A1103">
            <w:pPr>
              <w:rPr>
                <w:rFonts w:ascii="Arial" w:hAnsi="Arial" w:cs="Arial"/>
                <w:sz w:val="18"/>
                <w:szCs w:val="18"/>
              </w:rPr>
            </w:pPr>
          </w:p>
        </w:tc>
        <w:tc>
          <w:tcPr>
            <w:tcW w:w="2410" w:type="dxa"/>
            <w:vAlign w:val="center"/>
          </w:tcPr>
          <w:p w14:paraId="0F0425A2" w14:textId="77777777" w:rsidR="007A648C" w:rsidRPr="00DF4971" w:rsidRDefault="007A648C" w:rsidP="006A1103">
            <w:pPr>
              <w:rPr>
                <w:rFonts w:ascii="Arial" w:hAnsi="Arial" w:cs="Arial"/>
                <w:sz w:val="18"/>
                <w:szCs w:val="18"/>
              </w:rPr>
            </w:pPr>
          </w:p>
        </w:tc>
        <w:tc>
          <w:tcPr>
            <w:tcW w:w="2448" w:type="dxa"/>
            <w:vAlign w:val="center"/>
          </w:tcPr>
          <w:p w14:paraId="0F0425A3" w14:textId="77777777" w:rsidR="007A648C" w:rsidRPr="00DF4971" w:rsidRDefault="007A648C" w:rsidP="006A1103">
            <w:pPr>
              <w:rPr>
                <w:rFonts w:ascii="Arial" w:hAnsi="Arial" w:cs="Arial"/>
                <w:sz w:val="18"/>
                <w:szCs w:val="18"/>
              </w:rPr>
            </w:pPr>
          </w:p>
        </w:tc>
        <w:tc>
          <w:tcPr>
            <w:tcW w:w="2597" w:type="dxa"/>
            <w:vAlign w:val="center"/>
          </w:tcPr>
          <w:p w14:paraId="0F0425A4" w14:textId="77777777" w:rsidR="007A648C" w:rsidRPr="00DF4971" w:rsidRDefault="007A648C" w:rsidP="006A1103">
            <w:pPr>
              <w:rPr>
                <w:rFonts w:ascii="Arial" w:hAnsi="Arial" w:cs="Arial"/>
                <w:sz w:val="18"/>
                <w:szCs w:val="18"/>
              </w:rPr>
            </w:pPr>
          </w:p>
        </w:tc>
      </w:tr>
      <w:tr w:rsidR="007A648C" w:rsidRPr="00302082" w14:paraId="0F0425AB" w14:textId="77777777" w:rsidTr="007A648C">
        <w:trPr>
          <w:trHeight w:val="305"/>
        </w:trPr>
        <w:tc>
          <w:tcPr>
            <w:tcW w:w="1526" w:type="dxa"/>
            <w:vAlign w:val="center"/>
          </w:tcPr>
          <w:p w14:paraId="0F0425A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0425A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F0425A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F0425A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F0425AA" w14:textId="77777777" w:rsidR="007A648C" w:rsidRPr="007A648C" w:rsidRDefault="007A648C" w:rsidP="007A648C">
            <w:pPr>
              <w:spacing w:after="120"/>
              <w:ind w:right="-330"/>
              <w:rPr>
                <w:rFonts w:ascii="Arial" w:hAnsi="Arial" w:cs="Arial"/>
                <w:sz w:val="18"/>
                <w:szCs w:val="18"/>
              </w:rPr>
            </w:pPr>
          </w:p>
        </w:tc>
      </w:tr>
    </w:tbl>
    <w:p w14:paraId="0F0425A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F0425AE" w14:textId="77777777" w:rsidTr="006A1103">
        <w:trPr>
          <w:trHeight w:val="305"/>
        </w:trPr>
        <w:tc>
          <w:tcPr>
            <w:tcW w:w="10627" w:type="dxa"/>
            <w:vAlign w:val="center"/>
          </w:tcPr>
          <w:p w14:paraId="0F0425AD"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F0425AF"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25B4" w14:textId="77777777" w:rsidR="0098587E" w:rsidRDefault="0098587E" w:rsidP="009A2D37">
      <w:pPr>
        <w:spacing w:after="0" w:line="240" w:lineRule="auto"/>
      </w:pPr>
      <w:r>
        <w:separator/>
      </w:r>
    </w:p>
  </w:endnote>
  <w:endnote w:type="continuationSeparator" w:id="0">
    <w:p w14:paraId="0F0425B5" w14:textId="77777777" w:rsidR="0098587E" w:rsidRDefault="0098587E" w:rsidP="009A2D37">
      <w:pPr>
        <w:spacing w:after="0" w:line="240" w:lineRule="auto"/>
      </w:pPr>
      <w:r>
        <w:continuationSeparator/>
      </w:r>
    </w:p>
  </w:endnote>
  <w:endnote w:type="continuationNotice" w:id="1">
    <w:p w14:paraId="0F0425B6" w14:textId="77777777" w:rsidR="0098587E" w:rsidRDefault="00985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0425BA" w14:textId="04F2B86D" w:rsidR="008B2543" w:rsidRDefault="00021B86" w:rsidP="009A2D37">
        <w:pPr>
          <w:pStyle w:val="Footer"/>
          <w:jc w:val="center"/>
        </w:pPr>
        <w:r>
          <w:fldChar w:fldCharType="begin"/>
        </w:r>
        <w:r w:rsidR="0019787E">
          <w:instrText xml:space="preserve"> PAGE   \* MERGEFORMAT </w:instrText>
        </w:r>
        <w:r>
          <w:fldChar w:fldCharType="separate"/>
        </w:r>
        <w:r w:rsidR="001D7503">
          <w:rPr>
            <w:noProof/>
          </w:rPr>
          <w:t>2</w:t>
        </w:r>
        <w:r>
          <w:rPr>
            <w:noProof/>
          </w:rPr>
          <w:fldChar w:fldCharType="end"/>
        </w:r>
      </w:p>
    </w:sdtContent>
  </w:sdt>
  <w:p w14:paraId="0F0425B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25B1" w14:textId="77777777" w:rsidR="0098587E" w:rsidRDefault="0098587E" w:rsidP="009A2D37">
      <w:pPr>
        <w:spacing w:after="0" w:line="240" w:lineRule="auto"/>
      </w:pPr>
      <w:r>
        <w:separator/>
      </w:r>
    </w:p>
  </w:footnote>
  <w:footnote w:type="continuationSeparator" w:id="0">
    <w:p w14:paraId="0F0425B2" w14:textId="77777777" w:rsidR="0098587E" w:rsidRDefault="0098587E" w:rsidP="009A2D37">
      <w:pPr>
        <w:spacing w:after="0" w:line="240" w:lineRule="auto"/>
      </w:pPr>
      <w:r>
        <w:continuationSeparator/>
      </w:r>
    </w:p>
  </w:footnote>
  <w:footnote w:type="continuationNotice" w:id="1">
    <w:p w14:paraId="0F0425B3" w14:textId="77777777" w:rsidR="0098587E" w:rsidRDefault="00985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25B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0425BE" wp14:editId="0F0425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0F0425B8" w14:textId="77777777" w:rsidR="008B2543" w:rsidRPr="008C00F8" w:rsidRDefault="008B2543" w:rsidP="005E6D38">
    <w:pPr>
      <w:pStyle w:val="Heading1"/>
      <w:spacing w:before="60" w:after="60"/>
      <w:rPr>
        <w:rFonts w:ascii="Arial" w:hAnsi="Arial" w:cs="Arial"/>
      </w:rPr>
    </w:pPr>
  </w:p>
  <w:p w14:paraId="0F0425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25B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0425C0" wp14:editId="0F0425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0F0425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B86"/>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503"/>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4A4"/>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7923"/>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587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0A66"/>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3D0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2DF0"/>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F042504"/>
  <w15:docId w15:val="{8622CC94-85DC-4DBB-940E-29839EAD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3379-47F5-4E62-A43B-A0088F604225}">
  <ds:schemaRefs>
    <ds:schemaRef ds:uri="http://schemas.microsoft.com/sharepoint/v3/contenttype/forms"/>
  </ds:schemaRefs>
</ds:datastoreItem>
</file>

<file path=customXml/itemProps2.xml><?xml version="1.0" encoding="utf-8"?>
<ds:datastoreItem xmlns:ds="http://schemas.openxmlformats.org/officeDocument/2006/customXml" ds:itemID="{4C404A20-C4A2-4CE4-BD9A-E9C9C69808BF}">
  <ds:schemaRefs>
    <ds:schemaRef ds:uri="http://schemas.microsoft.com/sharepoint/events"/>
  </ds:schemaRefs>
</ds:datastoreItem>
</file>

<file path=customXml/itemProps3.xml><?xml version="1.0" encoding="utf-8"?>
<ds:datastoreItem xmlns:ds="http://schemas.openxmlformats.org/officeDocument/2006/customXml" ds:itemID="{ECF65736-A860-4FE4-9601-CD4765ACB14E}"/>
</file>

<file path=customXml/itemProps4.xml><?xml version="1.0" encoding="utf-8"?>
<ds:datastoreItem xmlns:ds="http://schemas.openxmlformats.org/officeDocument/2006/customXml" ds:itemID="{AE8F0D15-E029-4BC9-9EB5-A6BAACF8D580}">
  <ds:schemaRefs>
    <ds:schemaRef ds:uri="ef2b9e05-657a-4dc1-8c6c-679bdea18f38"/>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F2AD420-A908-4274-91AB-A31BC4CC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2018-02-26T09:37:00Z</dcterms:created>
  <dcterms:modified xsi:type="dcterms:W3CDTF">2018-03-16T12:02:00Z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eb81e109-b58a-471f-800e-8c803000826d</vt:lpwstr>
  </property>
</Properties>
</file>