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0686C47A" w:rsidR="00694B52" w:rsidRPr="009D52D0" w:rsidRDefault="00D17144" w:rsidP="00FF2C03">
      <w:pPr>
        <w:spacing w:after="120" w:line="240" w:lineRule="auto"/>
        <w:ind w:left="567" w:right="543"/>
        <w:jc w:val="both"/>
        <w:rPr>
          <w:rFonts w:ascii="Arial" w:hAnsi="Arial" w:cs="Arial"/>
          <w:sz w:val="24"/>
          <w:szCs w:val="24"/>
        </w:rPr>
      </w:pPr>
      <w:r>
        <w:rPr>
          <w:rFonts w:ascii="Arial" w:hAnsi="Arial" w:cs="Arial"/>
          <w:sz w:val="24"/>
          <w:szCs w:val="24"/>
        </w:rPr>
        <w:t>CHEM7410 – Computational Chemistry</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19B2ACA8"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2E7887">
        <w:rPr>
          <w:rFonts w:ascii="Arial" w:hAnsi="Arial" w:cs="Arial"/>
          <w:iCs/>
          <w:sz w:val="24"/>
          <w:szCs w:val="24"/>
        </w:rPr>
        <w:t>Chemistry and Forensic Science)</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22A2BA4C" w:rsidR="00694B52" w:rsidRPr="00694B52" w:rsidRDefault="002E7887" w:rsidP="00FF2C03">
      <w:pPr>
        <w:spacing w:after="120" w:line="240" w:lineRule="auto"/>
        <w:ind w:left="567" w:right="543"/>
        <w:jc w:val="both"/>
        <w:rPr>
          <w:rFonts w:ascii="Arial" w:hAnsi="Arial" w:cs="Arial"/>
          <w:iCs/>
          <w:sz w:val="24"/>
          <w:szCs w:val="24"/>
        </w:rPr>
      </w:pPr>
      <w:r>
        <w:rPr>
          <w:rFonts w:ascii="Arial" w:hAnsi="Arial" w:cs="Arial"/>
          <w:iCs/>
          <w:sz w:val="24"/>
          <w:szCs w:val="24"/>
        </w:rPr>
        <w:t>Level 7</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538BC6F9" w:rsidR="00694B52" w:rsidRPr="00694B52" w:rsidRDefault="002E7887"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39F4AD3A" w:rsidR="00694B52" w:rsidRPr="00694B52" w:rsidRDefault="002E7887"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43598BE8" w:rsidR="00694B52" w:rsidRPr="00694B52" w:rsidRDefault="003A67D8" w:rsidP="002E7887">
      <w:pPr>
        <w:spacing w:after="120" w:line="240" w:lineRule="auto"/>
        <w:ind w:left="567" w:right="543"/>
        <w:jc w:val="both"/>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2AD28903" w:rsidR="006B1CCD" w:rsidRDefault="002E7887"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MChem</w:t>
      </w:r>
      <w:proofErr w:type="spellEnd"/>
      <w:r w:rsidR="003A67D8">
        <w:rPr>
          <w:rFonts w:ascii="Arial" w:hAnsi="Arial" w:cs="Arial"/>
          <w:iCs/>
          <w:sz w:val="24"/>
          <w:szCs w:val="24"/>
        </w:rPr>
        <w:t xml:space="preserve"> Chemistry</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1FB52033"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2E7887" w:rsidRPr="002E7887">
        <w:rPr>
          <w:rFonts w:ascii="Arial" w:hAnsi="Arial" w:cs="Arial"/>
          <w:iCs/>
          <w:sz w:val="24"/>
          <w:szCs w:val="24"/>
        </w:rPr>
        <w:t>Provide a critical understanding of the field of computational chemistry.</w:t>
      </w:r>
    </w:p>
    <w:p w14:paraId="28B61669" w14:textId="36860361"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2E7887" w:rsidRPr="002E7887">
        <w:rPr>
          <w:rFonts w:ascii="Arial" w:hAnsi="Arial" w:cs="Arial"/>
          <w:iCs/>
          <w:sz w:val="24"/>
          <w:szCs w:val="24"/>
        </w:rPr>
        <w:t>Show how computational chemistry can provide unique insight to complement experimental chemistry.</w:t>
      </w:r>
    </w:p>
    <w:p w14:paraId="59AEFC4A" w14:textId="1516B2D7"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2E7887" w:rsidRPr="002E7887">
        <w:rPr>
          <w:rFonts w:ascii="Arial" w:hAnsi="Arial" w:cs="Arial"/>
          <w:iCs/>
          <w:sz w:val="24"/>
          <w:szCs w:val="24"/>
        </w:rPr>
        <w:t>Show how computational chemistry can deliver understanding in areas that are not, thus far, accessible to experiment.</w:t>
      </w:r>
    </w:p>
    <w:p w14:paraId="68A762AE" w14:textId="11566A35"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2E7887" w:rsidRPr="002E7887">
        <w:rPr>
          <w:rFonts w:ascii="Arial" w:hAnsi="Arial" w:cs="Arial"/>
          <w:sz w:val="24"/>
          <w:szCs w:val="24"/>
        </w:rPr>
        <w:t>Understand methods of computational chemistry in depth, spanning hierarchical length and time scales including: quantum mechanical, molecular dynamics (atomistic), mesoscale modelling and molecular graphics.</w:t>
      </w:r>
    </w:p>
    <w:p w14:paraId="3776BD13" w14:textId="6C2E2CD2"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2E7887" w:rsidRPr="002E7887">
        <w:rPr>
          <w:rFonts w:ascii="Arial" w:hAnsi="Arial" w:cs="Arial"/>
          <w:iCs/>
          <w:sz w:val="24"/>
          <w:szCs w:val="24"/>
        </w:rPr>
        <w:t>Use computational methods to calculate the structure, properties and processes of materials.</w:t>
      </w:r>
    </w:p>
    <w:p w14:paraId="32E03023" w14:textId="2A7B3146" w:rsidR="002E7887" w:rsidRDefault="002E7887"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Pr>
          <w:rFonts w:ascii="Arial" w:hAnsi="Arial" w:cs="Arial"/>
          <w:sz w:val="24"/>
          <w:szCs w:val="24"/>
        </w:rPr>
        <w:tab/>
      </w:r>
      <w:r w:rsidRPr="002E7887">
        <w:rPr>
          <w:rFonts w:ascii="Arial" w:hAnsi="Arial" w:cs="Arial"/>
          <w:iCs/>
          <w:sz w:val="24"/>
          <w:szCs w:val="24"/>
        </w:rPr>
        <w:t>Evaluate computational chemistry critically with regards to scope and limitations.</w:t>
      </w:r>
    </w:p>
    <w:p w14:paraId="1B7BEF21" w14:textId="006B285F" w:rsidR="002E7887" w:rsidRPr="00FF2C03" w:rsidRDefault="002E7887" w:rsidP="006B1CCD">
      <w:pPr>
        <w:spacing w:after="120" w:line="240" w:lineRule="auto"/>
        <w:ind w:left="1276" w:right="543" w:hanging="709"/>
        <w:jc w:val="both"/>
        <w:rPr>
          <w:rFonts w:ascii="Arial" w:hAnsi="Arial" w:cs="Arial"/>
          <w:sz w:val="24"/>
          <w:szCs w:val="24"/>
        </w:rPr>
      </w:pPr>
      <w:r>
        <w:rPr>
          <w:rFonts w:ascii="Arial" w:hAnsi="Arial" w:cs="Arial"/>
          <w:sz w:val="24"/>
          <w:szCs w:val="24"/>
        </w:rPr>
        <w:t>8.7</w:t>
      </w:r>
      <w:r>
        <w:rPr>
          <w:rFonts w:ascii="Arial" w:hAnsi="Arial" w:cs="Arial"/>
          <w:sz w:val="24"/>
          <w:szCs w:val="24"/>
        </w:rPr>
        <w:tab/>
      </w:r>
      <w:r w:rsidRPr="002E7887">
        <w:rPr>
          <w:rFonts w:ascii="Arial" w:hAnsi="Arial" w:cs="Arial"/>
          <w:iCs/>
          <w:sz w:val="24"/>
          <w:szCs w:val="24"/>
        </w:rPr>
        <w:t>Plan, design and formulate a simulation (or set of simulations) that realise a truly predictive capability.</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0BD2666D"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2E7887">
        <w:rPr>
          <w:rFonts w:ascii="Arial" w:hAnsi="Arial" w:cs="Arial"/>
          <w:sz w:val="24"/>
          <w:szCs w:val="24"/>
        </w:rPr>
        <w:t>Carry out e</w:t>
      </w:r>
      <w:r w:rsidR="002E7887" w:rsidRPr="002E7887">
        <w:rPr>
          <w:rFonts w:ascii="Arial" w:hAnsi="Arial" w:cs="Arial"/>
          <w:sz w:val="24"/>
          <w:szCs w:val="24"/>
        </w:rPr>
        <w:t>ffective research costing and planning (health and safety, ethics); ‘simulation vs experiment’.</w:t>
      </w:r>
    </w:p>
    <w:p w14:paraId="324DF5A4" w14:textId="53ACEBFE"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9.2</w:t>
      </w:r>
      <w:r>
        <w:rPr>
          <w:rFonts w:ascii="Arial" w:hAnsi="Arial" w:cs="Arial"/>
          <w:sz w:val="24"/>
          <w:szCs w:val="24"/>
        </w:rPr>
        <w:tab/>
      </w:r>
      <w:r w:rsidR="002E7887">
        <w:rPr>
          <w:rFonts w:ascii="Arial" w:hAnsi="Arial" w:cs="Arial"/>
          <w:sz w:val="24"/>
          <w:szCs w:val="24"/>
        </w:rPr>
        <w:t>Demonstrate p</w:t>
      </w:r>
      <w:r w:rsidR="002E7887" w:rsidRPr="002E7887">
        <w:rPr>
          <w:rFonts w:ascii="Arial" w:hAnsi="Arial" w:cs="Arial"/>
          <w:sz w:val="24"/>
          <w:szCs w:val="24"/>
        </w:rPr>
        <w:t>roblem-solving skills, relating to qualitative and quantitative information, extending to situations where evaluations have to be made on the basis of limited information.</w:t>
      </w:r>
    </w:p>
    <w:p w14:paraId="3D222DEF" w14:textId="7BC58678"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2E7887">
        <w:rPr>
          <w:rFonts w:ascii="Arial" w:hAnsi="Arial" w:cs="Arial"/>
          <w:sz w:val="24"/>
          <w:szCs w:val="24"/>
        </w:rPr>
        <w:t>Demonstrate t</w:t>
      </w:r>
      <w:r w:rsidR="002E7887" w:rsidRPr="002E7887">
        <w:rPr>
          <w:rFonts w:ascii="Arial" w:hAnsi="Arial" w:cs="Arial"/>
          <w:sz w:val="24"/>
          <w:szCs w:val="24"/>
        </w:rPr>
        <w:t>ime-management and organisational skills, as evidenced by the ability to plan and implement efficient and effective modes of working.</w:t>
      </w:r>
    </w:p>
    <w:p w14:paraId="15C5D21F" w14:textId="467FC458" w:rsidR="002E7887" w:rsidRDefault="002E7887"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t>Demonstrate effective i</w:t>
      </w:r>
      <w:r w:rsidRPr="002E7887">
        <w:rPr>
          <w:rFonts w:ascii="Arial" w:hAnsi="Arial" w:cs="Arial"/>
          <w:sz w:val="24"/>
          <w:szCs w:val="24"/>
        </w:rPr>
        <w:t>nterpersonal skills, relating to the ability to engage with others and to engage in team working within a professional environment.</w:t>
      </w:r>
    </w:p>
    <w:p w14:paraId="669511B8" w14:textId="227D2E74" w:rsidR="002E7887" w:rsidRPr="008D4447" w:rsidRDefault="002E7887"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t>E</w:t>
      </w:r>
      <w:r w:rsidRPr="002E7887">
        <w:rPr>
          <w:rFonts w:ascii="Arial" w:hAnsi="Arial" w:cs="Arial"/>
          <w:sz w:val="24"/>
          <w:szCs w:val="24"/>
        </w:rPr>
        <w:t>xercise initiative and personal responsibility</w:t>
      </w:r>
      <w:r>
        <w:rPr>
          <w:rFonts w:ascii="Arial" w:hAnsi="Arial" w:cs="Arial"/>
          <w:sz w:val="24"/>
          <w:szCs w:val="24"/>
        </w:rPr>
        <w:t xml:space="preserve"> by</w:t>
      </w:r>
      <w:r w:rsidRPr="002E7887">
        <w:rPr>
          <w:rFonts w:ascii="Arial" w:hAnsi="Arial" w:cs="Arial"/>
          <w:sz w:val="24"/>
          <w:szCs w:val="24"/>
        </w:rPr>
        <w:t xml:space="preserve"> mak</w:t>
      </w:r>
      <w:r>
        <w:rPr>
          <w:rFonts w:ascii="Arial" w:hAnsi="Arial" w:cs="Arial"/>
          <w:sz w:val="24"/>
          <w:szCs w:val="24"/>
        </w:rPr>
        <w:t>ing</w:t>
      </w:r>
      <w:r w:rsidRPr="002E7887">
        <w:rPr>
          <w:rFonts w:ascii="Arial" w:hAnsi="Arial" w:cs="Arial"/>
          <w:sz w:val="24"/>
          <w:szCs w:val="24"/>
        </w:rPr>
        <w:t xml:space="preserve"> decisions in ‘unchartered’, comple</w:t>
      </w:r>
      <w:r>
        <w:rPr>
          <w:rFonts w:ascii="Arial" w:hAnsi="Arial" w:cs="Arial"/>
          <w:sz w:val="24"/>
          <w:szCs w:val="24"/>
        </w:rPr>
        <w:t>x and unpredictable situations.</w:t>
      </w:r>
    </w:p>
    <w:p w14:paraId="73386C6A" w14:textId="77777777" w:rsidR="009A2D37" w:rsidRPr="009D52D0" w:rsidRDefault="009A2D37" w:rsidP="00072357">
      <w:pPr>
        <w:pStyle w:val="Heading2"/>
      </w:pPr>
      <w:r w:rsidRPr="009D52D0">
        <w:t>A synopsis of the curriculum</w:t>
      </w:r>
    </w:p>
    <w:p w14:paraId="458C4DF2" w14:textId="722942EF" w:rsidR="002E7887" w:rsidRPr="002E7887" w:rsidRDefault="002E7887" w:rsidP="002E7887">
      <w:pPr>
        <w:spacing w:after="120" w:line="240" w:lineRule="auto"/>
        <w:ind w:left="567" w:right="543"/>
        <w:jc w:val="both"/>
        <w:rPr>
          <w:rFonts w:ascii="Arial" w:hAnsi="Arial" w:cs="Arial"/>
          <w:iCs/>
          <w:sz w:val="24"/>
          <w:szCs w:val="24"/>
        </w:rPr>
      </w:pPr>
      <w:r w:rsidRPr="002E7887">
        <w:rPr>
          <w:rFonts w:ascii="Arial" w:hAnsi="Arial" w:cs="Arial"/>
          <w:iCs/>
          <w:sz w:val="24"/>
          <w:szCs w:val="24"/>
        </w:rPr>
        <w:t xml:space="preserve">This module will introduce the student to the growing field of computational chemistry and its viability as a cost effective alternative to experiment that provides unique insight. It is critically important that an </w:t>
      </w:r>
      <w:proofErr w:type="spellStart"/>
      <w:r w:rsidRPr="002E7887">
        <w:rPr>
          <w:rFonts w:ascii="Arial" w:hAnsi="Arial" w:cs="Arial"/>
          <w:iCs/>
          <w:sz w:val="24"/>
          <w:szCs w:val="24"/>
        </w:rPr>
        <w:t>MChem</w:t>
      </w:r>
      <w:proofErr w:type="spellEnd"/>
      <w:r w:rsidRPr="002E7887">
        <w:rPr>
          <w:rFonts w:ascii="Arial" w:hAnsi="Arial" w:cs="Arial"/>
          <w:iCs/>
          <w:sz w:val="24"/>
          <w:szCs w:val="24"/>
        </w:rPr>
        <w:t xml:space="preserve"> student is trained in this area because many peer reviewer publications in physical, inorganic and organic chemistry include a computational component. The module will run primarily as a set of computational labs with lectures delivering the understanding, background and application of the methods used in the laboratory sessions including:</w:t>
      </w:r>
    </w:p>
    <w:p w14:paraId="32972631" w14:textId="77777777" w:rsidR="002E7887" w:rsidRPr="002E7887" w:rsidRDefault="002E7887" w:rsidP="002E7887">
      <w:pPr>
        <w:spacing w:after="120" w:line="240" w:lineRule="auto"/>
        <w:ind w:left="567" w:right="543"/>
        <w:jc w:val="both"/>
        <w:rPr>
          <w:rFonts w:ascii="Arial" w:hAnsi="Arial" w:cs="Arial"/>
          <w:b/>
          <w:iCs/>
          <w:sz w:val="24"/>
          <w:szCs w:val="24"/>
        </w:rPr>
      </w:pPr>
      <w:r w:rsidRPr="002E7887">
        <w:rPr>
          <w:rFonts w:ascii="Arial" w:hAnsi="Arial" w:cs="Arial"/>
          <w:b/>
          <w:iCs/>
          <w:sz w:val="24"/>
          <w:szCs w:val="24"/>
        </w:rPr>
        <w:t>Classical Mechanics:</w:t>
      </w:r>
    </w:p>
    <w:p w14:paraId="15EA1CE3" w14:textId="05F854A7" w:rsidR="002E7887" w:rsidRPr="002E7887" w:rsidRDefault="002E7887" w:rsidP="002E7887">
      <w:pPr>
        <w:spacing w:after="120" w:line="240" w:lineRule="auto"/>
        <w:ind w:left="567" w:right="543"/>
        <w:jc w:val="both"/>
        <w:rPr>
          <w:rFonts w:ascii="Arial" w:hAnsi="Arial" w:cs="Arial"/>
          <w:iCs/>
          <w:sz w:val="24"/>
          <w:szCs w:val="24"/>
        </w:rPr>
      </w:pPr>
      <w:r w:rsidRPr="002E7887">
        <w:rPr>
          <w:rFonts w:ascii="Arial" w:hAnsi="Arial" w:cs="Arial"/>
          <w:iCs/>
          <w:sz w:val="24"/>
          <w:szCs w:val="24"/>
        </w:rPr>
        <w:t>Atomistic Simulation, Force-fields, Energy Minimisation, Molecular Dynamics, Monte Carlo</w:t>
      </w:r>
    </w:p>
    <w:p w14:paraId="5162FF37" w14:textId="77777777" w:rsidR="002E7887" w:rsidRPr="002E7887" w:rsidRDefault="002E7887" w:rsidP="002E7887">
      <w:pPr>
        <w:spacing w:after="120" w:line="240" w:lineRule="auto"/>
        <w:ind w:left="567" w:right="543"/>
        <w:jc w:val="both"/>
        <w:rPr>
          <w:rFonts w:ascii="Arial" w:hAnsi="Arial" w:cs="Arial"/>
          <w:b/>
          <w:iCs/>
          <w:sz w:val="24"/>
          <w:szCs w:val="24"/>
        </w:rPr>
      </w:pPr>
      <w:r w:rsidRPr="002E7887">
        <w:rPr>
          <w:rFonts w:ascii="Arial" w:hAnsi="Arial" w:cs="Arial"/>
          <w:b/>
          <w:iCs/>
          <w:sz w:val="24"/>
          <w:szCs w:val="24"/>
        </w:rPr>
        <w:t>Quantum Mechanics:</w:t>
      </w:r>
    </w:p>
    <w:p w14:paraId="5DE5B726" w14:textId="77777777" w:rsidR="002E7887" w:rsidRPr="002E7887" w:rsidRDefault="002E7887" w:rsidP="002E7887">
      <w:pPr>
        <w:spacing w:after="120" w:line="240" w:lineRule="auto"/>
        <w:ind w:left="567" w:right="543"/>
        <w:jc w:val="both"/>
        <w:rPr>
          <w:rFonts w:ascii="Arial" w:hAnsi="Arial" w:cs="Arial"/>
          <w:iCs/>
          <w:sz w:val="24"/>
          <w:szCs w:val="24"/>
        </w:rPr>
      </w:pPr>
      <w:r w:rsidRPr="002E7887">
        <w:rPr>
          <w:rFonts w:ascii="Arial" w:hAnsi="Arial" w:cs="Arial"/>
          <w:iCs/>
          <w:sz w:val="24"/>
          <w:szCs w:val="24"/>
        </w:rPr>
        <w:t>Density Functional Theory, Hartree-</w:t>
      </w:r>
      <w:proofErr w:type="spellStart"/>
      <w:r w:rsidRPr="002E7887">
        <w:rPr>
          <w:rFonts w:ascii="Arial" w:hAnsi="Arial" w:cs="Arial"/>
          <w:iCs/>
          <w:sz w:val="24"/>
          <w:szCs w:val="24"/>
        </w:rPr>
        <w:t>Fock</w:t>
      </w:r>
      <w:proofErr w:type="spellEnd"/>
      <w:r w:rsidRPr="002E7887">
        <w:rPr>
          <w:rFonts w:ascii="Arial" w:hAnsi="Arial" w:cs="Arial"/>
          <w:iCs/>
          <w:sz w:val="24"/>
          <w:szCs w:val="24"/>
        </w:rPr>
        <w:t xml:space="preserve"> theory, Wave-Function mechanics</w:t>
      </w:r>
    </w:p>
    <w:p w14:paraId="0B55011E" w14:textId="77777777" w:rsidR="002E7887" w:rsidRPr="002E7887" w:rsidRDefault="002E7887" w:rsidP="002E7887">
      <w:pPr>
        <w:spacing w:after="120" w:line="240" w:lineRule="auto"/>
        <w:ind w:left="567" w:right="543"/>
        <w:jc w:val="both"/>
        <w:rPr>
          <w:rFonts w:ascii="Arial" w:hAnsi="Arial" w:cs="Arial"/>
          <w:b/>
          <w:iCs/>
          <w:sz w:val="24"/>
          <w:szCs w:val="24"/>
        </w:rPr>
      </w:pPr>
      <w:r w:rsidRPr="002E7887">
        <w:rPr>
          <w:rFonts w:ascii="Arial" w:hAnsi="Arial" w:cs="Arial"/>
          <w:b/>
          <w:iCs/>
          <w:sz w:val="24"/>
          <w:szCs w:val="24"/>
        </w:rPr>
        <w:t>Simulation Codes:</w:t>
      </w:r>
    </w:p>
    <w:p w14:paraId="571897C4" w14:textId="77777777" w:rsidR="002E7887" w:rsidRPr="002E7887" w:rsidRDefault="002E7887" w:rsidP="002E7887">
      <w:pPr>
        <w:spacing w:after="120" w:line="240" w:lineRule="auto"/>
        <w:ind w:left="567" w:right="543"/>
        <w:jc w:val="both"/>
        <w:rPr>
          <w:rFonts w:ascii="Arial" w:hAnsi="Arial" w:cs="Arial"/>
          <w:iCs/>
          <w:sz w:val="24"/>
          <w:szCs w:val="24"/>
        </w:rPr>
      </w:pPr>
      <w:r w:rsidRPr="002E7887">
        <w:rPr>
          <w:rFonts w:ascii="Arial" w:hAnsi="Arial" w:cs="Arial"/>
          <w:iCs/>
          <w:sz w:val="24"/>
          <w:szCs w:val="24"/>
        </w:rPr>
        <w:t xml:space="preserve">Examples may include for example: DL_POLY, GULP (classical mechanics), Gaussian, </w:t>
      </w:r>
      <w:proofErr w:type="spellStart"/>
      <w:r w:rsidRPr="002E7887">
        <w:rPr>
          <w:rFonts w:ascii="Arial" w:hAnsi="Arial" w:cs="Arial"/>
          <w:iCs/>
          <w:sz w:val="24"/>
          <w:szCs w:val="24"/>
        </w:rPr>
        <w:t>Castep</w:t>
      </w:r>
      <w:proofErr w:type="spellEnd"/>
      <w:r w:rsidRPr="002E7887">
        <w:rPr>
          <w:rFonts w:ascii="Arial" w:hAnsi="Arial" w:cs="Arial"/>
          <w:iCs/>
          <w:sz w:val="24"/>
          <w:szCs w:val="24"/>
        </w:rPr>
        <w:t xml:space="preserve">, </w:t>
      </w:r>
      <w:proofErr w:type="spellStart"/>
      <w:r w:rsidRPr="002E7887">
        <w:rPr>
          <w:rFonts w:ascii="Arial" w:hAnsi="Arial" w:cs="Arial"/>
          <w:iCs/>
          <w:sz w:val="24"/>
          <w:szCs w:val="24"/>
        </w:rPr>
        <w:t>Dmol</w:t>
      </w:r>
      <w:proofErr w:type="spellEnd"/>
      <w:r w:rsidRPr="002E7887">
        <w:rPr>
          <w:rFonts w:ascii="Arial" w:hAnsi="Arial" w:cs="Arial"/>
          <w:iCs/>
          <w:sz w:val="24"/>
          <w:szCs w:val="24"/>
        </w:rPr>
        <w:t xml:space="preserve"> (quantum mechanics)</w:t>
      </w:r>
    </w:p>
    <w:p w14:paraId="71655300" w14:textId="77777777" w:rsidR="002E7887" w:rsidRPr="002E7887" w:rsidRDefault="002E7887" w:rsidP="002E7887">
      <w:pPr>
        <w:spacing w:after="120" w:line="240" w:lineRule="auto"/>
        <w:ind w:left="567" w:right="543"/>
        <w:jc w:val="both"/>
        <w:rPr>
          <w:rFonts w:ascii="Arial" w:hAnsi="Arial" w:cs="Arial"/>
          <w:iCs/>
          <w:sz w:val="24"/>
          <w:szCs w:val="24"/>
        </w:rPr>
      </w:pPr>
      <w:r w:rsidRPr="002E7887">
        <w:rPr>
          <w:rFonts w:ascii="Arial" w:hAnsi="Arial" w:cs="Arial"/>
          <w:iCs/>
          <w:sz w:val="24"/>
          <w:szCs w:val="24"/>
        </w:rPr>
        <w:t>The experiments will cover the use of computer modelling to explore the structure, properties, processes and applications of organic and inorganic materials. Typically, they might comprise:</w:t>
      </w:r>
    </w:p>
    <w:p w14:paraId="572E1F2F" w14:textId="75A3B2D9" w:rsidR="002E7887" w:rsidRPr="002E7887" w:rsidRDefault="002E7887" w:rsidP="002E7887">
      <w:pPr>
        <w:pStyle w:val="ListParagraph"/>
        <w:numPr>
          <w:ilvl w:val="0"/>
          <w:numId w:val="14"/>
        </w:numPr>
        <w:spacing w:after="120" w:line="240" w:lineRule="auto"/>
        <w:ind w:right="543"/>
        <w:jc w:val="both"/>
        <w:rPr>
          <w:rFonts w:ascii="Arial" w:hAnsi="Arial" w:cs="Arial"/>
          <w:iCs/>
          <w:sz w:val="24"/>
          <w:szCs w:val="24"/>
        </w:rPr>
      </w:pPr>
      <w:r w:rsidRPr="002E7887">
        <w:rPr>
          <w:rFonts w:ascii="Arial" w:hAnsi="Arial" w:cs="Arial"/>
          <w:iCs/>
          <w:sz w:val="24"/>
          <w:szCs w:val="24"/>
        </w:rPr>
        <w:t>Simulating the adsorption of molecules on surfaces (catalysis).</w:t>
      </w:r>
    </w:p>
    <w:p w14:paraId="1F6F3567" w14:textId="2FAE8634" w:rsidR="002E7887" w:rsidRPr="002E7887" w:rsidRDefault="002E7887" w:rsidP="002E7887">
      <w:pPr>
        <w:pStyle w:val="ListParagraph"/>
        <w:numPr>
          <w:ilvl w:val="0"/>
          <w:numId w:val="14"/>
        </w:numPr>
        <w:spacing w:after="120" w:line="240" w:lineRule="auto"/>
        <w:ind w:right="543"/>
        <w:jc w:val="both"/>
        <w:rPr>
          <w:rFonts w:ascii="Arial" w:hAnsi="Arial" w:cs="Arial"/>
          <w:iCs/>
          <w:sz w:val="24"/>
          <w:szCs w:val="24"/>
        </w:rPr>
      </w:pPr>
      <w:r w:rsidRPr="002E7887">
        <w:rPr>
          <w:rFonts w:ascii="Arial" w:hAnsi="Arial" w:cs="Arial"/>
          <w:iCs/>
          <w:sz w:val="24"/>
          <w:szCs w:val="24"/>
        </w:rPr>
        <w:t>Calculating the density of states and phonon modes of materials (band gap).</w:t>
      </w:r>
    </w:p>
    <w:p w14:paraId="08607668" w14:textId="45167075" w:rsidR="002E7887" w:rsidRPr="002E7887" w:rsidRDefault="002E7887" w:rsidP="002E7887">
      <w:pPr>
        <w:pStyle w:val="ListParagraph"/>
        <w:numPr>
          <w:ilvl w:val="0"/>
          <w:numId w:val="14"/>
        </w:numPr>
        <w:spacing w:after="120" w:line="240" w:lineRule="auto"/>
        <w:ind w:right="543"/>
        <w:jc w:val="both"/>
        <w:rPr>
          <w:rFonts w:ascii="Arial" w:hAnsi="Arial" w:cs="Arial"/>
          <w:iCs/>
          <w:sz w:val="24"/>
          <w:szCs w:val="24"/>
        </w:rPr>
      </w:pPr>
      <w:r w:rsidRPr="002E7887">
        <w:rPr>
          <w:rFonts w:ascii="Arial" w:hAnsi="Arial" w:cs="Arial"/>
          <w:iCs/>
          <w:sz w:val="24"/>
          <w:szCs w:val="24"/>
        </w:rPr>
        <w:t>Calculating activation energy barriers of a chemical reaction (organic chemistry).</w:t>
      </w:r>
    </w:p>
    <w:p w14:paraId="77AB19EB" w14:textId="138953B2" w:rsidR="002E7887" w:rsidRPr="002E7887" w:rsidRDefault="002E7887" w:rsidP="002E7887">
      <w:pPr>
        <w:pStyle w:val="ListParagraph"/>
        <w:numPr>
          <w:ilvl w:val="0"/>
          <w:numId w:val="14"/>
        </w:numPr>
        <w:spacing w:after="120" w:line="240" w:lineRule="auto"/>
        <w:ind w:right="543"/>
        <w:jc w:val="both"/>
        <w:rPr>
          <w:rFonts w:ascii="Arial" w:hAnsi="Arial" w:cs="Arial"/>
          <w:iCs/>
          <w:sz w:val="24"/>
          <w:szCs w:val="24"/>
        </w:rPr>
      </w:pPr>
      <w:r w:rsidRPr="002E7887">
        <w:rPr>
          <w:rFonts w:ascii="Arial" w:hAnsi="Arial" w:cs="Arial"/>
          <w:iCs/>
          <w:sz w:val="24"/>
          <w:szCs w:val="24"/>
        </w:rPr>
        <w:t>Simulating diffusion processes (fuel cells, battery materials).</w:t>
      </w:r>
    </w:p>
    <w:p w14:paraId="7A0E37AA" w14:textId="230C8C95" w:rsidR="002E7887" w:rsidRPr="002E7887" w:rsidRDefault="002E7887" w:rsidP="002E7887">
      <w:pPr>
        <w:pStyle w:val="ListParagraph"/>
        <w:numPr>
          <w:ilvl w:val="0"/>
          <w:numId w:val="14"/>
        </w:numPr>
        <w:spacing w:after="120" w:line="240" w:lineRule="auto"/>
        <w:ind w:right="543"/>
        <w:jc w:val="both"/>
        <w:rPr>
          <w:rFonts w:ascii="Arial" w:hAnsi="Arial" w:cs="Arial"/>
          <w:iCs/>
          <w:sz w:val="24"/>
          <w:szCs w:val="24"/>
        </w:rPr>
      </w:pPr>
      <w:r w:rsidRPr="002E7887">
        <w:rPr>
          <w:rFonts w:ascii="Arial" w:hAnsi="Arial" w:cs="Arial"/>
          <w:iCs/>
          <w:sz w:val="24"/>
          <w:szCs w:val="24"/>
        </w:rPr>
        <w:t>Simulating (hard, soft) systems at the mesoscale, such as surfactant-polymer interactions and architectures.</w:t>
      </w:r>
    </w:p>
    <w:p w14:paraId="0E7A7929" w14:textId="01359875" w:rsidR="002E7887" w:rsidRPr="002E7887" w:rsidRDefault="002E7887" w:rsidP="002E7887">
      <w:pPr>
        <w:pStyle w:val="ListParagraph"/>
        <w:numPr>
          <w:ilvl w:val="0"/>
          <w:numId w:val="14"/>
        </w:numPr>
        <w:spacing w:after="120" w:line="240" w:lineRule="auto"/>
        <w:ind w:right="543"/>
        <w:jc w:val="both"/>
        <w:rPr>
          <w:rFonts w:ascii="Arial" w:hAnsi="Arial" w:cs="Arial"/>
          <w:iCs/>
          <w:sz w:val="24"/>
          <w:szCs w:val="24"/>
        </w:rPr>
      </w:pPr>
      <w:r w:rsidRPr="002E7887">
        <w:rPr>
          <w:rFonts w:ascii="Arial" w:hAnsi="Arial" w:cs="Arial"/>
          <w:iCs/>
          <w:sz w:val="24"/>
          <w:szCs w:val="24"/>
        </w:rPr>
        <w:t>Quantitative Structure – Activity Relationship (QSAR) models; the application of descriptor calculations and statistical modelling to design new molecules.</w:t>
      </w:r>
    </w:p>
    <w:p w14:paraId="4D4809C5" w14:textId="2BCEDE1A" w:rsidR="002E7887" w:rsidRPr="002E7887" w:rsidRDefault="002E7887" w:rsidP="002E7887">
      <w:pPr>
        <w:pStyle w:val="ListParagraph"/>
        <w:numPr>
          <w:ilvl w:val="0"/>
          <w:numId w:val="14"/>
        </w:numPr>
        <w:spacing w:after="120" w:line="240" w:lineRule="auto"/>
        <w:ind w:right="543"/>
        <w:jc w:val="both"/>
        <w:rPr>
          <w:rFonts w:ascii="Arial" w:hAnsi="Arial" w:cs="Arial"/>
          <w:iCs/>
          <w:sz w:val="24"/>
          <w:szCs w:val="24"/>
        </w:rPr>
      </w:pPr>
      <w:r w:rsidRPr="002E7887">
        <w:rPr>
          <w:rFonts w:ascii="Arial" w:hAnsi="Arial" w:cs="Arial"/>
          <w:iCs/>
          <w:sz w:val="24"/>
          <w:szCs w:val="24"/>
        </w:rPr>
        <w:t>Machine Learning – intelligent computer-aided design of new materials.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lastRenderedPageBreak/>
        <w:t>Contact Hours</w:t>
      </w:r>
    </w:p>
    <w:p w14:paraId="1086FCCF" w14:textId="5D591879"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3A67D8">
        <w:rPr>
          <w:rFonts w:ascii="Arial" w:hAnsi="Arial" w:cs="Arial"/>
          <w:sz w:val="24"/>
          <w:szCs w:val="24"/>
        </w:rPr>
        <w:t>92</w:t>
      </w:r>
    </w:p>
    <w:p w14:paraId="3BE5E6D9" w14:textId="3E0CC7F4"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3A67D8">
        <w:rPr>
          <w:rFonts w:ascii="Arial" w:hAnsi="Arial" w:cs="Arial"/>
          <w:sz w:val="24"/>
          <w:szCs w:val="24"/>
        </w:rPr>
        <w:t>58</w:t>
      </w:r>
    </w:p>
    <w:p w14:paraId="035B9AB3" w14:textId="7F29FDDF"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2E7887">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0B5FA7FF" w:rsidR="0011295C" w:rsidRPr="00C63E31" w:rsidRDefault="003A67D8"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Computational Assessment</w:t>
      </w:r>
      <w:r w:rsidR="002E7887">
        <w:rPr>
          <w:rFonts w:ascii="Arial" w:hAnsi="Arial" w:cs="Arial"/>
          <w:iCs/>
          <w:sz w:val="24"/>
          <w:szCs w:val="24"/>
        </w:rPr>
        <w:t xml:space="preserve"> 1 (3,000 words) – 20%</w:t>
      </w:r>
    </w:p>
    <w:p w14:paraId="00116B74" w14:textId="6FBC98A2" w:rsidR="0011295C" w:rsidRPr="00C63E31" w:rsidRDefault="003A67D8"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Computational Assessment</w:t>
      </w:r>
      <w:r w:rsidR="002E7887">
        <w:rPr>
          <w:rFonts w:ascii="Arial" w:hAnsi="Arial" w:cs="Arial"/>
          <w:iCs/>
          <w:sz w:val="24"/>
          <w:szCs w:val="24"/>
        </w:rPr>
        <w:t xml:space="preserve"> 2 (3,000 words) – 20%</w:t>
      </w:r>
    </w:p>
    <w:p w14:paraId="3753E6C1" w14:textId="31386521" w:rsidR="0011295C" w:rsidRDefault="002E7887"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Poster – 10%</w:t>
      </w:r>
    </w:p>
    <w:p w14:paraId="0F2D7E65" w14:textId="4AE5E4E7" w:rsidR="002E7887" w:rsidRPr="00C63E31" w:rsidRDefault="002E7887"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 (3 hours) – 50%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34CEB109" w:rsidR="008D4447" w:rsidRPr="001B433B" w:rsidRDefault="008C48EC"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166"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gridCol w:w="567"/>
        <w:gridCol w:w="567"/>
      </w:tblGrid>
      <w:tr w:rsidR="008C48EC" w:rsidRPr="009D52D0" w14:paraId="5413EC92" w14:textId="205D2854" w:rsidTr="008C48EC">
        <w:trPr>
          <w:cantSplit/>
          <w:tblHeader/>
        </w:trPr>
        <w:tc>
          <w:tcPr>
            <w:tcW w:w="2362" w:type="dxa"/>
            <w:shd w:val="clear" w:color="auto" w:fill="D9D9D9" w:themeFill="background1" w:themeFillShade="D9"/>
          </w:tcPr>
          <w:p w14:paraId="140365DD" w14:textId="77777777" w:rsidR="008C48EC" w:rsidRPr="009D52D0" w:rsidRDefault="008C48EC"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8C48EC" w:rsidRPr="009D52D0" w:rsidRDefault="008C48EC"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8C48EC" w:rsidRPr="009D52D0" w:rsidRDefault="008C48EC"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8C48EC" w:rsidRPr="009D52D0" w:rsidRDefault="008C48EC"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8C48EC" w:rsidRPr="009D52D0" w:rsidRDefault="008C48EC"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8C48EC" w:rsidRPr="009D52D0" w:rsidRDefault="008C48EC"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7FCD6C69" w14:textId="5575F40F" w:rsidR="008C48EC" w:rsidRPr="009D52D0" w:rsidRDefault="008C48EC" w:rsidP="004F0496">
            <w:pPr>
              <w:spacing w:after="120"/>
              <w:ind w:right="543"/>
              <w:rPr>
                <w:rFonts w:ascii="Arial" w:hAnsi="Arial" w:cs="Arial"/>
                <w:sz w:val="20"/>
                <w:szCs w:val="20"/>
              </w:rPr>
            </w:pPr>
            <w:r>
              <w:rPr>
                <w:rFonts w:ascii="Arial" w:hAnsi="Arial" w:cs="Arial"/>
                <w:sz w:val="20"/>
                <w:szCs w:val="20"/>
              </w:rPr>
              <w:t>8.6</w:t>
            </w:r>
          </w:p>
        </w:tc>
        <w:tc>
          <w:tcPr>
            <w:tcW w:w="567" w:type="dxa"/>
          </w:tcPr>
          <w:p w14:paraId="4FD5AFEA" w14:textId="73C33A9F" w:rsidR="008C48EC" w:rsidRPr="009D52D0" w:rsidRDefault="008C48EC" w:rsidP="004F0496">
            <w:pPr>
              <w:spacing w:after="120"/>
              <w:ind w:right="543"/>
              <w:rPr>
                <w:rFonts w:ascii="Arial" w:hAnsi="Arial" w:cs="Arial"/>
                <w:sz w:val="20"/>
                <w:szCs w:val="20"/>
              </w:rPr>
            </w:pPr>
            <w:r>
              <w:rPr>
                <w:rFonts w:ascii="Arial" w:hAnsi="Arial" w:cs="Arial"/>
                <w:sz w:val="20"/>
                <w:szCs w:val="20"/>
              </w:rPr>
              <w:t>8.7</w:t>
            </w:r>
          </w:p>
        </w:tc>
        <w:tc>
          <w:tcPr>
            <w:tcW w:w="567" w:type="dxa"/>
          </w:tcPr>
          <w:p w14:paraId="3B577D4A" w14:textId="7C4DCD9B" w:rsidR="008C48EC" w:rsidRPr="009D52D0" w:rsidRDefault="008C48EC"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8C48EC" w:rsidRPr="009D52D0" w:rsidRDefault="008C48EC"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8C48EC" w:rsidRPr="009D52D0" w:rsidRDefault="008C48EC"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AB6CD68" w14:textId="323F4F76" w:rsidR="008C48EC" w:rsidRPr="009D52D0" w:rsidRDefault="008C48EC" w:rsidP="004F0496">
            <w:pPr>
              <w:spacing w:after="120"/>
              <w:ind w:right="543"/>
              <w:rPr>
                <w:rFonts w:ascii="Arial" w:hAnsi="Arial" w:cs="Arial"/>
                <w:sz w:val="20"/>
                <w:szCs w:val="20"/>
              </w:rPr>
            </w:pPr>
            <w:r>
              <w:rPr>
                <w:rFonts w:ascii="Arial" w:hAnsi="Arial" w:cs="Arial"/>
                <w:sz w:val="20"/>
                <w:szCs w:val="20"/>
              </w:rPr>
              <w:t>9.4</w:t>
            </w:r>
          </w:p>
        </w:tc>
        <w:tc>
          <w:tcPr>
            <w:tcW w:w="567" w:type="dxa"/>
          </w:tcPr>
          <w:p w14:paraId="30E0EF11" w14:textId="0A09DD1F" w:rsidR="008C48EC" w:rsidRPr="009D52D0" w:rsidRDefault="008C48EC" w:rsidP="004F0496">
            <w:pPr>
              <w:spacing w:after="120"/>
              <w:ind w:right="543"/>
              <w:rPr>
                <w:rFonts w:ascii="Arial" w:hAnsi="Arial" w:cs="Arial"/>
                <w:sz w:val="20"/>
                <w:szCs w:val="20"/>
              </w:rPr>
            </w:pPr>
            <w:r>
              <w:rPr>
                <w:rFonts w:ascii="Arial" w:hAnsi="Arial" w:cs="Arial"/>
                <w:sz w:val="20"/>
                <w:szCs w:val="20"/>
              </w:rPr>
              <w:t>9.5</w:t>
            </w:r>
          </w:p>
        </w:tc>
      </w:tr>
      <w:tr w:rsidR="008C48EC" w:rsidRPr="009D52D0" w14:paraId="780DC4A5" w14:textId="40401CC4" w:rsidTr="008C48EC">
        <w:tc>
          <w:tcPr>
            <w:tcW w:w="2362" w:type="dxa"/>
          </w:tcPr>
          <w:p w14:paraId="16F79E00" w14:textId="7B79A2AD" w:rsidR="008C48EC" w:rsidRPr="0011295C" w:rsidRDefault="008C48EC"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369A77B5" w:rsidR="008C48EC" w:rsidRPr="009D52D0" w:rsidRDefault="008C48E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5D414E0F" w:rsidR="008C48EC" w:rsidRPr="009D52D0" w:rsidRDefault="008C48E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181DA2DE" w:rsidR="008C48EC" w:rsidRPr="009D52D0" w:rsidRDefault="008C48E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096EAA0" w:rsidR="008C48EC" w:rsidRPr="009D52D0" w:rsidRDefault="008C48E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26400FD1" w:rsidR="008C48EC" w:rsidRPr="009D52D0" w:rsidRDefault="008C48EC" w:rsidP="004F0496">
            <w:pPr>
              <w:spacing w:after="120"/>
              <w:ind w:right="543"/>
              <w:rPr>
                <w:rFonts w:ascii="Arial" w:hAnsi="Arial" w:cs="Arial"/>
                <w:b/>
                <w:sz w:val="20"/>
                <w:szCs w:val="20"/>
              </w:rPr>
            </w:pPr>
          </w:p>
        </w:tc>
        <w:tc>
          <w:tcPr>
            <w:tcW w:w="567" w:type="dxa"/>
          </w:tcPr>
          <w:p w14:paraId="4C7E2B41" w14:textId="1D93A2B7" w:rsidR="008C48EC" w:rsidRPr="009D52D0" w:rsidRDefault="008C48E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AB23ADA" w14:textId="7E6D7BE9" w:rsidR="008C48EC" w:rsidRPr="009D52D0" w:rsidRDefault="008C48EC" w:rsidP="004F0496">
            <w:pPr>
              <w:spacing w:after="120"/>
              <w:ind w:right="543"/>
              <w:rPr>
                <w:rFonts w:ascii="Arial" w:hAnsi="Arial" w:cs="Arial"/>
                <w:b/>
                <w:sz w:val="20"/>
                <w:szCs w:val="20"/>
              </w:rPr>
            </w:pPr>
          </w:p>
        </w:tc>
        <w:tc>
          <w:tcPr>
            <w:tcW w:w="567" w:type="dxa"/>
          </w:tcPr>
          <w:p w14:paraId="2A716802" w14:textId="53CA808B" w:rsidR="008C48EC" w:rsidRPr="009D52D0" w:rsidRDefault="008C48EC" w:rsidP="004F0496">
            <w:pPr>
              <w:spacing w:after="120"/>
              <w:ind w:right="543"/>
              <w:rPr>
                <w:rFonts w:ascii="Arial" w:hAnsi="Arial" w:cs="Arial"/>
                <w:b/>
                <w:sz w:val="20"/>
                <w:szCs w:val="20"/>
              </w:rPr>
            </w:pPr>
          </w:p>
        </w:tc>
        <w:tc>
          <w:tcPr>
            <w:tcW w:w="567" w:type="dxa"/>
          </w:tcPr>
          <w:p w14:paraId="5BAFD1A4" w14:textId="269A646E" w:rsidR="008C48EC" w:rsidRPr="009D52D0" w:rsidRDefault="008C48EC" w:rsidP="004F0496">
            <w:pPr>
              <w:spacing w:after="120"/>
              <w:ind w:right="543"/>
              <w:rPr>
                <w:rFonts w:ascii="Arial" w:hAnsi="Arial" w:cs="Arial"/>
                <w:b/>
                <w:sz w:val="20"/>
                <w:szCs w:val="20"/>
              </w:rPr>
            </w:pPr>
          </w:p>
        </w:tc>
        <w:tc>
          <w:tcPr>
            <w:tcW w:w="567" w:type="dxa"/>
          </w:tcPr>
          <w:p w14:paraId="030A7445" w14:textId="7B4D0BE0" w:rsidR="008C48EC" w:rsidRPr="009D52D0" w:rsidRDefault="008C48E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F48C822" w14:textId="397766D3" w:rsidR="008C48EC" w:rsidRPr="009D52D0" w:rsidRDefault="008C48EC" w:rsidP="004F0496">
            <w:pPr>
              <w:spacing w:after="120"/>
              <w:ind w:right="543"/>
              <w:rPr>
                <w:rFonts w:ascii="Arial" w:hAnsi="Arial" w:cs="Arial"/>
                <w:b/>
                <w:sz w:val="20"/>
                <w:szCs w:val="20"/>
              </w:rPr>
            </w:pPr>
          </w:p>
        </w:tc>
        <w:tc>
          <w:tcPr>
            <w:tcW w:w="567" w:type="dxa"/>
          </w:tcPr>
          <w:p w14:paraId="769C70E1" w14:textId="1BD30373" w:rsidR="008C48EC" w:rsidRPr="009D52D0" w:rsidRDefault="008C48EC" w:rsidP="004F0496">
            <w:pPr>
              <w:spacing w:after="120"/>
              <w:ind w:right="543"/>
              <w:rPr>
                <w:rFonts w:ascii="Arial" w:hAnsi="Arial" w:cs="Arial"/>
                <w:b/>
                <w:sz w:val="20"/>
                <w:szCs w:val="20"/>
              </w:rPr>
            </w:pPr>
          </w:p>
        </w:tc>
      </w:tr>
      <w:tr w:rsidR="008C48EC" w:rsidRPr="009D52D0" w14:paraId="5C50A519" w14:textId="6AA3543B" w:rsidTr="008C48EC">
        <w:tc>
          <w:tcPr>
            <w:tcW w:w="2362" w:type="dxa"/>
          </w:tcPr>
          <w:p w14:paraId="433DE3A7" w14:textId="64137BDD" w:rsidR="008C48EC" w:rsidRPr="0011295C" w:rsidRDefault="008C48EC" w:rsidP="004F0496">
            <w:pPr>
              <w:spacing w:after="120"/>
              <w:ind w:right="543"/>
              <w:rPr>
                <w:rFonts w:ascii="Arial" w:hAnsi="Arial" w:cs="Arial"/>
                <w:sz w:val="20"/>
                <w:szCs w:val="20"/>
              </w:rPr>
            </w:pPr>
            <w:r>
              <w:rPr>
                <w:rFonts w:ascii="Arial" w:hAnsi="Arial" w:cs="Arial"/>
                <w:sz w:val="20"/>
                <w:szCs w:val="20"/>
              </w:rPr>
              <w:t>Lecture</w:t>
            </w:r>
          </w:p>
        </w:tc>
        <w:tc>
          <w:tcPr>
            <w:tcW w:w="567" w:type="dxa"/>
          </w:tcPr>
          <w:p w14:paraId="3853654B" w14:textId="017F9A06" w:rsidR="008C48EC" w:rsidRPr="009D52D0" w:rsidRDefault="008C48E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5874DA93" w:rsidR="008C48EC" w:rsidRPr="009D52D0" w:rsidRDefault="008C48E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30D6001D" w:rsidR="008C48EC" w:rsidRPr="009D52D0" w:rsidRDefault="008C48E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4B029877" w:rsidR="008C48EC" w:rsidRPr="009D52D0" w:rsidRDefault="008C48E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49DFC57F" w:rsidR="008C48EC" w:rsidRPr="009D52D0" w:rsidRDefault="008C48EC" w:rsidP="004F0496">
            <w:pPr>
              <w:spacing w:after="120"/>
              <w:ind w:right="543"/>
              <w:rPr>
                <w:rFonts w:ascii="Arial" w:hAnsi="Arial" w:cs="Arial"/>
                <w:b/>
                <w:sz w:val="20"/>
                <w:szCs w:val="20"/>
              </w:rPr>
            </w:pPr>
          </w:p>
        </w:tc>
        <w:tc>
          <w:tcPr>
            <w:tcW w:w="567" w:type="dxa"/>
          </w:tcPr>
          <w:p w14:paraId="18775BB3" w14:textId="29C2A548" w:rsidR="008C48EC" w:rsidRPr="009D52D0" w:rsidRDefault="008C48E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8098024" w14:textId="77777777" w:rsidR="008C48EC" w:rsidRPr="009D52D0" w:rsidRDefault="008C48EC" w:rsidP="004F0496">
            <w:pPr>
              <w:spacing w:after="120"/>
              <w:ind w:right="543"/>
              <w:rPr>
                <w:rFonts w:ascii="Arial" w:hAnsi="Arial" w:cs="Arial"/>
                <w:b/>
                <w:sz w:val="20"/>
                <w:szCs w:val="20"/>
              </w:rPr>
            </w:pPr>
          </w:p>
        </w:tc>
        <w:tc>
          <w:tcPr>
            <w:tcW w:w="567" w:type="dxa"/>
          </w:tcPr>
          <w:p w14:paraId="2AE9F109" w14:textId="0DE93C55" w:rsidR="008C48EC" w:rsidRPr="009D52D0" w:rsidRDefault="008C48E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3A64C16B" w:rsidR="008C48EC" w:rsidRPr="009D52D0" w:rsidRDefault="008C48EC" w:rsidP="004F0496">
            <w:pPr>
              <w:spacing w:after="120"/>
              <w:ind w:right="543"/>
              <w:rPr>
                <w:rFonts w:ascii="Arial" w:hAnsi="Arial" w:cs="Arial"/>
                <w:b/>
                <w:sz w:val="20"/>
                <w:szCs w:val="20"/>
              </w:rPr>
            </w:pPr>
          </w:p>
        </w:tc>
        <w:tc>
          <w:tcPr>
            <w:tcW w:w="567" w:type="dxa"/>
          </w:tcPr>
          <w:p w14:paraId="3DAC9A4A" w14:textId="7944E300" w:rsidR="008C48EC" w:rsidRPr="009D52D0" w:rsidRDefault="008C48EC" w:rsidP="004F0496">
            <w:pPr>
              <w:spacing w:after="120"/>
              <w:ind w:right="543"/>
              <w:rPr>
                <w:rFonts w:ascii="Arial" w:hAnsi="Arial" w:cs="Arial"/>
                <w:b/>
                <w:sz w:val="20"/>
                <w:szCs w:val="20"/>
              </w:rPr>
            </w:pPr>
          </w:p>
        </w:tc>
        <w:tc>
          <w:tcPr>
            <w:tcW w:w="567" w:type="dxa"/>
          </w:tcPr>
          <w:p w14:paraId="2BEDD705" w14:textId="77777777" w:rsidR="008C48EC" w:rsidRPr="009D52D0" w:rsidRDefault="008C48EC" w:rsidP="004F0496">
            <w:pPr>
              <w:spacing w:after="120"/>
              <w:ind w:right="543"/>
              <w:rPr>
                <w:rFonts w:ascii="Arial" w:hAnsi="Arial" w:cs="Arial"/>
                <w:b/>
                <w:sz w:val="20"/>
                <w:szCs w:val="20"/>
              </w:rPr>
            </w:pPr>
          </w:p>
        </w:tc>
        <w:tc>
          <w:tcPr>
            <w:tcW w:w="567" w:type="dxa"/>
          </w:tcPr>
          <w:p w14:paraId="16E35C3D" w14:textId="77777777" w:rsidR="008C48EC" w:rsidRPr="009D52D0" w:rsidRDefault="008C48EC" w:rsidP="004F0496">
            <w:pPr>
              <w:spacing w:after="120"/>
              <w:ind w:right="543"/>
              <w:rPr>
                <w:rFonts w:ascii="Arial" w:hAnsi="Arial" w:cs="Arial"/>
                <w:b/>
                <w:sz w:val="20"/>
                <w:szCs w:val="20"/>
              </w:rPr>
            </w:pPr>
          </w:p>
        </w:tc>
      </w:tr>
      <w:tr w:rsidR="008C48EC" w:rsidRPr="009D52D0" w14:paraId="460BDA99" w14:textId="2B564CDB" w:rsidTr="008C48EC">
        <w:tc>
          <w:tcPr>
            <w:tcW w:w="2362" w:type="dxa"/>
          </w:tcPr>
          <w:p w14:paraId="1CDAA785" w14:textId="455D7856" w:rsidR="008C48EC" w:rsidRPr="0011295C" w:rsidRDefault="008C48EC" w:rsidP="004F0496">
            <w:pPr>
              <w:spacing w:after="120"/>
              <w:ind w:right="543"/>
              <w:rPr>
                <w:rFonts w:ascii="Arial" w:hAnsi="Arial" w:cs="Arial"/>
                <w:sz w:val="20"/>
                <w:szCs w:val="20"/>
              </w:rPr>
            </w:pPr>
            <w:r>
              <w:rPr>
                <w:rFonts w:ascii="Arial" w:hAnsi="Arial" w:cs="Arial"/>
                <w:sz w:val="20"/>
                <w:szCs w:val="20"/>
              </w:rPr>
              <w:t>Laboratory</w:t>
            </w:r>
          </w:p>
        </w:tc>
        <w:tc>
          <w:tcPr>
            <w:tcW w:w="567" w:type="dxa"/>
          </w:tcPr>
          <w:p w14:paraId="0B596153" w14:textId="283FCD2E" w:rsidR="008C48EC" w:rsidRPr="009D52D0" w:rsidRDefault="008C48E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440E2D91" w:rsidR="008C48EC" w:rsidRPr="009D52D0" w:rsidRDefault="008C48E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324BE53E" w:rsidR="008C48EC" w:rsidRPr="009D52D0" w:rsidRDefault="008C48E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4CC32F64" w:rsidR="008C48EC" w:rsidRPr="009D52D0" w:rsidRDefault="008C48E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7197C80F" w:rsidR="008C48EC" w:rsidRPr="009D52D0" w:rsidRDefault="008C48E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2D47E8B" w14:textId="086D98A7" w:rsidR="008C48EC" w:rsidRPr="009D52D0" w:rsidRDefault="008C48E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51D3B87" w14:textId="57B7C092" w:rsidR="008C48EC" w:rsidRPr="009D52D0" w:rsidRDefault="008C48E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6F85A524" w:rsidR="008C48EC" w:rsidRPr="009D52D0" w:rsidRDefault="008C48EC" w:rsidP="004F0496">
            <w:pPr>
              <w:spacing w:after="120"/>
              <w:ind w:right="543"/>
              <w:rPr>
                <w:rFonts w:ascii="Arial" w:hAnsi="Arial" w:cs="Arial"/>
                <w:b/>
                <w:sz w:val="20"/>
                <w:szCs w:val="20"/>
              </w:rPr>
            </w:pPr>
          </w:p>
        </w:tc>
        <w:tc>
          <w:tcPr>
            <w:tcW w:w="567" w:type="dxa"/>
          </w:tcPr>
          <w:p w14:paraId="2D2FDCA3" w14:textId="13C22A2A" w:rsidR="008C48EC" w:rsidRPr="009D52D0" w:rsidRDefault="008C48E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269B98CA" w:rsidR="008C48EC" w:rsidRPr="009D52D0" w:rsidRDefault="008C48E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84CB5D" w14:textId="48F9DA01" w:rsidR="008C48EC" w:rsidRPr="009D52D0" w:rsidRDefault="008C48E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8CF25FB" w14:textId="17E65FA7" w:rsidR="008C48EC" w:rsidRPr="009D52D0" w:rsidRDefault="008C48EC"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9166"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gridCol w:w="567"/>
        <w:gridCol w:w="567"/>
      </w:tblGrid>
      <w:tr w:rsidR="008C48EC" w:rsidRPr="009D52D0" w14:paraId="45831F44" w14:textId="77777777" w:rsidTr="00495E32">
        <w:trPr>
          <w:cantSplit/>
          <w:tblHeader/>
        </w:trPr>
        <w:tc>
          <w:tcPr>
            <w:tcW w:w="2362" w:type="dxa"/>
            <w:shd w:val="clear" w:color="auto" w:fill="D9D9D9" w:themeFill="background1" w:themeFillShade="D9"/>
          </w:tcPr>
          <w:p w14:paraId="74875934" w14:textId="77777777" w:rsidR="008C48EC" w:rsidRPr="009D52D0" w:rsidRDefault="008C48EC" w:rsidP="00495E32">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077607D2" w14:textId="77777777" w:rsidR="008C48EC" w:rsidRPr="009D52D0" w:rsidRDefault="008C48EC" w:rsidP="00495E32">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616B45E" w14:textId="77777777" w:rsidR="008C48EC" w:rsidRPr="009D52D0" w:rsidRDefault="008C48EC" w:rsidP="00495E32">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40125304" w14:textId="77777777" w:rsidR="008C48EC" w:rsidRPr="009D52D0" w:rsidRDefault="008C48EC" w:rsidP="00495E32">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1A078444" w14:textId="77777777" w:rsidR="008C48EC" w:rsidRPr="009D52D0" w:rsidRDefault="008C48EC" w:rsidP="00495E32">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D69E6F1" w14:textId="77777777" w:rsidR="008C48EC" w:rsidRPr="009D52D0" w:rsidRDefault="008C48EC" w:rsidP="00495E32">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52CD74E8" w14:textId="77777777" w:rsidR="008C48EC" w:rsidRPr="009D52D0" w:rsidRDefault="008C48EC" w:rsidP="00495E32">
            <w:pPr>
              <w:spacing w:after="120"/>
              <w:ind w:right="543"/>
              <w:rPr>
                <w:rFonts w:ascii="Arial" w:hAnsi="Arial" w:cs="Arial"/>
                <w:sz w:val="20"/>
                <w:szCs w:val="20"/>
              </w:rPr>
            </w:pPr>
            <w:r>
              <w:rPr>
                <w:rFonts w:ascii="Arial" w:hAnsi="Arial" w:cs="Arial"/>
                <w:sz w:val="20"/>
                <w:szCs w:val="20"/>
              </w:rPr>
              <w:t>8.6</w:t>
            </w:r>
          </w:p>
        </w:tc>
        <w:tc>
          <w:tcPr>
            <w:tcW w:w="567" w:type="dxa"/>
          </w:tcPr>
          <w:p w14:paraId="2F0ABB74" w14:textId="77777777" w:rsidR="008C48EC" w:rsidRPr="009D52D0" w:rsidRDefault="008C48EC" w:rsidP="00495E32">
            <w:pPr>
              <w:spacing w:after="120"/>
              <w:ind w:right="543"/>
              <w:rPr>
                <w:rFonts w:ascii="Arial" w:hAnsi="Arial" w:cs="Arial"/>
                <w:sz w:val="20"/>
                <w:szCs w:val="20"/>
              </w:rPr>
            </w:pPr>
            <w:r>
              <w:rPr>
                <w:rFonts w:ascii="Arial" w:hAnsi="Arial" w:cs="Arial"/>
                <w:sz w:val="20"/>
                <w:szCs w:val="20"/>
              </w:rPr>
              <w:t>8.7</w:t>
            </w:r>
          </w:p>
        </w:tc>
        <w:tc>
          <w:tcPr>
            <w:tcW w:w="567" w:type="dxa"/>
          </w:tcPr>
          <w:p w14:paraId="49C61C71" w14:textId="77777777" w:rsidR="008C48EC" w:rsidRPr="009D52D0" w:rsidRDefault="008C48EC" w:rsidP="00495E32">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03E09F2" w14:textId="77777777" w:rsidR="008C48EC" w:rsidRPr="009D52D0" w:rsidRDefault="008C48EC" w:rsidP="00495E32">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77105C28" w14:textId="77777777" w:rsidR="008C48EC" w:rsidRPr="009D52D0" w:rsidRDefault="008C48EC" w:rsidP="00495E32">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49AC632A" w14:textId="77777777" w:rsidR="008C48EC" w:rsidRPr="009D52D0" w:rsidRDefault="008C48EC" w:rsidP="00495E32">
            <w:pPr>
              <w:spacing w:after="120"/>
              <w:ind w:right="543"/>
              <w:rPr>
                <w:rFonts w:ascii="Arial" w:hAnsi="Arial" w:cs="Arial"/>
                <w:sz w:val="20"/>
                <w:szCs w:val="20"/>
              </w:rPr>
            </w:pPr>
            <w:r>
              <w:rPr>
                <w:rFonts w:ascii="Arial" w:hAnsi="Arial" w:cs="Arial"/>
                <w:sz w:val="20"/>
                <w:szCs w:val="20"/>
              </w:rPr>
              <w:t>9.4</w:t>
            </w:r>
          </w:p>
        </w:tc>
        <w:tc>
          <w:tcPr>
            <w:tcW w:w="567" w:type="dxa"/>
          </w:tcPr>
          <w:p w14:paraId="75652D2D" w14:textId="77777777" w:rsidR="008C48EC" w:rsidRPr="009D52D0" w:rsidRDefault="008C48EC" w:rsidP="00495E32">
            <w:pPr>
              <w:spacing w:after="120"/>
              <w:ind w:right="543"/>
              <w:rPr>
                <w:rFonts w:ascii="Arial" w:hAnsi="Arial" w:cs="Arial"/>
                <w:sz w:val="20"/>
                <w:szCs w:val="20"/>
              </w:rPr>
            </w:pPr>
            <w:r>
              <w:rPr>
                <w:rFonts w:ascii="Arial" w:hAnsi="Arial" w:cs="Arial"/>
                <w:sz w:val="20"/>
                <w:szCs w:val="20"/>
              </w:rPr>
              <w:t>9.5</w:t>
            </w:r>
          </w:p>
        </w:tc>
      </w:tr>
      <w:tr w:rsidR="008C48EC" w:rsidRPr="009D52D0" w14:paraId="3EA5487E" w14:textId="77777777" w:rsidTr="00495E32">
        <w:tc>
          <w:tcPr>
            <w:tcW w:w="2362" w:type="dxa"/>
          </w:tcPr>
          <w:p w14:paraId="525360B9" w14:textId="5B8C7A94" w:rsidR="008C48EC" w:rsidRPr="0011295C" w:rsidRDefault="003A67D8" w:rsidP="003A67D8">
            <w:pPr>
              <w:spacing w:after="120"/>
              <w:rPr>
                <w:rFonts w:ascii="Arial" w:hAnsi="Arial" w:cs="Arial"/>
                <w:sz w:val="20"/>
                <w:szCs w:val="20"/>
              </w:rPr>
            </w:pPr>
            <w:r>
              <w:rPr>
                <w:rFonts w:ascii="Arial" w:hAnsi="Arial" w:cs="Arial"/>
                <w:sz w:val="20"/>
                <w:szCs w:val="20"/>
              </w:rPr>
              <w:t>Computational Assessments</w:t>
            </w:r>
          </w:p>
        </w:tc>
        <w:tc>
          <w:tcPr>
            <w:tcW w:w="567" w:type="dxa"/>
          </w:tcPr>
          <w:p w14:paraId="63B27E0F" w14:textId="669B610D" w:rsidR="008C48EC" w:rsidRPr="009D52D0" w:rsidRDefault="008C48EC" w:rsidP="00495E32">
            <w:pPr>
              <w:spacing w:after="120"/>
              <w:ind w:right="543"/>
              <w:rPr>
                <w:rFonts w:ascii="Arial" w:hAnsi="Arial" w:cs="Arial"/>
                <w:b/>
                <w:sz w:val="20"/>
                <w:szCs w:val="20"/>
              </w:rPr>
            </w:pPr>
            <w:r>
              <w:rPr>
                <w:rFonts w:ascii="Arial" w:hAnsi="Arial" w:cs="Arial"/>
                <w:b/>
                <w:sz w:val="20"/>
                <w:szCs w:val="20"/>
              </w:rPr>
              <w:t>x</w:t>
            </w:r>
          </w:p>
        </w:tc>
        <w:tc>
          <w:tcPr>
            <w:tcW w:w="567" w:type="dxa"/>
          </w:tcPr>
          <w:p w14:paraId="519AF205" w14:textId="66AAAADB" w:rsidR="008C48EC" w:rsidRPr="009D52D0" w:rsidRDefault="008C48EC" w:rsidP="00495E32">
            <w:pPr>
              <w:spacing w:after="120"/>
              <w:ind w:right="543"/>
              <w:rPr>
                <w:rFonts w:ascii="Arial" w:hAnsi="Arial" w:cs="Arial"/>
                <w:b/>
                <w:sz w:val="20"/>
                <w:szCs w:val="20"/>
              </w:rPr>
            </w:pPr>
            <w:r>
              <w:rPr>
                <w:rFonts w:ascii="Arial" w:hAnsi="Arial" w:cs="Arial"/>
                <w:b/>
                <w:sz w:val="20"/>
                <w:szCs w:val="20"/>
              </w:rPr>
              <w:t>x</w:t>
            </w:r>
          </w:p>
        </w:tc>
        <w:tc>
          <w:tcPr>
            <w:tcW w:w="567" w:type="dxa"/>
          </w:tcPr>
          <w:p w14:paraId="40438B39" w14:textId="404BB9D1" w:rsidR="008C48EC" w:rsidRPr="009D52D0" w:rsidRDefault="008C48EC" w:rsidP="00495E32">
            <w:pPr>
              <w:spacing w:after="120"/>
              <w:ind w:right="543"/>
              <w:rPr>
                <w:rFonts w:ascii="Arial" w:hAnsi="Arial" w:cs="Arial"/>
                <w:b/>
                <w:sz w:val="20"/>
                <w:szCs w:val="20"/>
              </w:rPr>
            </w:pPr>
            <w:r>
              <w:rPr>
                <w:rFonts w:ascii="Arial" w:hAnsi="Arial" w:cs="Arial"/>
                <w:b/>
                <w:sz w:val="20"/>
                <w:szCs w:val="20"/>
              </w:rPr>
              <w:t>x</w:t>
            </w:r>
          </w:p>
        </w:tc>
        <w:tc>
          <w:tcPr>
            <w:tcW w:w="567" w:type="dxa"/>
          </w:tcPr>
          <w:p w14:paraId="7A40E8A3" w14:textId="3752EB86" w:rsidR="008C48EC" w:rsidRPr="009D52D0" w:rsidRDefault="008C48EC" w:rsidP="00495E32">
            <w:pPr>
              <w:spacing w:after="120"/>
              <w:ind w:right="543"/>
              <w:rPr>
                <w:rFonts w:ascii="Arial" w:hAnsi="Arial" w:cs="Arial"/>
                <w:b/>
                <w:sz w:val="20"/>
                <w:szCs w:val="20"/>
              </w:rPr>
            </w:pPr>
            <w:r>
              <w:rPr>
                <w:rFonts w:ascii="Arial" w:hAnsi="Arial" w:cs="Arial"/>
                <w:b/>
                <w:sz w:val="20"/>
                <w:szCs w:val="20"/>
              </w:rPr>
              <w:t>x</w:t>
            </w:r>
          </w:p>
        </w:tc>
        <w:tc>
          <w:tcPr>
            <w:tcW w:w="567" w:type="dxa"/>
          </w:tcPr>
          <w:p w14:paraId="2729BABD" w14:textId="24400C92" w:rsidR="008C48EC" w:rsidRPr="009D52D0" w:rsidRDefault="008C48EC" w:rsidP="00495E32">
            <w:pPr>
              <w:spacing w:after="120"/>
              <w:ind w:right="543"/>
              <w:rPr>
                <w:rFonts w:ascii="Arial" w:hAnsi="Arial" w:cs="Arial"/>
                <w:b/>
                <w:sz w:val="20"/>
                <w:szCs w:val="20"/>
              </w:rPr>
            </w:pPr>
            <w:r>
              <w:rPr>
                <w:rFonts w:ascii="Arial" w:hAnsi="Arial" w:cs="Arial"/>
                <w:b/>
                <w:sz w:val="20"/>
                <w:szCs w:val="20"/>
              </w:rPr>
              <w:t>x</w:t>
            </w:r>
          </w:p>
        </w:tc>
        <w:tc>
          <w:tcPr>
            <w:tcW w:w="567" w:type="dxa"/>
          </w:tcPr>
          <w:p w14:paraId="06EDB284" w14:textId="23232148" w:rsidR="008C48EC" w:rsidRPr="009D52D0" w:rsidRDefault="008C48EC" w:rsidP="00495E32">
            <w:pPr>
              <w:spacing w:after="120"/>
              <w:ind w:right="543"/>
              <w:rPr>
                <w:rFonts w:ascii="Arial" w:hAnsi="Arial" w:cs="Arial"/>
                <w:b/>
                <w:sz w:val="20"/>
                <w:szCs w:val="20"/>
              </w:rPr>
            </w:pPr>
            <w:r>
              <w:rPr>
                <w:rFonts w:ascii="Arial" w:hAnsi="Arial" w:cs="Arial"/>
                <w:b/>
                <w:sz w:val="20"/>
                <w:szCs w:val="20"/>
              </w:rPr>
              <w:t>x</w:t>
            </w:r>
          </w:p>
        </w:tc>
        <w:tc>
          <w:tcPr>
            <w:tcW w:w="567" w:type="dxa"/>
          </w:tcPr>
          <w:p w14:paraId="67E61ADD" w14:textId="6BF95F44" w:rsidR="008C48EC" w:rsidRPr="009D52D0" w:rsidRDefault="008C48EC" w:rsidP="00495E32">
            <w:pPr>
              <w:spacing w:after="120"/>
              <w:ind w:right="543"/>
              <w:rPr>
                <w:rFonts w:ascii="Arial" w:hAnsi="Arial" w:cs="Arial"/>
                <w:b/>
                <w:sz w:val="20"/>
                <w:szCs w:val="20"/>
              </w:rPr>
            </w:pPr>
            <w:r>
              <w:rPr>
                <w:rFonts w:ascii="Arial" w:hAnsi="Arial" w:cs="Arial"/>
                <w:b/>
                <w:sz w:val="20"/>
                <w:szCs w:val="20"/>
              </w:rPr>
              <w:t>x</w:t>
            </w:r>
          </w:p>
        </w:tc>
        <w:tc>
          <w:tcPr>
            <w:tcW w:w="567" w:type="dxa"/>
          </w:tcPr>
          <w:p w14:paraId="01A170DF" w14:textId="77777777" w:rsidR="008C48EC" w:rsidRPr="009D52D0" w:rsidRDefault="008C48EC" w:rsidP="00495E32">
            <w:pPr>
              <w:spacing w:after="120"/>
              <w:ind w:right="543"/>
              <w:rPr>
                <w:rFonts w:ascii="Arial" w:hAnsi="Arial" w:cs="Arial"/>
                <w:b/>
                <w:sz w:val="20"/>
                <w:szCs w:val="20"/>
              </w:rPr>
            </w:pPr>
          </w:p>
        </w:tc>
        <w:tc>
          <w:tcPr>
            <w:tcW w:w="567" w:type="dxa"/>
          </w:tcPr>
          <w:p w14:paraId="2973D3A9" w14:textId="2AAF4A08" w:rsidR="008C48EC" w:rsidRPr="009D52D0" w:rsidRDefault="008C48EC" w:rsidP="00495E32">
            <w:pPr>
              <w:spacing w:after="120"/>
              <w:ind w:right="543"/>
              <w:rPr>
                <w:rFonts w:ascii="Arial" w:hAnsi="Arial" w:cs="Arial"/>
                <w:b/>
                <w:sz w:val="20"/>
                <w:szCs w:val="20"/>
              </w:rPr>
            </w:pPr>
            <w:r>
              <w:rPr>
                <w:rFonts w:ascii="Arial" w:hAnsi="Arial" w:cs="Arial"/>
                <w:b/>
                <w:sz w:val="20"/>
                <w:szCs w:val="20"/>
              </w:rPr>
              <w:t>x</w:t>
            </w:r>
          </w:p>
        </w:tc>
        <w:tc>
          <w:tcPr>
            <w:tcW w:w="567" w:type="dxa"/>
          </w:tcPr>
          <w:p w14:paraId="5B8BBA29" w14:textId="0F612715" w:rsidR="008C48EC" w:rsidRPr="009D52D0" w:rsidRDefault="008C48EC" w:rsidP="00495E32">
            <w:pPr>
              <w:spacing w:after="120"/>
              <w:ind w:right="543"/>
              <w:rPr>
                <w:rFonts w:ascii="Arial" w:hAnsi="Arial" w:cs="Arial"/>
                <w:b/>
                <w:sz w:val="20"/>
                <w:szCs w:val="20"/>
              </w:rPr>
            </w:pPr>
            <w:r>
              <w:rPr>
                <w:rFonts w:ascii="Arial" w:hAnsi="Arial" w:cs="Arial"/>
                <w:b/>
                <w:sz w:val="20"/>
                <w:szCs w:val="20"/>
              </w:rPr>
              <w:t>x</w:t>
            </w:r>
          </w:p>
        </w:tc>
        <w:tc>
          <w:tcPr>
            <w:tcW w:w="567" w:type="dxa"/>
          </w:tcPr>
          <w:p w14:paraId="1A718BFA" w14:textId="581825B8" w:rsidR="008C48EC" w:rsidRPr="009D52D0" w:rsidRDefault="008C48EC" w:rsidP="00495E32">
            <w:pPr>
              <w:spacing w:after="120"/>
              <w:ind w:right="543"/>
              <w:rPr>
                <w:rFonts w:ascii="Arial" w:hAnsi="Arial" w:cs="Arial"/>
                <w:b/>
                <w:sz w:val="20"/>
                <w:szCs w:val="20"/>
              </w:rPr>
            </w:pPr>
            <w:r>
              <w:rPr>
                <w:rFonts w:ascii="Arial" w:hAnsi="Arial" w:cs="Arial"/>
                <w:b/>
                <w:sz w:val="20"/>
                <w:szCs w:val="20"/>
              </w:rPr>
              <w:t>x</w:t>
            </w:r>
          </w:p>
        </w:tc>
        <w:tc>
          <w:tcPr>
            <w:tcW w:w="567" w:type="dxa"/>
          </w:tcPr>
          <w:p w14:paraId="1113C626" w14:textId="246A59DF" w:rsidR="008C48EC" w:rsidRPr="009D52D0" w:rsidRDefault="008C48EC" w:rsidP="00495E32">
            <w:pPr>
              <w:spacing w:after="120"/>
              <w:ind w:right="543"/>
              <w:rPr>
                <w:rFonts w:ascii="Arial" w:hAnsi="Arial" w:cs="Arial"/>
                <w:b/>
                <w:sz w:val="20"/>
                <w:szCs w:val="20"/>
              </w:rPr>
            </w:pPr>
            <w:r>
              <w:rPr>
                <w:rFonts w:ascii="Arial" w:hAnsi="Arial" w:cs="Arial"/>
                <w:b/>
                <w:sz w:val="20"/>
                <w:szCs w:val="20"/>
              </w:rPr>
              <w:t>x</w:t>
            </w:r>
          </w:p>
        </w:tc>
      </w:tr>
      <w:tr w:rsidR="008C48EC" w:rsidRPr="009D52D0" w14:paraId="4CE23A65" w14:textId="77777777" w:rsidTr="00495E32">
        <w:tc>
          <w:tcPr>
            <w:tcW w:w="2362" w:type="dxa"/>
          </w:tcPr>
          <w:p w14:paraId="65DAD573" w14:textId="35AF7382" w:rsidR="008C48EC" w:rsidRPr="0011295C" w:rsidRDefault="008C48EC" w:rsidP="00495E32">
            <w:pPr>
              <w:spacing w:after="120"/>
              <w:ind w:right="543"/>
              <w:rPr>
                <w:rFonts w:ascii="Arial" w:hAnsi="Arial" w:cs="Arial"/>
                <w:sz w:val="20"/>
                <w:szCs w:val="20"/>
              </w:rPr>
            </w:pPr>
            <w:r>
              <w:rPr>
                <w:rFonts w:ascii="Arial" w:hAnsi="Arial" w:cs="Arial"/>
                <w:sz w:val="20"/>
                <w:szCs w:val="20"/>
              </w:rPr>
              <w:t>Poster</w:t>
            </w:r>
          </w:p>
        </w:tc>
        <w:tc>
          <w:tcPr>
            <w:tcW w:w="567" w:type="dxa"/>
          </w:tcPr>
          <w:p w14:paraId="173B8827" w14:textId="6890D061" w:rsidR="008C48EC" w:rsidRPr="009D52D0" w:rsidRDefault="008C48EC" w:rsidP="00495E32">
            <w:pPr>
              <w:spacing w:after="120"/>
              <w:ind w:right="543"/>
              <w:rPr>
                <w:rFonts w:ascii="Arial" w:hAnsi="Arial" w:cs="Arial"/>
                <w:b/>
                <w:sz w:val="20"/>
                <w:szCs w:val="20"/>
              </w:rPr>
            </w:pPr>
            <w:r>
              <w:rPr>
                <w:rFonts w:ascii="Arial" w:hAnsi="Arial" w:cs="Arial"/>
                <w:b/>
                <w:sz w:val="20"/>
                <w:szCs w:val="20"/>
              </w:rPr>
              <w:t>x</w:t>
            </w:r>
          </w:p>
        </w:tc>
        <w:tc>
          <w:tcPr>
            <w:tcW w:w="567" w:type="dxa"/>
          </w:tcPr>
          <w:p w14:paraId="61E2FECE" w14:textId="16C54D10" w:rsidR="008C48EC" w:rsidRPr="009D52D0" w:rsidRDefault="008C48EC" w:rsidP="00495E32">
            <w:pPr>
              <w:spacing w:after="120"/>
              <w:ind w:right="543"/>
              <w:rPr>
                <w:rFonts w:ascii="Arial" w:hAnsi="Arial" w:cs="Arial"/>
                <w:b/>
                <w:sz w:val="20"/>
                <w:szCs w:val="20"/>
              </w:rPr>
            </w:pPr>
            <w:r>
              <w:rPr>
                <w:rFonts w:ascii="Arial" w:hAnsi="Arial" w:cs="Arial"/>
                <w:b/>
                <w:sz w:val="20"/>
                <w:szCs w:val="20"/>
              </w:rPr>
              <w:t>x</w:t>
            </w:r>
          </w:p>
        </w:tc>
        <w:tc>
          <w:tcPr>
            <w:tcW w:w="567" w:type="dxa"/>
          </w:tcPr>
          <w:p w14:paraId="5C561F58" w14:textId="4E3FE51C" w:rsidR="008C48EC" w:rsidRPr="009D52D0" w:rsidRDefault="008C48EC" w:rsidP="00495E32">
            <w:pPr>
              <w:spacing w:after="120"/>
              <w:ind w:right="543"/>
              <w:rPr>
                <w:rFonts w:ascii="Arial" w:hAnsi="Arial" w:cs="Arial"/>
                <w:b/>
                <w:sz w:val="20"/>
                <w:szCs w:val="20"/>
              </w:rPr>
            </w:pPr>
            <w:r>
              <w:rPr>
                <w:rFonts w:ascii="Arial" w:hAnsi="Arial" w:cs="Arial"/>
                <w:b/>
                <w:sz w:val="20"/>
                <w:szCs w:val="20"/>
              </w:rPr>
              <w:t>x</w:t>
            </w:r>
          </w:p>
        </w:tc>
        <w:tc>
          <w:tcPr>
            <w:tcW w:w="567" w:type="dxa"/>
          </w:tcPr>
          <w:p w14:paraId="6EFD4C22" w14:textId="5F31B51B" w:rsidR="008C48EC" w:rsidRPr="009D52D0" w:rsidRDefault="008C48EC" w:rsidP="00495E32">
            <w:pPr>
              <w:spacing w:after="120"/>
              <w:ind w:right="543"/>
              <w:rPr>
                <w:rFonts w:ascii="Arial" w:hAnsi="Arial" w:cs="Arial"/>
                <w:b/>
                <w:sz w:val="20"/>
                <w:szCs w:val="20"/>
              </w:rPr>
            </w:pPr>
            <w:r>
              <w:rPr>
                <w:rFonts w:ascii="Arial" w:hAnsi="Arial" w:cs="Arial"/>
                <w:b/>
                <w:sz w:val="20"/>
                <w:szCs w:val="20"/>
              </w:rPr>
              <w:t>x</w:t>
            </w:r>
          </w:p>
        </w:tc>
        <w:tc>
          <w:tcPr>
            <w:tcW w:w="567" w:type="dxa"/>
          </w:tcPr>
          <w:p w14:paraId="065E940A" w14:textId="07790322" w:rsidR="008C48EC" w:rsidRPr="009D52D0" w:rsidRDefault="008C48EC" w:rsidP="00495E32">
            <w:pPr>
              <w:spacing w:after="120"/>
              <w:ind w:right="543"/>
              <w:rPr>
                <w:rFonts w:ascii="Arial" w:hAnsi="Arial" w:cs="Arial"/>
                <w:b/>
                <w:sz w:val="20"/>
                <w:szCs w:val="20"/>
              </w:rPr>
            </w:pPr>
            <w:r>
              <w:rPr>
                <w:rFonts w:ascii="Arial" w:hAnsi="Arial" w:cs="Arial"/>
                <w:b/>
                <w:sz w:val="20"/>
                <w:szCs w:val="20"/>
              </w:rPr>
              <w:t>x</w:t>
            </w:r>
          </w:p>
        </w:tc>
        <w:tc>
          <w:tcPr>
            <w:tcW w:w="567" w:type="dxa"/>
          </w:tcPr>
          <w:p w14:paraId="7561F575" w14:textId="28E80EA7" w:rsidR="008C48EC" w:rsidRPr="009D52D0" w:rsidRDefault="008C48EC" w:rsidP="00495E32">
            <w:pPr>
              <w:spacing w:after="120"/>
              <w:ind w:right="543"/>
              <w:rPr>
                <w:rFonts w:ascii="Arial" w:hAnsi="Arial" w:cs="Arial"/>
                <w:b/>
                <w:sz w:val="20"/>
                <w:szCs w:val="20"/>
              </w:rPr>
            </w:pPr>
            <w:r>
              <w:rPr>
                <w:rFonts w:ascii="Arial" w:hAnsi="Arial" w:cs="Arial"/>
                <w:b/>
                <w:sz w:val="20"/>
                <w:szCs w:val="20"/>
              </w:rPr>
              <w:t>x</w:t>
            </w:r>
          </w:p>
        </w:tc>
        <w:tc>
          <w:tcPr>
            <w:tcW w:w="567" w:type="dxa"/>
          </w:tcPr>
          <w:p w14:paraId="4A1281B0" w14:textId="2197688F" w:rsidR="008C48EC" w:rsidRPr="009D52D0" w:rsidRDefault="008C48EC" w:rsidP="00495E32">
            <w:pPr>
              <w:spacing w:after="120"/>
              <w:ind w:right="543"/>
              <w:rPr>
                <w:rFonts w:ascii="Arial" w:hAnsi="Arial" w:cs="Arial"/>
                <w:b/>
                <w:sz w:val="20"/>
                <w:szCs w:val="20"/>
              </w:rPr>
            </w:pPr>
            <w:r>
              <w:rPr>
                <w:rFonts w:ascii="Arial" w:hAnsi="Arial" w:cs="Arial"/>
                <w:b/>
                <w:sz w:val="20"/>
                <w:szCs w:val="20"/>
              </w:rPr>
              <w:t>x</w:t>
            </w:r>
          </w:p>
        </w:tc>
        <w:tc>
          <w:tcPr>
            <w:tcW w:w="567" w:type="dxa"/>
          </w:tcPr>
          <w:p w14:paraId="43062444" w14:textId="77777777" w:rsidR="008C48EC" w:rsidRPr="009D52D0" w:rsidRDefault="008C48EC" w:rsidP="00495E32">
            <w:pPr>
              <w:spacing w:after="120"/>
              <w:ind w:right="543"/>
              <w:rPr>
                <w:rFonts w:ascii="Arial" w:hAnsi="Arial" w:cs="Arial"/>
                <w:b/>
                <w:sz w:val="20"/>
                <w:szCs w:val="20"/>
              </w:rPr>
            </w:pPr>
          </w:p>
        </w:tc>
        <w:tc>
          <w:tcPr>
            <w:tcW w:w="567" w:type="dxa"/>
          </w:tcPr>
          <w:p w14:paraId="5DAA0AAF" w14:textId="26C61639" w:rsidR="008C48EC" w:rsidRPr="009D52D0" w:rsidRDefault="008C48EC" w:rsidP="00495E32">
            <w:pPr>
              <w:spacing w:after="120"/>
              <w:ind w:right="543"/>
              <w:rPr>
                <w:rFonts w:ascii="Arial" w:hAnsi="Arial" w:cs="Arial"/>
                <w:b/>
                <w:sz w:val="20"/>
                <w:szCs w:val="20"/>
              </w:rPr>
            </w:pPr>
            <w:r>
              <w:rPr>
                <w:rFonts w:ascii="Arial" w:hAnsi="Arial" w:cs="Arial"/>
                <w:b/>
                <w:sz w:val="20"/>
                <w:szCs w:val="20"/>
              </w:rPr>
              <w:t>x</w:t>
            </w:r>
          </w:p>
        </w:tc>
        <w:tc>
          <w:tcPr>
            <w:tcW w:w="567" w:type="dxa"/>
          </w:tcPr>
          <w:p w14:paraId="5F68CE70" w14:textId="55524955" w:rsidR="008C48EC" w:rsidRPr="009D52D0" w:rsidRDefault="008C48EC" w:rsidP="00495E32">
            <w:pPr>
              <w:spacing w:after="120"/>
              <w:ind w:right="543"/>
              <w:rPr>
                <w:rFonts w:ascii="Arial" w:hAnsi="Arial" w:cs="Arial"/>
                <w:b/>
                <w:sz w:val="20"/>
                <w:szCs w:val="20"/>
              </w:rPr>
            </w:pPr>
            <w:r>
              <w:rPr>
                <w:rFonts w:ascii="Arial" w:hAnsi="Arial" w:cs="Arial"/>
                <w:b/>
                <w:sz w:val="20"/>
                <w:szCs w:val="20"/>
              </w:rPr>
              <w:t>x</w:t>
            </w:r>
          </w:p>
        </w:tc>
        <w:tc>
          <w:tcPr>
            <w:tcW w:w="567" w:type="dxa"/>
          </w:tcPr>
          <w:p w14:paraId="52C489FC" w14:textId="09E27596" w:rsidR="008C48EC" w:rsidRPr="009D52D0" w:rsidRDefault="008C48EC" w:rsidP="00495E32">
            <w:pPr>
              <w:spacing w:after="120"/>
              <w:ind w:right="543"/>
              <w:rPr>
                <w:rFonts w:ascii="Arial" w:hAnsi="Arial" w:cs="Arial"/>
                <w:b/>
                <w:sz w:val="20"/>
                <w:szCs w:val="20"/>
              </w:rPr>
            </w:pPr>
            <w:r>
              <w:rPr>
                <w:rFonts w:ascii="Arial" w:hAnsi="Arial" w:cs="Arial"/>
                <w:b/>
                <w:sz w:val="20"/>
                <w:szCs w:val="20"/>
              </w:rPr>
              <w:t>x</w:t>
            </w:r>
          </w:p>
        </w:tc>
        <w:tc>
          <w:tcPr>
            <w:tcW w:w="567" w:type="dxa"/>
          </w:tcPr>
          <w:p w14:paraId="58EE6695" w14:textId="08F66D79" w:rsidR="008C48EC" w:rsidRPr="009D52D0" w:rsidRDefault="008C48EC" w:rsidP="00495E32">
            <w:pPr>
              <w:spacing w:after="120"/>
              <w:ind w:right="543"/>
              <w:rPr>
                <w:rFonts w:ascii="Arial" w:hAnsi="Arial" w:cs="Arial"/>
                <w:b/>
                <w:sz w:val="20"/>
                <w:szCs w:val="20"/>
              </w:rPr>
            </w:pPr>
            <w:r>
              <w:rPr>
                <w:rFonts w:ascii="Arial" w:hAnsi="Arial" w:cs="Arial"/>
                <w:b/>
                <w:sz w:val="20"/>
                <w:szCs w:val="20"/>
              </w:rPr>
              <w:t>x</w:t>
            </w:r>
          </w:p>
        </w:tc>
      </w:tr>
      <w:tr w:rsidR="008C48EC" w:rsidRPr="009D52D0" w14:paraId="01385494" w14:textId="77777777" w:rsidTr="00495E32">
        <w:tc>
          <w:tcPr>
            <w:tcW w:w="2362" w:type="dxa"/>
          </w:tcPr>
          <w:p w14:paraId="1DE70D7C" w14:textId="68896379" w:rsidR="008C48EC" w:rsidRPr="0011295C" w:rsidRDefault="008C48EC" w:rsidP="00495E32">
            <w:pPr>
              <w:spacing w:after="120"/>
              <w:ind w:right="543"/>
              <w:rPr>
                <w:rFonts w:ascii="Arial" w:hAnsi="Arial" w:cs="Arial"/>
                <w:sz w:val="20"/>
                <w:szCs w:val="20"/>
              </w:rPr>
            </w:pPr>
            <w:r>
              <w:rPr>
                <w:rFonts w:ascii="Arial" w:hAnsi="Arial" w:cs="Arial"/>
                <w:sz w:val="20"/>
                <w:szCs w:val="20"/>
              </w:rPr>
              <w:t>Examination</w:t>
            </w:r>
          </w:p>
        </w:tc>
        <w:tc>
          <w:tcPr>
            <w:tcW w:w="567" w:type="dxa"/>
          </w:tcPr>
          <w:p w14:paraId="43FD0AE4" w14:textId="528C3F62" w:rsidR="008C48EC" w:rsidRPr="009D52D0" w:rsidRDefault="008C48EC" w:rsidP="00495E32">
            <w:pPr>
              <w:spacing w:after="120"/>
              <w:ind w:right="543"/>
              <w:rPr>
                <w:rFonts w:ascii="Arial" w:hAnsi="Arial" w:cs="Arial"/>
                <w:b/>
                <w:sz w:val="20"/>
                <w:szCs w:val="20"/>
              </w:rPr>
            </w:pPr>
            <w:r>
              <w:rPr>
                <w:rFonts w:ascii="Arial" w:hAnsi="Arial" w:cs="Arial"/>
                <w:b/>
                <w:sz w:val="20"/>
                <w:szCs w:val="20"/>
              </w:rPr>
              <w:t>x</w:t>
            </w:r>
          </w:p>
        </w:tc>
        <w:tc>
          <w:tcPr>
            <w:tcW w:w="567" w:type="dxa"/>
          </w:tcPr>
          <w:p w14:paraId="5D97932F" w14:textId="33F7EF7D" w:rsidR="008C48EC" w:rsidRPr="009D52D0" w:rsidRDefault="008C48EC" w:rsidP="00495E32">
            <w:pPr>
              <w:spacing w:after="120"/>
              <w:ind w:right="543"/>
              <w:rPr>
                <w:rFonts w:ascii="Arial" w:hAnsi="Arial" w:cs="Arial"/>
                <w:b/>
                <w:sz w:val="20"/>
                <w:szCs w:val="20"/>
              </w:rPr>
            </w:pPr>
            <w:r>
              <w:rPr>
                <w:rFonts w:ascii="Arial" w:hAnsi="Arial" w:cs="Arial"/>
                <w:b/>
                <w:sz w:val="20"/>
                <w:szCs w:val="20"/>
              </w:rPr>
              <w:t>x</w:t>
            </w:r>
          </w:p>
        </w:tc>
        <w:tc>
          <w:tcPr>
            <w:tcW w:w="567" w:type="dxa"/>
          </w:tcPr>
          <w:p w14:paraId="1AF6616C" w14:textId="081434D4" w:rsidR="008C48EC" w:rsidRPr="009D52D0" w:rsidRDefault="008C48EC" w:rsidP="00495E32">
            <w:pPr>
              <w:spacing w:after="120"/>
              <w:ind w:right="543"/>
              <w:rPr>
                <w:rFonts w:ascii="Arial" w:hAnsi="Arial" w:cs="Arial"/>
                <w:b/>
                <w:sz w:val="20"/>
                <w:szCs w:val="20"/>
              </w:rPr>
            </w:pPr>
            <w:r>
              <w:rPr>
                <w:rFonts w:ascii="Arial" w:hAnsi="Arial" w:cs="Arial"/>
                <w:b/>
                <w:sz w:val="20"/>
                <w:szCs w:val="20"/>
              </w:rPr>
              <w:t>x</w:t>
            </w:r>
          </w:p>
        </w:tc>
        <w:tc>
          <w:tcPr>
            <w:tcW w:w="567" w:type="dxa"/>
          </w:tcPr>
          <w:p w14:paraId="79041C8F" w14:textId="75A41A24" w:rsidR="008C48EC" w:rsidRPr="009D52D0" w:rsidRDefault="008C48EC" w:rsidP="00495E32">
            <w:pPr>
              <w:spacing w:after="120"/>
              <w:ind w:right="543"/>
              <w:rPr>
                <w:rFonts w:ascii="Arial" w:hAnsi="Arial" w:cs="Arial"/>
                <w:b/>
                <w:sz w:val="20"/>
                <w:szCs w:val="20"/>
              </w:rPr>
            </w:pPr>
            <w:r>
              <w:rPr>
                <w:rFonts w:ascii="Arial" w:hAnsi="Arial" w:cs="Arial"/>
                <w:b/>
                <w:sz w:val="20"/>
                <w:szCs w:val="20"/>
              </w:rPr>
              <w:t>x</w:t>
            </w:r>
          </w:p>
        </w:tc>
        <w:tc>
          <w:tcPr>
            <w:tcW w:w="567" w:type="dxa"/>
          </w:tcPr>
          <w:p w14:paraId="2DC8A039" w14:textId="6BCF88AB" w:rsidR="008C48EC" w:rsidRPr="009D52D0" w:rsidRDefault="008C48EC" w:rsidP="00495E32">
            <w:pPr>
              <w:spacing w:after="120"/>
              <w:ind w:right="543"/>
              <w:rPr>
                <w:rFonts w:ascii="Arial" w:hAnsi="Arial" w:cs="Arial"/>
                <w:b/>
                <w:sz w:val="20"/>
                <w:szCs w:val="20"/>
              </w:rPr>
            </w:pPr>
            <w:r>
              <w:rPr>
                <w:rFonts w:ascii="Arial" w:hAnsi="Arial" w:cs="Arial"/>
                <w:b/>
                <w:sz w:val="20"/>
                <w:szCs w:val="20"/>
              </w:rPr>
              <w:t>x</w:t>
            </w:r>
          </w:p>
        </w:tc>
        <w:tc>
          <w:tcPr>
            <w:tcW w:w="567" w:type="dxa"/>
          </w:tcPr>
          <w:p w14:paraId="04B7715E" w14:textId="685E0250" w:rsidR="008C48EC" w:rsidRPr="009D52D0" w:rsidRDefault="008C48EC" w:rsidP="00495E32">
            <w:pPr>
              <w:spacing w:after="120"/>
              <w:ind w:right="543"/>
              <w:rPr>
                <w:rFonts w:ascii="Arial" w:hAnsi="Arial" w:cs="Arial"/>
                <w:b/>
                <w:sz w:val="20"/>
                <w:szCs w:val="20"/>
              </w:rPr>
            </w:pPr>
            <w:r>
              <w:rPr>
                <w:rFonts w:ascii="Arial" w:hAnsi="Arial" w:cs="Arial"/>
                <w:b/>
                <w:sz w:val="20"/>
                <w:szCs w:val="20"/>
              </w:rPr>
              <w:t>x</w:t>
            </w:r>
          </w:p>
        </w:tc>
        <w:tc>
          <w:tcPr>
            <w:tcW w:w="567" w:type="dxa"/>
          </w:tcPr>
          <w:p w14:paraId="0C84E1A4" w14:textId="77777777" w:rsidR="008C48EC" w:rsidRPr="009D52D0" w:rsidRDefault="008C48EC" w:rsidP="00495E32">
            <w:pPr>
              <w:spacing w:after="120"/>
              <w:ind w:right="543"/>
              <w:rPr>
                <w:rFonts w:ascii="Arial" w:hAnsi="Arial" w:cs="Arial"/>
                <w:b/>
                <w:sz w:val="20"/>
                <w:szCs w:val="20"/>
              </w:rPr>
            </w:pPr>
          </w:p>
        </w:tc>
        <w:tc>
          <w:tcPr>
            <w:tcW w:w="567" w:type="dxa"/>
          </w:tcPr>
          <w:p w14:paraId="60D116C9" w14:textId="60AB5D5C" w:rsidR="008C48EC" w:rsidRPr="009D52D0" w:rsidRDefault="008C48EC" w:rsidP="00495E32">
            <w:pPr>
              <w:spacing w:after="120"/>
              <w:ind w:right="543"/>
              <w:rPr>
                <w:rFonts w:ascii="Arial" w:hAnsi="Arial" w:cs="Arial"/>
                <w:b/>
                <w:sz w:val="20"/>
                <w:szCs w:val="20"/>
              </w:rPr>
            </w:pPr>
            <w:r>
              <w:rPr>
                <w:rFonts w:ascii="Arial" w:hAnsi="Arial" w:cs="Arial"/>
                <w:b/>
                <w:sz w:val="20"/>
                <w:szCs w:val="20"/>
              </w:rPr>
              <w:t>x</w:t>
            </w:r>
          </w:p>
        </w:tc>
        <w:tc>
          <w:tcPr>
            <w:tcW w:w="567" w:type="dxa"/>
          </w:tcPr>
          <w:p w14:paraId="5063FE6D" w14:textId="77777777" w:rsidR="008C48EC" w:rsidRPr="009D52D0" w:rsidRDefault="008C48EC" w:rsidP="00495E32">
            <w:pPr>
              <w:spacing w:after="120"/>
              <w:ind w:right="543"/>
              <w:rPr>
                <w:rFonts w:ascii="Arial" w:hAnsi="Arial" w:cs="Arial"/>
                <w:b/>
                <w:sz w:val="20"/>
                <w:szCs w:val="20"/>
              </w:rPr>
            </w:pPr>
          </w:p>
        </w:tc>
        <w:tc>
          <w:tcPr>
            <w:tcW w:w="567" w:type="dxa"/>
          </w:tcPr>
          <w:p w14:paraId="27247A89" w14:textId="77777777" w:rsidR="008C48EC" w:rsidRPr="009D52D0" w:rsidRDefault="008C48EC" w:rsidP="00495E32">
            <w:pPr>
              <w:spacing w:after="120"/>
              <w:ind w:right="543"/>
              <w:rPr>
                <w:rFonts w:ascii="Arial" w:hAnsi="Arial" w:cs="Arial"/>
                <w:b/>
                <w:sz w:val="20"/>
                <w:szCs w:val="20"/>
              </w:rPr>
            </w:pPr>
          </w:p>
        </w:tc>
        <w:tc>
          <w:tcPr>
            <w:tcW w:w="567" w:type="dxa"/>
          </w:tcPr>
          <w:p w14:paraId="3D7D9291" w14:textId="77777777" w:rsidR="008C48EC" w:rsidRPr="009D52D0" w:rsidRDefault="008C48EC" w:rsidP="00495E32">
            <w:pPr>
              <w:spacing w:after="120"/>
              <w:ind w:right="543"/>
              <w:rPr>
                <w:rFonts w:ascii="Arial" w:hAnsi="Arial" w:cs="Arial"/>
                <w:b/>
                <w:sz w:val="20"/>
                <w:szCs w:val="20"/>
              </w:rPr>
            </w:pPr>
          </w:p>
        </w:tc>
        <w:tc>
          <w:tcPr>
            <w:tcW w:w="567" w:type="dxa"/>
          </w:tcPr>
          <w:p w14:paraId="156C9261" w14:textId="77777777" w:rsidR="008C48EC" w:rsidRPr="009D52D0" w:rsidRDefault="008C48EC" w:rsidP="00495E32">
            <w:pPr>
              <w:spacing w:after="120"/>
              <w:ind w:right="543"/>
              <w:rPr>
                <w:rFonts w:ascii="Arial" w:hAnsi="Arial" w:cs="Arial"/>
                <w:b/>
                <w:sz w:val="20"/>
                <w:szCs w:val="20"/>
              </w:rPr>
            </w:pPr>
          </w:p>
        </w:tc>
      </w:tr>
    </w:tbl>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F9EAC54"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r w:rsidR="00B30552">
        <w:rPr>
          <w:rFonts w:ascii="Arial" w:hAnsi="Arial" w:cs="Arial"/>
          <w:sz w:val="24"/>
          <w:szCs w:val="24"/>
        </w:rPr>
        <w:t xml:space="preserve"> </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59722CFA" w:rsidR="00ED22D3" w:rsidRPr="00ED22D3" w:rsidRDefault="00BB4059"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3DC9DB72" w:rsidR="00ED22D3" w:rsidRPr="00ED22D3" w:rsidRDefault="00BB4059"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3890EFA3" w:rsidR="00ED22D3" w:rsidRPr="00ED22D3" w:rsidRDefault="00BB4059"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044EA923" w:rsidR="00ED22D3" w:rsidRPr="00ED22D3" w:rsidRDefault="00BB4059" w:rsidP="00ED22D3">
            <w:pPr>
              <w:spacing w:after="120"/>
              <w:ind w:right="543"/>
              <w:rPr>
                <w:rFonts w:ascii="Arial" w:hAnsi="Arial" w:cs="Arial"/>
                <w:sz w:val="20"/>
                <w:szCs w:val="20"/>
              </w:rPr>
            </w:pPr>
            <w:r>
              <w:rPr>
                <w:rFonts w:ascii="Arial" w:hAnsi="Arial" w:cs="Arial"/>
                <w:sz w:val="20"/>
                <w:szCs w:val="20"/>
              </w:rPr>
              <w:t>5-6, 12-13</w:t>
            </w:r>
          </w:p>
        </w:tc>
        <w:tc>
          <w:tcPr>
            <w:tcW w:w="2676" w:type="dxa"/>
          </w:tcPr>
          <w:p w14:paraId="2788108C" w14:textId="23D95DD3" w:rsidR="00ED22D3" w:rsidRPr="00ED22D3" w:rsidRDefault="00BB4059"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5925F314" w:rsidR="00ED22D3" w:rsidRPr="009D52D0" w:rsidRDefault="008C48EC" w:rsidP="00973893">
            <w:pPr>
              <w:spacing w:after="120"/>
              <w:ind w:right="543"/>
              <w:rPr>
                <w:rFonts w:ascii="Arial" w:hAnsi="Arial" w:cs="Arial"/>
                <w:sz w:val="20"/>
                <w:szCs w:val="20"/>
              </w:rPr>
            </w:pPr>
            <w:r>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417FE1AC" w:rsidR="008B2543" w:rsidRDefault="0019787E" w:rsidP="009A2D37">
        <w:pPr>
          <w:pStyle w:val="Footer"/>
          <w:jc w:val="center"/>
        </w:pPr>
        <w:r>
          <w:fldChar w:fldCharType="begin"/>
        </w:r>
        <w:r>
          <w:instrText xml:space="preserve"> PAGE   \* MERGEFORMAT </w:instrText>
        </w:r>
        <w:r>
          <w:fldChar w:fldCharType="separate"/>
        </w:r>
        <w:r w:rsidR="00DF64FD">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5DD7AFA" w:rsidR="00EB41D1" w:rsidRDefault="00EB41D1" w:rsidP="00EB41D1">
        <w:pPr>
          <w:pStyle w:val="Footer"/>
          <w:jc w:val="center"/>
        </w:pPr>
        <w:r>
          <w:fldChar w:fldCharType="begin"/>
        </w:r>
        <w:r>
          <w:instrText xml:space="preserve"> PAGE   \* MERGEFORMAT </w:instrText>
        </w:r>
        <w:r>
          <w:fldChar w:fldCharType="separate"/>
        </w:r>
        <w:r w:rsidR="00DF64FD">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7AB5806"/>
    <w:multiLevelType w:val="hybridMultilevel"/>
    <w:tmpl w:val="B424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AFB6EF3"/>
    <w:multiLevelType w:val="hybridMultilevel"/>
    <w:tmpl w:val="4D227E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13"/>
  </w:num>
  <w:num w:numId="6">
    <w:abstractNumId w:val="11"/>
  </w:num>
  <w:num w:numId="7">
    <w:abstractNumId w:val="14"/>
  </w:num>
  <w:num w:numId="8">
    <w:abstractNumId w:val="12"/>
  </w:num>
  <w:num w:numId="9">
    <w:abstractNumId w:val="8"/>
  </w:num>
  <w:num w:numId="10">
    <w:abstractNumId w:val="10"/>
  </w:num>
  <w:num w:numId="11">
    <w:abstractNumId w:val="1"/>
  </w:num>
  <w:num w:numId="12">
    <w:abstractNumId w:val="9"/>
  </w:num>
  <w:num w:numId="13">
    <w:abstractNumId w:val="6"/>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E7887"/>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A67D8"/>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27C3B"/>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A6648"/>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C48EC"/>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552"/>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059"/>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17144"/>
    <w:rsid w:val="00D2689A"/>
    <w:rsid w:val="00D65506"/>
    <w:rsid w:val="00D773CF"/>
    <w:rsid w:val="00D83563"/>
    <w:rsid w:val="00D8448F"/>
    <w:rsid w:val="00D86E4D"/>
    <w:rsid w:val="00DA64B6"/>
    <w:rsid w:val="00DB2B91"/>
    <w:rsid w:val="00DB5C9D"/>
    <w:rsid w:val="00DD02E6"/>
    <w:rsid w:val="00DD2E74"/>
    <w:rsid w:val="00DF64FD"/>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D86E4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5CEEA4-67B0-4E37-86DD-6A75D3D658D1}">
  <ds:schemaRefs>
    <ds:schemaRef ds:uri="http://schemas.openxmlformats.org/officeDocument/2006/bibliography"/>
  </ds:schemaRefs>
</ds:datastoreItem>
</file>

<file path=customXml/itemProps2.xml><?xml version="1.0" encoding="utf-8"?>
<ds:datastoreItem xmlns:ds="http://schemas.openxmlformats.org/officeDocument/2006/customXml" ds:itemID="{2A7F9D36-9945-451F-8403-0E86C0FD2210}"/>
</file>

<file path=customXml/itemProps3.xml><?xml version="1.0" encoding="utf-8"?>
<ds:datastoreItem xmlns:ds="http://schemas.openxmlformats.org/officeDocument/2006/customXml" ds:itemID="{DFDCB8DA-7A0A-4FF8-9D22-19072C81E222}"/>
</file>

<file path=customXml/itemProps4.xml><?xml version="1.0" encoding="utf-8"?>
<ds:datastoreItem xmlns:ds="http://schemas.openxmlformats.org/officeDocument/2006/customXml" ds:itemID="{3B7E451B-0CFF-4748-928A-D774AB3F68BA}"/>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2022-02-09T12:38:00Z</dcterms:created>
  <dcterms:modified xsi:type="dcterms:W3CDTF">2022-03-03T14:39:00Z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