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3C91" w14:textId="2136723F"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CF34ED5" w14:textId="2DCF0F6D" w:rsidR="009A2D37" w:rsidRPr="00302082" w:rsidRDefault="00934D0B" w:rsidP="00D50113">
      <w:pPr>
        <w:spacing w:after="120" w:line="240" w:lineRule="auto"/>
        <w:ind w:left="426" w:right="260"/>
        <w:jc w:val="both"/>
        <w:rPr>
          <w:rFonts w:ascii="Arial" w:hAnsi="Arial" w:cs="Arial"/>
        </w:rPr>
      </w:pPr>
      <w:r>
        <w:rPr>
          <w:rFonts w:ascii="Arial" w:hAnsi="Arial" w:cs="Arial"/>
        </w:rPr>
        <w:t xml:space="preserve">BUSN9144 (CB9144) </w:t>
      </w:r>
      <w:r w:rsidR="00E04253">
        <w:rPr>
          <w:rFonts w:ascii="Arial" w:hAnsi="Arial" w:cs="Arial"/>
        </w:rPr>
        <w:t xml:space="preserve">Global </w:t>
      </w:r>
      <w:r w:rsidR="00D94111">
        <w:rPr>
          <w:rFonts w:ascii="Arial" w:hAnsi="Arial" w:cs="Arial"/>
        </w:rPr>
        <w:t>Strategy and Economics</w:t>
      </w:r>
    </w:p>
    <w:p w14:paraId="7D241824" w14:textId="7F7E3139" w:rsidR="009A2D37" w:rsidRPr="00302082" w:rsidRDefault="00646C52"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CBF2A51" w14:textId="542FC933" w:rsidR="009A2D37" w:rsidRPr="0036174D" w:rsidRDefault="00EF5BF2" w:rsidP="00D50113">
      <w:pPr>
        <w:spacing w:after="120" w:line="240" w:lineRule="auto"/>
        <w:ind w:left="426" w:right="260"/>
        <w:rPr>
          <w:rFonts w:ascii="Arial" w:hAnsi="Arial" w:cs="Arial"/>
          <w:iCs/>
        </w:rPr>
      </w:pPr>
      <w:r>
        <w:rPr>
          <w:rFonts w:ascii="Arial" w:hAnsi="Arial" w:cs="Arial"/>
          <w:iCs/>
        </w:rPr>
        <w:t xml:space="preserve">Kent Business </w:t>
      </w:r>
      <w:r w:rsidR="0053525C">
        <w:rPr>
          <w:rFonts w:ascii="Arial" w:hAnsi="Arial" w:cs="Arial"/>
          <w:iCs/>
        </w:rPr>
        <w:t>School</w:t>
      </w:r>
    </w:p>
    <w:p w14:paraId="7CC74E6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178B54" w14:textId="77777777" w:rsidR="009A2D37" w:rsidRPr="0036174D" w:rsidRDefault="00EF5BF2" w:rsidP="00D50113">
      <w:pPr>
        <w:spacing w:after="120" w:line="240" w:lineRule="auto"/>
        <w:ind w:left="426" w:right="260"/>
        <w:rPr>
          <w:rFonts w:ascii="Arial" w:hAnsi="Arial" w:cs="Arial"/>
          <w:iCs/>
        </w:rPr>
      </w:pPr>
      <w:r>
        <w:rPr>
          <w:rFonts w:ascii="Arial" w:hAnsi="Arial" w:cs="Arial"/>
          <w:iCs/>
        </w:rPr>
        <w:t>Level 7</w:t>
      </w:r>
    </w:p>
    <w:p w14:paraId="7348DB1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D0B2AA6" w14:textId="77777777" w:rsidR="009A2D37" w:rsidRPr="0036174D" w:rsidRDefault="00EF5BF2" w:rsidP="00D50113">
      <w:pPr>
        <w:spacing w:after="120" w:line="240" w:lineRule="auto"/>
        <w:ind w:left="426" w:right="260"/>
        <w:rPr>
          <w:rFonts w:ascii="Arial" w:hAnsi="Arial" w:cs="Arial"/>
        </w:rPr>
      </w:pPr>
      <w:r>
        <w:rPr>
          <w:rFonts w:ascii="Arial" w:hAnsi="Arial" w:cs="Arial"/>
        </w:rPr>
        <w:t>15 credits (7.5 ECTS)</w:t>
      </w:r>
    </w:p>
    <w:p w14:paraId="406FFBD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31D69A2" w14:textId="77777777" w:rsidR="009A2D37" w:rsidRPr="0036174D" w:rsidRDefault="00EF5BF2" w:rsidP="00D50113">
      <w:pPr>
        <w:spacing w:after="120" w:line="240" w:lineRule="auto"/>
        <w:ind w:left="426" w:right="260"/>
        <w:rPr>
          <w:rFonts w:ascii="Arial" w:hAnsi="Arial" w:cs="Arial"/>
          <w:iCs/>
        </w:rPr>
      </w:pPr>
      <w:r>
        <w:rPr>
          <w:rFonts w:ascii="Arial" w:hAnsi="Arial" w:cs="Arial"/>
          <w:iCs/>
        </w:rPr>
        <w:t>Spring</w:t>
      </w:r>
    </w:p>
    <w:p w14:paraId="3A6A2F5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6A7CF84" w14:textId="77777777" w:rsidR="009A2D37" w:rsidRPr="0036174D" w:rsidRDefault="00EF5BF2" w:rsidP="00D50113">
      <w:pPr>
        <w:spacing w:after="120" w:line="240" w:lineRule="auto"/>
        <w:ind w:left="426" w:right="260"/>
        <w:rPr>
          <w:rFonts w:ascii="Arial" w:hAnsi="Arial" w:cs="Arial"/>
          <w:iCs/>
        </w:rPr>
      </w:pPr>
      <w:r>
        <w:rPr>
          <w:rFonts w:ascii="Arial" w:hAnsi="Arial" w:cs="Arial"/>
          <w:iCs/>
        </w:rPr>
        <w:t>None</w:t>
      </w:r>
    </w:p>
    <w:p w14:paraId="3ED0AE6E" w14:textId="0673CBBC"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646C52">
        <w:rPr>
          <w:rFonts w:ascii="Arial" w:hAnsi="Arial" w:cs="Arial"/>
          <w:b/>
        </w:rPr>
        <w:t>course</w:t>
      </w:r>
      <w:r w:rsidRPr="00302082">
        <w:rPr>
          <w:rFonts w:ascii="Arial" w:hAnsi="Arial" w:cs="Arial"/>
          <w:b/>
        </w:rPr>
        <w:t>s of study to which the module contributes</w:t>
      </w:r>
    </w:p>
    <w:p w14:paraId="66C083A1" w14:textId="2F390C63" w:rsidR="009A2D37" w:rsidRPr="0036174D" w:rsidRDefault="00EF5BF2" w:rsidP="00D50113">
      <w:pPr>
        <w:spacing w:after="120" w:line="240" w:lineRule="auto"/>
        <w:ind w:left="426" w:right="260"/>
        <w:rPr>
          <w:rFonts w:ascii="Arial" w:hAnsi="Arial" w:cs="Arial"/>
          <w:iCs/>
        </w:rPr>
      </w:pPr>
      <w:r>
        <w:rPr>
          <w:rFonts w:ascii="Arial" w:hAnsi="Arial" w:cs="Arial"/>
          <w:iCs/>
        </w:rPr>
        <w:t>M</w:t>
      </w:r>
      <w:r w:rsidR="00F13B06">
        <w:rPr>
          <w:rFonts w:ascii="Arial" w:hAnsi="Arial" w:cs="Arial"/>
          <w:iCs/>
        </w:rPr>
        <w:t xml:space="preserve">asters of </w:t>
      </w:r>
      <w:r>
        <w:rPr>
          <w:rFonts w:ascii="Arial" w:hAnsi="Arial" w:cs="Arial"/>
          <w:iCs/>
        </w:rPr>
        <w:t>B</w:t>
      </w:r>
      <w:r w:rsidR="00F13B06">
        <w:rPr>
          <w:rFonts w:ascii="Arial" w:hAnsi="Arial" w:cs="Arial"/>
          <w:iCs/>
        </w:rPr>
        <w:t xml:space="preserve">usiness </w:t>
      </w:r>
      <w:r>
        <w:rPr>
          <w:rFonts w:ascii="Arial" w:hAnsi="Arial" w:cs="Arial"/>
          <w:iCs/>
        </w:rPr>
        <w:t>A</w:t>
      </w:r>
      <w:r w:rsidR="00F13B06">
        <w:rPr>
          <w:rFonts w:ascii="Arial" w:hAnsi="Arial" w:cs="Arial"/>
          <w:iCs/>
        </w:rPr>
        <w:t>dministration</w:t>
      </w:r>
      <w:r>
        <w:rPr>
          <w:rFonts w:ascii="Arial" w:hAnsi="Arial" w:cs="Arial"/>
          <w:iCs/>
        </w:rPr>
        <w:t xml:space="preserve"> – Compulsory module</w:t>
      </w:r>
    </w:p>
    <w:p w14:paraId="0286B73F" w14:textId="77777777" w:rsidR="009A2D37" w:rsidRPr="00302082" w:rsidRDefault="009A2D37" w:rsidP="00317ABC">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925946" w14:textId="7B8F964C" w:rsidR="00E9620A" w:rsidRDefault="00EF5BF2" w:rsidP="00E9620A">
      <w:pPr>
        <w:pStyle w:val="ListParagraph"/>
        <w:numPr>
          <w:ilvl w:val="1"/>
          <w:numId w:val="1"/>
        </w:numPr>
        <w:spacing w:after="120" w:line="240" w:lineRule="auto"/>
        <w:ind w:right="260"/>
        <w:jc w:val="both"/>
        <w:rPr>
          <w:rFonts w:ascii="Arial" w:hAnsi="Arial" w:cs="Arial"/>
          <w:color w:val="000000"/>
        </w:rPr>
      </w:pPr>
      <w:r w:rsidRPr="00E9620A">
        <w:rPr>
          <w:rFonts w:ascii="Arial" w:hAnsi="Arial" w:cs="Arial"/>
          <w:color w:val="000000"/>
        </w:rPr>
        <w:t xml:space="preserve">Demonstrate </w:t>
      </w:r>
      <w:r w:rsidR="00F2559F" w:rsidRPr="00E9620A">
        <w:rPr>
          <w:rFonts w:ascii="Arial" w:hAnsi="Arial" w:cs="Arial"/>
          <w:color w:val="000000"/>
        </w:rPr>
        <w:t>systematic</w:t>
      </w:r>
      <w:r w:rsidR="00021297" w:rsidRPr="00E9620A">
        <w:rPr>
          <w:rFonts w:ascii="Arial" w:hAnsi="Arial" w:cs="Arial"/>
          <w:color w:val="000000"/>
        </w:rPr>
        <w:t xml:space="preserve"> understanding </w:t>
      </w:r>
      <w:r w:rsidRPr="00E9620A">
        <w:rPr>
          <w:rFonts w:ascii="Arial" w:hAnsi="Arial" w:cs="Arial"/>
          <w:color w:val="000000"/>
        </w:rPr>
        <w:t>of areas which are fundamental to the development of successful strategy</w:t>
      </w:r>
      <w:r w:rsidR="002D49C1" w:rsidRPr="00E9620A">
        <w:rPr>
          <w:rFonts w:ascii="Arial" w:hAnsi="Arial" w:cs="Arial"/>
          <w:color w:val="000000"/>
        </w:rPr>
        <w:t xml:space="preserve"> in the global context</w:t>
      </w:r>
      <w:r w:rsidR="009D1200" w:rsidRPr="00E9620A">
        <w:rPr>
          <w:rFonts w:ascii="Arial" w:hAnsi="Arial" w:cs="Arial"/>
          <w:color w:val="000000"/>
        </w:rPr>
        <w:t xml:space="preserve"> and </w:t>
      </w:r>
      <w:r w:rsidR="00F2559F" w:rsidRPr="00E9620A">
        <w:rPr>
          <w:rFonts w:ascii="Arial" w:hAnsi="Arial" w:cs="Arial"/>
          <w:color w:val="000000"/>
        </w:rPr>
        <w:t xml:space="preserve">a critical awareness of </w:t>
      </w:r>
      <w:r w:rsidR="009D1200" w:rsidRPr="00E9620A">
        <w:rPr>
          <w:rFonts w:ascii="Arial" w:hAnsi="Arial" w:cs="Arial"/>
          <w:color w:val="000000"/>
        </w:rPr>
        <w:t xml:space="preserve">the </w:t>
      </w:r>
      <w:r w:rsidR="00D94111">
        <w:rPr>
          <w:rFonts w:ascii="Arial" w:hAnsi="Arial" w:cs="Arial"/>
          <w:color w:val="000000"/>
        </w:rPr>
        <w:t xml:space="preserve">macro-economic </w:t>
      </w:r>
      <w:r w:rsidR="004C5142">
        <w:rPr>
          <w:rFonts w:ascii="Arial" w:hAnsi="Arial" w:cs="Arial"/>
          <w:color w:val="000000"/>
        </w:rPr>
        <w:t xml:space="preserve">variables </w:t>
      </w:r>
      <w:r w:rsidR="00D94111">
        <w:rPr>
          <w:rFonts w:ascii="Arial" w:hAnsi="Arial" w:cs="Arial"/>
          <w:color w:val="000000"/>
        </w:rPr>
        <w:t xml:space="preserve"> and </w:t>
      </w:r>
      <w:r w:rsidR="004C5142">
        <w:rPr>
          <w:rFonts w:ascii="Arial" w:hAnsi="Arial" w:cs="Arial"/>
          <w:color w:val="000000"/>
        </w:rPr>
        <w:t xml:space="preserve">other </w:t>
      </w:r>
      <w:r w:rsidR="00B22FDA">
        <w:rPr>
          <w:rFonts w:ascii="Arial" w:hAnsi="Arial" w:cs="Arial"/>
          <w:color w:val="000000"/>
        </w:rPr>
        <w:t>aspects</w:t>
      </w:r>
      <w:r w:rsidR="00B22FDA" w:rsidRPr="00E9620A">
        <w:rPr>
          <w:rFonts w:ascii="Arial" w:hAnsi="Arial" w:cs="Arial"/>
          <w:color w:val="000000"/>
        </w:rPr>
        <w:t xml:space="preserve"> </w:t>
      </w:r>
      <w:r w:rsidR="009D1200" w:rsidRPr="00E9620A">
        <w:rPr>
          <w:rFonts w:ascii="Arial" w:hAnsi="Arial" w:cs="Arial"/>
          <w:color w:val="000000"/>
        </w:rPr>
        <w:t>of organisational context, structure and culture on global strategy implementation</w:t>
      </w:r>
      <w:r w:rsidR="00E9620A" w:rsidRPr="00E9620A">
        <w:rPr>
          <w:rFonts w:ascii="Arial" w:hAnsi="Arial" w:cs="Arial"/>
          <w:color w:val="000000"/>
        </w:rPr>
        <w:t xml:space="preserve"> for innovation, creation and growth of new ventures, and sustain</w:t>
      </w:r>
      <w:r w:rsidR="00E9620A">
        <w:rPr>
          <w:rFonts w:ascii="Arial" w:hAnsi="Arial" w:cs="Arial"/>
          <w:color w:val="000000"/>
        </w:rPr>
        <w:t>able organisational performance.</w:t>
      </w:r>
    </w:p>
    <w:p w14:paraId="416A4FD6" w14:textId="4E85C94F" w:rsidR="002D49C1" w:rsidRPr="00E9620A" w:rsidRDefault="002D49C1" w:rsidP="00E9620A">
      <w:pPr>
        <w:pStyle w:val="ListParagraph"/>
        <w:numPr>
          <w:ilvl w:val="1"/>
          <w:numId w:val="1"/>
        </w:numPr>
        <w:spacing w:after="120" w:line="240" w:lineRule="auto"/>
        <w:ind w:right="260"/>
        <w:jc w:val="both"/>
        <w:rPr>
          <w:rFonts w:ascii="Arial" w:hAnsi="Arial" w:cs="Arial"/>
          <w:color w:val="000000"/>
        </w:rPr>
      </w:pPr>
      <w:r w:rsidRPr="00E9620A">
        <w:rPr>
          <w:rFonts w:ascii="Arial" w:hAnsi="Arial" w:cs="Arial"/>
          <w:color w:val="000000"/>
        </w:rPr>
        <w:t>Integrate global strategic thinking into the holistic management of a multinational organisation</w:t>
      </w:r>
      <w:r w:rsidR="00D94111">
        <w:rPr>
          <w:rFonts w:ascii="Arial" w:hAnsi="Arial" w:cs="Arial"/>
          <w:color w:val="000000"/>
        </w:rPr>
        <w:t xml:space="preserve"> </w:t>
      </w:r>
      <w:r w:rsidR="009D38E4">
        <w:rPr>
          <w:rFonts w:ascii="Arial" w:hAnsi="Arial" w:cs="Arial"/>
          <w:color w:val="000000"/>
        </w:rPr>
        <w:t>informed by understanding of</w:t>
      </w:r>
      <w:r w:rsidR="00D94111">
        <w:rPr>
          <w:rFonts w:ascii="Arial" w:hAnsi="Arial" w:cs="Arial"/>
          <w:color w:val="000000"/>
        </w:rPr>
        <w:t xml:space="preserve"> </w:t>
      </w:r>
      <w:r w:rsidR="009D38E4">
        <w:rPr>
          <w:rFonts w:ascii="Arial" w:hAnsi="Arial" w:cs="Arial"/>
          <w:color w:val="000000"/>
        </w:rPr>
        <w:t xml:space="preserve">relevant </w:t>
      </w:r>
      <w:r w:rsidR="00D94111">
        <w:rPr>
          <w:rFonts w:ascii="Arial" w:hAnsi="Arial" w:cs="Arial"/>
          <w:color w:val="000000"/>
        </w:rPr>
        <w:t>economic theories</w:t>
      </w:r>
      <w:r w:rsidR="009D38E4">
        <w:rPr>
          <w:rFonts w:ascii="Arial" w:hAnsi="Arial" w:cs="Arial"/>
          <w:color w:val="000000"/>
        </w:rPr>
        <w:t xml:space="preserve"> and context</w:t>
      </w:r>
    </w:p>
    <w:p w14:paraId="26858D50" w14:textId="6F83EFF7" w:rsidR="002D49C1" w:rsidRPr="002D49C1" w:rsidRDefault="00F2559F" w:rsidP="00317ABC">
      <w:pPr>
        <w:pStyle w:val="ListParagraph"/>
        <w:numPr>
          <w:ilvl w:val="1"/>
          <w:numId w:val="1"/>
        </w:numPr>
        <w:spacing w:after="120" w:line="240" w:lineRule="auto"/>
        <w:ind w:right="260"/>
        <w:jc w:val="both"/>
        <w:rPr>
          <w:rFonts w:ascii="Arial" w:hAnsi="Arial" w:cs="Arial"/>
          <w:color w:val="000000"/>
        </w:rPr>
      </w:pPr>
      <w:r>
        <w:rPr>
          <w:rFonts w:ascii="Arial" w:hAnsi="Arial" w:cs="Arial"/>
          <w:color w:val="000000"/>
        </w:rPr>
        <w:t>Critically a</w:t>
      </w:r>
      <w:r w:rsidR="002D49C1" w:rsidRPr="002D49C1">
        <w:rPr>
          <w:rFonts w:ascii="Arial" w:hAnsi="Arial" w:cs="Arial"/>
          <w:color w:val="000000"/>
        </w:rPr>
        <w:t>nalyse the complexity and the interconnections between various dimensions of multinational enterprises engaged in international activities such as international finance</w:t>
      </w:r>
      <w:r>
        <w:rPr>
          <w:rFonts w:ascii="Arial" w:hAnsi="Arial" w:cs="Arial"/>
          <w:color w:val="000000"/>
        </w:rPr>
        <w:t xml:space="preserve"> and accounting</w:t>
      </w:r>
      <w:r w:rsidR="002D49C1" w:rsidRPr="002D49C1">
        <w:rPr>
          <w:rFonts w:ascii="Arial" w:hAnsi="Arial" w:cs="Arial"/>
          <w:color w:val="000000"/>
        </w:rPr>
        <w:t xml:space="preserve">, </w:t>
      </w:r>
      <w:r w:rsidRPr="002D49C1">
        <w:rPr>
          <w:rFonts w:ascii="Arial" w:hAnsi="Arial" w:cs="Arial"/>
          <w:color w:val="000000"/>
        </w:rPr>
        <w:t>international HRM</w:t>
      </w:r>
      <w:r>
        <w:rPr>
          <w:rFonts w:ascii="Arial" w:hAnsi="Arial" w:cs="Arial"/>
          <w:color w:val="000000"/>
        </w:rPr>
        <w:t xml:space="preserve">, ethics, sustainability and </w:t>
      </w:r>
      <w:r w:rsidR="002D49C1" w:rsidRPr="002D49C1">
        <w:rPr>
          <w:rFonts w:ascii="Arial" w:hAnsi="Arial" w:cs="Arial"/>
          <w:color w:val="000000"/>
        </w:rPr>
        <w:t xml:space="preserve">government-business relations </w:t>
      </w:r>
    </w:p>
    <w:p w14:paraId="6C8AF9A5" w14:textId="1C4C8B38" w:rsidR="002D49C1" w:rsidRDefault="00F2559F" w:rsidP="00317ABC">
      <w:pPr>
        <w:pStyle w:val="ListParagraph"/>
        <w:numPr>
          <w:ilvl w:val="1"/>
          <w:numId w:val="1"/>
        </w:numPr>
        <w:spacing w:after="120" w:line="240" w:lineRule="auto"/>
        <w:ind w:right="260"/>
        <w:jc w:val="both"/>
        <w:rPr>
          <w:rFonts w:ascii="Arial" w:hAnsi="Arial" w:cs="Arial"/>
          <w:color w:val="000000"/>
        </w:rPr>
      </w:pPr>
      <w:r>
        <w:rPr>
          <w:rFonts w:ascii="Arial" w:hAnsi="Arial" w:cs="Arial"/>
          <w:color w:val="000000"/>
        </w:rPr>
        <w:t>Demonstrate an</w:t>
      </w:r>
      <w:r w:rsidR="002D49C1" w:rsidRPr="002D49C1">
        <w:rPr>
          <w:rFonts w:ascii="Arial" w:hAnsi="Arial" w:cs="Arial"/>
          <w:color w:val="000000"/>
        </w:rPr>
        <w:t xml:space="preserve"> ability to assess the complexities of strategic decision making and effectively play their part in managing resources across national boundaries </w:t>
      </w:r>
    </w:p>
    <w:p w14:paraId="3F85B325" w14:textId="440EFF98" w:rsidR="00D94111" w:rsidRPr="00D94111" w:rsidRDefault="00D94111" w:rsidP="00D94111">
      <w:pPr>
        <w:pStyle w:val="ListParagraph"/>
        <w:numPr>
          <w:ilvl w:val="1"/>
          <w:numId w:val="1"/>
        </w:numPr>
        <w:spacing w:after="120" w:line="240" w:lineRule="auto"/>
        <w:ind w:right="261"/>
        <w:jc w:val="both"/>
        <w:rPr>
          <w:rFonts w:ascii="Arial" w:hAnsi="Arial" w:cs="Arial"/>
        </w:rPr>
      </w:pPr>
      <w:r w:rsidRPr="009A34A5">
        <w:rPr>
          <w:rFonts w:ascii="Arial" w:hAnsi="Arial" w:cs="Arial"/>
        </w:rPr>
        <w:t xml:space="preserve">Develop strong ability to construct logical economic arguments </w:t>
      </w:r>
      <w:r w:rsidR="00494D5B">
        <w:rPr>
          <w:rFonts w:ascii="Arial" w:hAnsi="Arial" w:cs="Arial"/>
        </w:rPr>
        <w:t xml:space="preserve">as they apply to </w:t>
      </w:r>
      <w:r w:rsidRPr="009A34A5">
        <w:rPr>
          <w:rFonts w:ascii="Arial" w:hAnsi="Arial" w:cs="Arial"/>
        </w:rPr>
        <w:t xml:space="preserve">international </w:t>
      </w:r>
      <w:r w:rsidR="004C5142">
        <w:rPr>
          <w:rFonts w:ascii="Arial" w:hAnsi="Arial" w:cs="Arial"/>
        </w:rPr>
        <w:t>strategic decisions</w:t>
      </w:r>
    </w:p>
    <w:p w14:paraId="2A982900" w14:textId="77777777" w:rsidR="00021297" w:rsidRPr="002D49C1" w:rsidRDefault="00021297" w:rsidP="00317ABC">
      <w:pPr>
        <w:pStyle w:val="ListParagraph"/>
        <w:spacing w:after="120" w:line="240" w:lineRule="auto"/>
        <w:ind w:left="765" w:right="260"/>
        <w:jc w:val="both"/>
        <w:rPr>
          <w:rFonts w:ascii="Arial" w:hAnsi="Arial" w:cs="Arial"/>
          <w:color w:val="000000"/>
        </w:rPr>
      </w:pPr>
    </w:p>
    <w:p w14:paraId="2A69BACB" w14:textId="77777777" w:rsidR="00C729D7" w:rsidRPr="000F400A" w:rsidRDefault="009A2D37" w:rsidP="00317ABC">
      <w:pPr>
        <w:pStyle w:val="ListParagraph"/>
        <w:numPr>
          <w:ilvl w:val="0"/>
          <w:numId w:val="1"/>
        </w:numPr>
        <w:spacing w:after="120" w:line="240" w:lineRule="auto"/>
        <w:ind w:left="426" w:right="260"/>
        <w:rPr>
          <w:rFonts w:ascii="Arial" w:hAnsi="Arial" w:cs="Arial"/>
          <w:b/>
        </w:rPr>
      </w:pPr>
      <w:r w:rsidRPr="000F400A">
        <w:rPr>
          <w:rFonts w:ascii="Arial" w:hAnsi="Arial" w:cs="Arial"/>
          <w:b/>
        </w:rPr>
        <w:t>The intended generic learning outcomes</w:t>
      </w:r>
      <w:r w:rsidR="00C729D7" w:rsidRPr="000F400A">
        <w:rPr>
          <w:rFonts w:ascii="Arial" w:hAnsi="Arial" w:cs="Arial"/>
          <w:b/>
        </w:rPr>
        <w:t>.</w:t>
      </w:r>
      <w:r w:rsidR="00C729D7" w:rsidRPr="000F400A">
        <w:rPr>
          <w:rFonts w:ascii="Arial" w:hAnsi="Arial" w:cs="Arial"/>
          <w:b/>
        </w:rPr>
        <w:br/>
        <w:t>On successfully completing the module students will be able to:</w:t>
      </w:r>
    </w:p>
    <w:p w14:paraId="445F20A3" w14:textId="68812DA8" w:rsidR="00017FC4" w:rsidRPr="00A418CA" w:rsidRDefault="00017FC4" w:rsidP="00A418CA">
      <w:pPr>
        <w:pStyle w:val="ListParagraph"/>
        <w:numPr>
          <w:ilvl w:val="1"/>
          <w:numId w:val="1"/>
        </w:numPr>
        <w:spacing w:after="120" w:line="240" w:lineRule="auto"/>
        <w:ind w:right="260"/>
        <w:jc w:val="both"/>
        <w:rPr>
          <w:rFonts w:ascii="Arial" w:hAnsi="Arial" w:cs="Arial"/>
          <w:color w:val="000000"/>
        </w:rPr>
      </w:pPr>
      <w:r w:rsidRPr="00BD0B02">
        <w:rPr>
          <w:rFonts w:ascii="Arial" w:hAnsi="Arial" w:cs="Arial"/>
        </w:rPr>
        <w:t>Communicate</w:t>
      </w:r>
      <w:r w:rsidRPr="0068470F">
        <w:rPr>
          <w:rFonts w:ascii="Arial" w:hAnsi="Arial" w:cs="Arial"/>
        </w:rPr>
        <w:t xml:space="preserve"> effectively to a variety of audiences a</w:t>
      </w:r>
      <w:r>
        <w:rPr>
          <w:rFonts w:ascii="Arial" w:hAnsi="Arial" w:cs="Arial"/>
        </w:rPr>
        <w:t>nd/or using a variety of methods</w:t>
      </w:r>
    </w:p>
    <w:p w14:paraId="074EC897" w14:textId="109F8CB1" w:rsidR="002D49C1" w:rsidRPr="00A418CA" w:rsidRDefault="004E4272" w:rsidP="00A418CA">
      <w:pPr>
        <w:pStyle w:val="ListParagraph"/>
        <w:numPr>
          <w:ilvl w:val="1"/>
          <w:numId w:val="1"/>
        </w:numPr>
        <w:spacing w:after="120" w:line="240" w:lineRule="auto"/>
        <w:ind w:right="260"/>
        <w:jc w:val="both"/>
        <w:rPr>
          <w:rFonts w:ascii="Arial" w:hAnsi="Arial" w:cs="Arial"/>
          <w:color w:val="000000"/>
        </w:rPr>
      </w:pPr>
      <w:r w:rsidRPr="00A418CA">
        <w:rPr>
          <w:rFonts w:ascii="Arial" w:hAnsi="Arial" w:cs="Arial"/>
          <w:color w:val="000000"/>
        </w:rPr>
        <w:t>Problem solve and making</w:t>
      </w:r>
      <w:r w:rsidR="002D49C1" w:rsidRPr="00A418CA">
        <w:rPr>
          <w:rFonts w:ascii="Arial" w:hAnsi="Arial" w:cs="Arial"/>
          <w:color w:val="000000"/>
        </w:rPr>
        <w:t xml:space="preserve"> decision</w:t>
      </w:r>
      <w:r w:rsidR="009F0F0E" w:rsidRPr="00A418CA">
        <w:rPr>
          <w:rFonts w:ascii="Arial" w:hAnsi="Arial" w:cs="Arial"/>
          <w:color w:val="000000"/>
        </w:rPr>
        <w:t>s</w:t>
      </w:r>
      <w:r w:rsidR="00F2559F" w:rsidRPr="00A418CA">
        <w:rPr>
          <w:rFonts w:ascii="Arial" w:hAnsi="Arial" w:cs="Arial"/>
          <w:color w:val="000000"/>
        </w:rPr>
        <w:t xml:space="preserve"> through the analysis of problems and identification of appropriate solutions</w:t>
      </w:r>
    </w:p>
    <w:p w14:paraId="54E42F4C" w14:textId="4402B690" w:rsidR="002D49C1" w:rsidRPr="00A418CA" w:rsidRDefault="00F2559F" w:rsidP="00A418CA">
      <w:pPr>
        <w:pStyle w:val="ListParagraph"/>
        <w:numPr>
          <w:ilvl w:val="1"/>
          <w:numId w:val="1"/>
        </w:numPr>
        <w:spacing w:after="120" w:line="240" w:lineRule="auto"/>
        <w:ind w:right="260"/>
        <w:jc w:val="both"/>
        <w:rPr>
          <w:rFonts w:ascii="Arial" w:hAnsi="Arial" w:cs="Arial"/>
          <w:color w:val="000000"/>
        </w:rPr>
      </w:pPr>
      <w:r w:rsidRPr="00A418CA">
        <w:rPr>
          <w:rFonts w:ascii="Arial" w:hAnsi="Arial" w:cs="Arial"/>
          <w:color w:val="000000"/>
        </w:rPr>
        <w:t>Apply c</w:t>
      </w:r>
      <w:r w:rsidR="002D49C1" w:rsidRPr="00A418CA">
        <w:rPr>
          <w:rFonts w:ascii="Arial" w:hAnsi="Arial" w:cs="Arial"/>
          <w:color w:val="000000"/>
        </w:rPr>
        <w:t>ritical thinking skill</w:t>
      </w:r>
      <w:r w:rsidRPr="00A418CA">
        <w:rPr>
          <w:rFonts w:ascii="Arial" w:hAnsi="Arial" w:cs="Arial"/>
          <w:color w:val="000000"/>
        </w:rPr>
        <w:t>s</w:t>
      </w:r>
      <w:r w:rsidR="00325199">
        <w:rPr>
          <w:rFonts w:ascii="Arial" w:hAnsi="Arial" w:cs="Arial"/>
          <w:color w:val="000000"/>
        </w:rPr>
        <w:t>,</w:t>
      </w:r>
      <w:r w:rsidRPr="00A418CA">
        <w:rPr>
          <w:rFonts w:ascii="Arial" w:hAnsi="Arial" w:cs="Arial"/>
          <w:color w:val="000000"/>
        </w:rPr>
        <w:t xml:space="preserve"> </w:t>
      </w:r>
      <w:r w:rsidR="00325199">
        <w:rPr>
          <w:rFonts w:ascii="Arial" w:hAnsi="Arial" w:cs="Arial"/>
          <w:color w:val="000000"/>
        </w:rPr>
        <w:t>also when</w:t>
      </w:r>
      <w:r w:rsidRPr="00A418CA">
        <w:rPr>
          <w:rFonts w:ascii="Arial" w:hAnsi="Arial" w:cs="Arial"/>
          <w:color w:val="000000"/>
        </w:rPr>
        <w:t xml:space="preserve"> working with complex material</w:t>
      </w:r>
      <w:r w:rsidR="00325199">
        <w:rPr>
          <w:rFonts w:ascii="Arial" w:hAnsi="Arial" w:cs="Arial"/>
          <w:color w:val="000000"/>
        </w:rPr>
        <w:t xml:space="preserve"> and </w:t>
      </w:r>
      <w:r w:rsidR="00325199" w:rsidRPr="00A418CA">
        <w:rPr>
          <w:rFonts w:ascii="Arial" w:hAnsi="Arial" w:cs="Arial"/>
          <w:color w:val="000000"/>
        </w:rPr>
        <w:t>utilise resources effectively</w:t>
      </w:r>
    </w:p>
    <w:p w14:paraId="26622299" w14:textId="4C116534" w:rsidR="002D49C1" w:rsidRPr="00A418CA" w:rsidRDefault="00F2559F" w:rsidP="00A418CA">
      <w:pPr>
        <w:pStyle w:val="ListParagraph"/>
        <w:numPr>
          <w:ilvl w:val="1"/>
          <w:numId w:val="1"/>
        </w:numPr>
        <w:spacing w:after="120" w:line="240" w:lineRule="auto"/>
        <w:ind w:right="260"/>
        <w:jc w:val="both"/>
        <w:rPr>
          <w:rFonts w:ascii="Arial" w:hAnsi="Arial" w:cs="Arial"/>
          <w:color w:val="000000"/>
        </w:rPr>
      </w:pPr>
      <w:r w:rsidRPr="00A418CA">
        <w:rPr>
          <w:rFonts w:ascii="Arial" w:hAnsi="Arial" w:cs="Arial"/>
          <w:color w:val="000000"/>
        </w:rPr>
        <w:t>S</w:t>
      </w:r>
      <w:r w:rsidR="002D49C1" w:rsidRPr="00A418CA">
        <w:rPr>
          <w:rFonts w:ascii="Arial" w:hAnsi="Arial" w:cs="Arial"/>
          <w:color w:val="000000"/>
        </w:rPr>
        <w:t xml:space="preserve">can and organise data, </w:t>
      </w:r>
      <w:r w:rsidRPr="00A418CA">
        <w:rPr>
          <w:rFonts w:ascii="Arial" w:hAnsi="Arial" w:cs="Arial"/>
          <w:color w:val="000000"/>
        </w:rPr>
        <w:t xml:space="preserve">extract </w:t>
      </w:r>
      <w:r w:rsidR="002D49C1" w:rsidRPr="00A418CA">
        <w:rPr>
          <w:rFonts w:ascii="Arial" w:hAnsi="Arial" w:cs="Arial"/>
          <w:color w:val="000000"/>
        </w:rPr>
        <w:t>meaning from information and share knowledge with others</w:t>
      </w:r>
    </w:p>
    <w:p w14:paraId="1DD60673" w14:textId="77777777" w:rsidR="00021297" w:rsidRPr="002D49C1" w:rsidRDefault="00021297" w:rsidP="00021297">
      <w:pPr>
        <w:pStyle w:val="ListParagraph"/>
        <w:spacing w:before="100" w:beforeAutospacing="1" w:after="100" w:afterAutospacing="1" w:line="240" w:lineRule="auto"/>
        <w:ind w:left="851"/>
        <w:rPr>
          <w:rFonts w:ascii="Arial" w:eastAsia="Times New Roman" w:hAnsi="Arial" w:cs="Arial"/>
          <w:color w:val="000000"/>
        </w:rPr>
      </w:pPr>
    </w:p>
    <w:p w14:paraId="36C22C7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2309E08" w14:textId="6CFD86D4" w:rsidR="002D49C1" w:rsidRPr="00AF03A5" w:rsidRDefault="002D49C1" w:rsidP="00317ABC">
      <w:pPr>
        <w:spacing w:before="100" w:beforeAutospacing="1" w:after="100" w:afterAutospacing="1" w:line="240" w:lineRule="auto"/>
        <w:ind w:left="360"/>
        <w:jc w:val="both"/>
        <w:rPr>
          <w:rFonts w:ascii="Arial" w:eastAsia="Times New Roman" w:hAnsi="Arial" w:cs="Arial"/>
          <w:color w:val="000000"/>
        </w:rPr>
      </w:pPr>
      <w:r w:rsidRPr="00AF03A5">
        <w:rPr>
          <w:rFonts w:ascii="Arial" w:eastAsia="Times New Roman" w:hAnsi="Arial" w:cs="Arial"/>
          <w:color w:val="000000"/>
        </w:rPr>
        <w:t xml:space="preserve">The module will cover a variety of aspects </w:t>
      </w:r>
      <w:r w:rsidR="00325199">
        <w:rPr>
          <w:rFonts w:ascii="Arial" w:eastAsia="Times New Roman" w:hAnsi="Arial" w:cs="Arial"/>
          <w:color w:val="000000"/>
        </w:rPr>
        <w:t xml:space="preserve">imperative for a strategic analysis at a global level </w:t>
      </w:r>
      <w:r w:rsidR="00017FC4">
        <w:rPr>
          <w:rFonts w:ascii="Arial" w:eastAsia="Times New Roman" w:hAnsi="Arial" w:cs="Arial"/>
          <w:color w:val="000000"/>
        </w:rPr>
        <w:t>underpinned</w:t>
      </w:r>
      <w:r w:rsidR="00325199">
        <w:rPr>
          <w:rFonts w:ascii="Arial" w:eastAsia="Times New Roman" w:hAnsi="Arial" w:cs="Arial"/>
          <w:color w:val="000000"/>
        </w:rPr>
        <w:t xml:space="preserve"> </w:t>
      </w:r>
      <w:r w:rsidR="00364BBD">
        <w:rPr>
          <w:rFonts w:ascii="Arial" w:eastAsia="Times New Roman" w:hAnsi="Arial" w:cs="Arial"/>
          <w:color w:val="000000"/>
        </w:rPr>
        <w:t xml:space="preserve">by economic rationales </w:t>
      </w:r>
      <w:r w:rsidRPr="00AF03A5">
        <w:rPr>
          <w:rFonts w:ascii="Arial" w:eastAsia="Times New Roman" w:hAnsi="Arial" w:cs="Arial"/>
          <w:color w:val="000000"/>
        </w:rPr>
        <w:t xml:space="preserve">focusing on the </w:t>
      </w:r>
      <w:r w:rsidR="00325199">
        <w:rPr>
          <w:rFonts w:ascii="Arial" w:eastAsia="Times New Roman" w:hAnsi="Arial" w:cs="Arial"/>
          <w:color w:val="000000"/>
        </w:rPr>
        <w:t>business</w:t>
      </w:r>
      <w:r w:rsidR="00325199" w:rsidRPr="00AF03A5">
        <w:rPr>
          <w:rFonts w:ascii="Arial" w:eastAsia="Times New Roman" w:hAnsi="Arial" w:cs="Arial"/>
          <w:color w:val="000000"/>
        </w:rPr>
        <w:t xml:space="preserve"> </w:t>
      </w:r>
      <w:r w:rsidRPr="00AF03A5">
        <w:rPr>
          <w:rFonts w:ascii="Arial" w:eastAsia="Times New Roman" w:hAnsi="Arial" w:cs="Arial"/>
          <w:color w:val="000000"/>
        </w:rPr>
        <w:t>environment and the way firms interact either as multinational organisations or uni-national organisations that compete with multinationals. It will cover the following areas:</w:t>
      </w:r>
    </w:p>
    <w:p w14:paraId="2E2B79B7" w14:textId="77777777" w:rsidR="002D49C1" w:rsidRPr="00AF03A5" w:rsidRDefault="002D49C1"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Globalisation and the global business environment</w:t>
      </w:r>
    </w:p>
    <w:p w14:paraId="54E92F08" w14:textId="552A6BB9" w:rsidR="000F400A" w:rsidRDefault="000F400A"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 xml:space="preserve">Global strategies and </w:t>
      </w:r>
      <w:r w:rsidR="00094369">
        <w:rPr>
          <w:rFonts w:ascii="Arial" w:eastAsia="Times New Roman" w:hAnsi="Arial" w:cs="Arial"/>
          <w:color w:val="000000"/>
        </w:rPr>
        <w:t>their</w:t>
      </w:r>
      <w:r w:rsidR="00094369" w:rsidRPr="00AF03A5">
        <w:rPr>
          <w:rFonts w:ascii="Arial" w:eastAsia="Times New Roman" w:hAnsi="Arial" w:cs="Arial"/>
          <w:color w:val="000000"/>
        </w:rPr>
        <w:t xml:space="preserve"> </w:t>
      </w:r>
      <w:r w:rsidRPr="00AF03A5">
        <w:rPr>
          <w:rFonts w:ascii="Arial" w:eastAsia="Times New Roman" w:hAnsi="Arial" w:cs="Arial"/>
          <w:color w:val="000000"/>
        </w:rPr>
        <w:t>determinants</w:t>
      </w:r>
    </w:p>
    <w:p w14:paraId="5B678E3F" w14:textId="18B3D148" w:rsidR="00381C71" w:rsidRPr="00AF03A5" w:rsidRDefault="00381C71"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lastRenderedPageBreak/>
        <w:t xml:space="preserve">The economic rationale </w:t>
      </w:r>
      <w:r w:rsidR="00094369">
        <w:rPr>
          <w:rFonts w:ascii="Arial" w:eastAsia="Times New Roman" w:hAnsi="Arial" w:cs="Arial"/>
          <w:color w:val="000000"/>
        </w:rPr>
        <w:t>for globalisation and international expansion</w:t>
      </w:r>
    </w:p>
    <w:p w14:paraId="10BE1FAC" w14:textId="1B11B234" w:rsidR="002D49C1" w:rsidRPr="00AF03A5" w:rsidRDefault="000F400A"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Building a global organisation</w:t>
      </w:r>
      <w:r w:rsidR="00D66803">
        <w:rPr>
          <w:rFonts w:ascii="Arial" w:eastAsia="Times New Roman" w:hAnsi="Arial" w:cs="Arial"/>
          <w:color w:val="000000"/>
        </w:rPr>
        <w:t xml:space="preserve"> through the successful creation of new</w:t>
      </w:r>
      <w:r w:rsidR="00E5026D">
        <w:rPr>
          <w:rFonts w:ascii="Arial" w:eastAsia="Times New Roman" w:hAnsi="Arial" w:cs="Arial"/>
          <w:color w:val="000000"/>
        </w:rPr>
        <w:t xml:space="preserve"> ve</w:t>
      </w:r>
      <w:r w:rsidR="00262B66">
        <w:rPr>
          <w:rFonts w:ascii="Arial" w:eastAsia="Times New Roman" w:hAnsi="Arial" w:cs="Arial"/>
          <w:color w:val="000000"/>
        </w:rPr>
        <w:t>ntures</w:t>
      </w:r>
    </w:p>
    <w:p w14:paraId="68D1D430" w14:textId="77777777" w:rsidR="002D49C1" w:rsidRPr="00AF03A5" w:rsidRDefault="000F400A"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 xml:space="preserve">Risk analysis, country risk, </w:t>
      </w:r>
      <w:r w:rsidR="002D49C1" w:rsidRPr="00AF03A5">
        <w:rPr>
          <w:rFonts w:ascii="Arial" w:eastAsia="Times New Roman" w:hAnsi="Arial" w:cs="Arial"/>
          <w:color w:val="000000"/>
        </w:rPr>
        <w:t xml:space="preserve">political risk </w:t>
      </w:r>
      <w:r w:rsidRPr="00AF03A5">
        <w:rPr>
          <w:rFonts w:ascii="Arial" w:eastAsia="Times New Roman" w:hAnsi="Arial" w:cs="Arial"/>
          <w:color w:val="000000"/>
        </w:rPr>
        <w:t xml:space="preserve">institutional environment </w:t>
      </w:r>
      <w:r w:rsidR="002D49C1" w:rsidRPr="00AF03A5">
        <w:rPr>
          <w:rFonts w:ascii="Arial" w:eastAsia="Times New Roman" w:hAnsi="Arial" w:cs="Arial"/>
          <w:color w:val="000000"/>
        </w:rPr>
        <w:t xml:space="preserve">and </w:t>
      </w:r>
      <w:r w:rsidRPr="00AF03A5">
        <w:rPr>
          <w:rFonts w:ascii="Arial" w:eastAsia="Times New Roman" w:hAnsi="Arial" w:cs="Arial"/>
          <w:color w:val="000000"/>
        </w:rPr>
        <w:t>organisational responses</w:t>
      </w:r>
    </w:p>
    <w:p w14:paraId="54C612F2" w14:textId="77777777" w:rsidR="000F400A" w:rsidRPr="00AF03A5" w:rsidRDefault="000F400A"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Non-market strategies</w:t>
      </w:r>
    </w:p>
    <w:p w14:paraId="4DD1C221" w14:textId="77777777" w:rsidR="000F400A" w:rsidRPr="00AF03A5" w:rsidRDefault="000F400A"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sidRPr="00AF03A5">
        <w:rPr>
          <w:rFonts w:ascii="Arial" w:eastAsia="Times New Roman" w:hAnsi="Arial" w:cs="Arial"/>
          <w:color w:val="000000"/>
        </w:rPr>
        <w:t>Ethics and corporate social responsibility in the global context</w:t>
      </w:r>
    </w:p>
    <w:p w14:paraId="03113B44" w14:textId="6AF937C5" w:rsidR="009A2D37" w:rsidRPr="00AF03A5" w:rsidRDefault="00B7060D" w:rsidP="00317ABC">
      <w:pPr>
        <w:pStyle w:val="ListParagraph"/>
        <w:numPr>
          <w:ilvl w:val="0"/>
          <w:numId w:val="9"/>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Managing s</w:t>
      </w:r>
      <w:r w:rsidR="000F400A" w:rsidRPr="00AF03A5">
        <w:rPr>
          <w:rFonts w:ascii="Arial" w:eastAsia="Times New Roman" w:hAnsi="Arial" w:cs="Arial"/>
          <w:color w:val="000000"/>
        </w:rPr>
        <w:t>trategic Innovation and change</w:t>
      </w:r>
    </w:p>
    <w:p w14:paraId="471B59E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3ECFB9" w14:textId="6EFC1C7F" w:rsidR="00E30BE2" w:rsidRDefault="00E30BE2" w:rsidP="00317ABC">
      <w:pPr>
        <w:pStyle w:val="NormalWeb"/>
        <w:numPr>
          <w:ilvl w:val="0"/>
          <w:numId w:val="10"/>
        </w:numPr>
        <w:jc w:val="both"/>
        <w:rPr>
          <w:rFonts w:ascii="Arial" w:hAnsi="Arial" w:cs="Arial"/>
          <w:color w:val="000000"/>
          <w:sz w:val="22"/>
          <w:szCs w:val="22"/>
        </w:rPr>
      </w:pPr>
      <w:r>
        <w:rPr>
          <w:rFonts w:ascii="Arial" w:hAnsi="Arial" w:cs="Arial"/>
          <w:color w:val="000000"/>
          <w:sz w:val="22"/>
          <w:szCs w:val="22"/>
        </w:rPr>
        <w:t>CORE</w:t>
      </w:r>
      <w:r w:rsidR="007F4F82">
        <w:rPr>
          <w:rFonts w:ascii="Arial" w:hAnsi="Arial" w:cs="Arial"/>
          <w:color w:val="000000"/>
          <w:sz w:val="22"/>
          <w:szCs w:val="22"/>
        </w:rPr>
        <w:t xml:space="preserve"> (2020) The Economy, the online</w:t>
      </w:r>
      <w:r w:rsidR="00E34678">
        <w:rPr>
          <w:rFonts w:ascii="Arial" w:hAnsi="Arial" w:cs="Arial"/>
          <w:color w:val="000000"/>
          <w:sz w:val="22"/>
          <w:szCs w:val="22"/>
        </w:rPr>
        <w:t>, open access</w:t>
      </w:r>
      <w:r w:rsidR="007F4F82">
        <w:rPr>
          <w:rFonts w:ascii="Arial" w:hAnsi="Arial" w:cs="Arial"/>
          <w:color w:val="000000"/>
          <w:sz w:val="22"/>
          <w:szCs w:val="22"/>
        </w:rPr>
        <w:t xml:space="preserve"> textbook</w:t>
      </w:r>
      <w:r w:rsidR="006D4D8D">
        <w:rPr>
          <w:rFonts w:ascii="Arial" w:hAnsi="Arial" w:cs="Arial"/>
          <w:color w:val="000000"/>
          <w:sz w:val="22"/>
          <w:szCs w:val="22"/>
        </w:rPr>
        <w:t xml:space="preserve">, available at: </w:t>
      </w:r>
      <w:hyperlink r:id="rId8" w:history="1">
        <w:r w:rsidR="006D4D8D" w:rsidRPr="00B34A39">
          <w:rPr>
            <w:rStyle w:val="Hyperlink"/>
            <w:rFonts w:ascii="Arial" w:hAnsi="Arial" w:cs="Arial"/>
            <w:sz w:val="22"/>
            <w:szCs w:val="22"/>
          </w:rPr>
          <w:t>https://core-econ.org/the-economy/index.html</w:t>
        </w:r>
      </w:hyperlink>
      <w:r w:rsidR="00E34678">
        <w:rPr>
          <w:rFonts w:ascii="Arial" w:hAnsi="Arial" w:cs="Arial"/>
          <w:color w:val="000000"/>
          <w:sz w:val="22"/>
          <w:szCs w:val="22"/>
        </w:rPr>
        <w:t xml:space="preserve"> </w:t>
      </w:r>
      <w:r w:rsidR="006D4D8D">
        <w:rPr>
          <w:rFonts w:ascii="Arial" w:hAnsi="Arial" w:cs="Arial"/>
          <w:color w:val="000000"/>
          <w:sz w:val="22"/>
          <w:szCs w:val="22"/>
        </w:rPr>
        <w:t xml:space="preserve"> </w:t>
      </w:r>
    </w:p>
    <w:p w14:paraId="675FB297" w14:textId="57738A06" w:rsidR="00364BBD" w:rsidRDefault="00364BBD" w:rsidP="00317ABC">
      <w:pPr>
        <w:pStyle w:val="NormalWeb"/>
        <w:numPr>
          <w:ilvl w:val="0"/>
          <w:numId w:val="10"/>
        </w:numPr>
        <w:jc w:val="both"/>
        <w:rPr>
          <w:rFonts w:ascii="Arial" w:hAnsi="Arial" w:cs="Arial"/>
          <w:color w:val="000000"/>
          <w:sz w:val="22"/>
          <w:szCs w:val="22"/>
        </w:rPr>
      </w:pPr>
      <w:r>
        <w:rPr>
          <w:rFonts w:ascii="Arial" w:hAnsi="Arial" w:cs="Arial"/>
          <w:color w:val="000000"/>
          <w:sz w:val="22"/>
          <w:szCs w:val="22"/>
        </w:rPr>
        <w:t xml:space="preserve">Philips. P. and </w:t>
      </w:r>
      <w:proofErr w:type="spellStart"/>
      <w:r>
        <w:rPr>
          <w:rFonts w:ascii="Arial" w:hAnsi="Arial" w:cs="Arial"/>
          <w:color w:val="000000"/>
          <w:sz w:val="22"/>
          <w:szCs w:val="22"/>
        </w:rPr>
        <w:t>Moutinho</w:t>
      </w:r>
      <w:proofErr w:type="spellEnd"/>
      <w:r>
        <w:rPr>
          <w:rFonts w:ascii="Arial" w:hAnsi="Arial" w:cs="Arial"/>
          <w:color w:val="000000"/>
          <w:sz w:val="22"/>
          <w:szCs w:val="22"/>
        </w:rPr>
        <w:t xml:space="preserve"> L (2018) </w:t>
      </w:r>
      <w:r>
        <w:rPr>
          <w:rFonts w:ascii="Arial" w:hAnsi="Arial" w:cs="Arial"/>
          <w:i/>
          <w:color w:val="000000"/>
          <w:sz w:val="22"/>
          <w:szCs w:val="22"/>
        </w:rPr>
        <w:t>Contemp</w:t>
      </w:r>
      <w:r w:rsidR="00670580">
        <w:rPr>
          <w:rFonts w:ascii="Arial" w:hAnsi="Arial" w:cs="Arial"/>
          <w:i/>
          <w:color w:val="000000"/>
          <w:sz w:val="22"/>
          <w:szCs w:val="22"/>
        </w:rPr>
        <w:t>o</w:t>
      </w:r>
      <w:r>
        <w:rPr>
          <w:rFonts w:ascii="Arial" w:hAnsi="Arial" w:cs="Arial"/>
          <w:i/>
          <w:color w:val="000000"/>
          <w:sz w:val="22"/>
          <w:szCs w:val="22"/>
        </w:rPr>
        <w:t xml:space="preserve">rary Issues in Strategic Management, </w:t>
      </w:r>
      <w:r>
        <w:rPr>
          <w:rFonts w:ascii="Arial" w:hAnsi="Arial" w:cs="Arial"/>
          <w:color w:val="000000"/>
          <w:sz w:val="22"/>
          <w:szCs w:val="22"/>
        </w:rPr>
        <w:t>Routledge, New York</w:t>
      </w:r>
    </w:p>
    <w:p w14:paraId="7F5591BE" w14:textId="020DD2E1" w:rsidR="000F400A" w:rsidRDefault="000F400A" w:rsidP="00317ABC">
      <w:pPr>
        <w:pStyle w:val="NormalWeb"/>
        <w:numPr>
          <w:ilvl w:val="0"/>
          <w:numId w:val="10"/>
        </w:numPr>
        <w:jc w:val="both"/>
        <w:rPr>
          <w:rFonts w:ascii="Arial" w:hAnsi="Arial" w:cs="Arial"/>
          <w:color w:val="000000"/>
          <w:sz w:val="22"/>
          <w:szCs w:val="22"/>
        </w:rPr>
      </w:pPr>
      <w:r w:rsidRPr="000F400A">
        <w:rPr>
          <w:rFonts w:ascii="Arial" w:hAnsi="Arial" w:cs="Arial"/>
          <w:color w:val="000000"/>
          <w:sz w:val="22"/>
          <w:szCs w:val="22"/>
        </w:rPr>
        <w:t>Dicken, P. (201</w:t>
      </w:r>
      <w:r w:rsidR="004152D9">
        <w:rPr>
          <w:rFonts w:ascii="Arial" w:hAnsi="Arial" w:cs="Arial"/>
          <w:color w:val="000000"/>
          <w:sz w:val="22"/>
          <w:szCs w:val="22"/>
        </w:rPr>
        <w:t>5</w:t>
      </w:r>
      <w:r w:rsidRPr="000F400A">
        <w:rPr>
          <w:rFonts w:ascii="Arial" w:hAnsi="Arial" w:cs="Arial"/>
          <w:color w:val="000000"/>
          <w:sz w:val="22"/>
          <w:szCs w:val="22"/>
        </w:rPr>
        <w:t xml:space="preserve">) </w:t>
      </w:r>
      <w:r w:rsidRPr="00A418CA">
        <w:rPr>
          <w:rFonts w:ascii="Arial" w:hAnsi="Arial" w:cs="Arial"/>
          <w:i/>
          <w:color w:val="000000"/>
          <w:sz w:val="22"/>
          <w:szCs w:val="22"/>
        </w:rPr>
        <w:t>Global Shift: Mapping the Changing Contours of the World Economy</w:t>
      </w:r>
      <w:r w:rsidRPr="000F400A">
        <w:rPr>
          <w:rFonts w:ascii="Arial" w:hAnsi="Arial" w:cs="Arial"/>
          <w:color w:val="000000"/>
          <w:sz w:val="22"/>
          <w:szCs w:val="22"/>
        </w:rPr>
        <w:t>, (</w:t>
      </w:r>
      <w:r w:rsidR="004152D9">
        <w:rPr>
          <w:rFonts w:ascii="Arial" w:hAnsi="Arial" w:cs="Arial"/>
          <w:color w:val="000000"/>
          <w:sz w:val="22"/>
          <w:szCs w:val="22"/>
        </w:rPr>
        <w:t>7</w:t>
      </w:r>
      <w:r w:rsidR="004152D9" w:rsidRPr="004152D9">
        <w:rPr>
          <w:rFonts w:ascii="Arial" w:hAnsi="Arial" w:cs="Arial"/>
          <w:color w:val="000000"/>
          <w:sz w:val="22"/>
          <w:szCs w:val="22"/>
          <w:vertAlign w:val="superscript"/>
        </w:rPr>
        <w:t>th</w:t>
      </w:r>
      <w:r w:rsidR="004152D9">
        <w:rPr>
          <w:rFonts w:ascii="Arial" w:hAnsi="Arial" w:cs="Arial"/>
          <w:color w:val="000000"/>
          <w:sz w:val="22"/>
          <w:szCs w:val="22"/>
        </w:rPr>
        <w:t xml:space="preserve"> </w:t>
      </w:r>
      <w:r w:rsidRPr="000F400A">
        <w:rPr>
          <w:rFonts w:ascii="Arial" w:hAnsi="Arial" w:cs="Arial"/>
          <w:color w:val="000000"/>
          <w:sz w:val="22"/>
          <w:szCs w:val="22"/>
        </w:rPr>
        <w:t>edition) New York: Guilford Publications</w:t>
      </w:r>
    </w:p>
    <w:p w14:paraId="0F956795" w14:textId="37960AC7" w:rsidR="004152D9" w:rsidRDefault="004152D9" w:rsidP="00317ABC">
      <w:pPr>
        <w:pStyle w:val="ListParagraph"/>
        <w:numPr>
          <w:ilvl w:val="0"/>
          <w:numId w:val="10"/>
        </w:numPr>
        <w:spacing w:after="120" w:line="240" w:lineRule="auto"/>
        <w:ind w:right="260"/>
        <w:jc w:val="both"/>
        <w:rPr>
          <w:rFonts w:ascii="Arial" w:hAnsi="Arial" w:cs="Arial"/>
          <w:color w:val="000000"/>
        </w:rPr>
      </w:pPr>
      <w:r>
        <w:rPr>
          <w:rFonts w:ascii="Arial" w:hAnsi="Arial" w:cs="Arial"/>
          <w:color w:val="000000"/>
        </w:rPr>
        <w:t xml:space="preserve">Peng, M. (2013) </w:t>
      </w:r>
      <w:r w:rsidRPr="00A418CA">
        <w:rPr>
          <w:rFonts w:ascii="Arial" w:hAnsi="Arial" w:cs="Arial"/>
          <w:i/>
          <w:color w:val="000000"/>
        </w:rPr>
        <w:t>Global Strategic Management,</w:t>
      </w:r>
      <w:r>
        <w:rPr>
          <w:rFonts w:ascii="Arial" w:hAnsi="Arial" w:cs="Arial"/>
          <w:color w:val="000000"/>
        </w:rPr>
        <w:t xml:space="preserve"> (3</w:t>
      </w:r>
      <w:r w:rsidRPr="004152D9">
        <w:rPr>
          <w:rFonts w:ascii="Arial" w:hAnsi="Arial" w:cs="Arial"/>
          <w:color w:val="000000"/>
          <w:vertAlign w:val="superscript"/>
        </w:rPr>
        <w:t>rd</w:t>
      </w:r>
      <w:r>
        <w:rPr>
          <w:rFonts w:ascii="Arial" w:hAnsi="Arial" w:cs="Arial"/>
          <w:color w:val="000000"/>
        </w:rPr>
        <w:t xml:space="preserve"> Edition), South-Western College Publishing</w:t>
      </w:r>
    </w:p>
    <w:p w14:paraId="10C52328" w14:textId="1A565A9F" w:rsidR="00021297" w:rsidRDefault="00021297" w:rsidP="00317ABC">
      <w:pPr>
        <w:pStyle w:val="ListParagraph"/>
        <w:numPr>
          <w:ilvl w:val="0"/>
          <w:numId w:val="10"/>
        </w:numPr>
        <w:spacing w:after="120" w:line="240" w:lineRule="auto"/>
        <w:ind w:right="260"/>
        <w:jc w:val="both"/>
        <w:rPr>
          <w:rFonts w:ascii="Arial" w:hAnsi="Arial" w:cs="Arial"/>
          <w:color w:val="000000"/>
        </w:rPr>
      </w:pPr>
      <w:r w:rsidRPr="00021297">
        <w:rPr>
          <w:rFonts w:ascii="Arial" w:hAnsi="Arial" w:cs="Arial"/>
          <w:color w:val="000000"/>
        </w:rPr>
        <w:t xml:space="preserve">Mintzberg, H., </w:t>
      </w:r>
      <w:proofErr w:type="spellStart"/>
      <w:r w:rsidRPr="00021297">
        <w:rPr>
          <w:rFonts w:ascii="Arial" w:hAnsi="Arial" w:cs="Arial"/>
          <w:color w:val="000000"/>
        </w:rPr>
        <w:t>Lampel</w:t>
      </w:r>
      <w:proofErr w:type="spellEnd"/>
      <w:r w:rsidRPr="00021297">
        <w:rPr>
          <w:rFonts w:ascii="Arial" w:hAnsi="Arial" w:cs="Arial"/>
          <w:color w:val="000000"/>
        </w:rPr>
        <w:t xml:space="preserve">, J., Quinn, J. B. and S. Ghoshal (2003) </w:t>
      </w:r>
      <w:r w:rsidRPr="00A418CA">
        <w:rPr>
          <w:rFonts w:ascii="Arial" w:hAnsi="Arial" w:cs="Arial"/>
          <w:i/>
          <w:color w:val="000000"/>
        </w:rPr>
        <w:t>The Strategy Process</w:t>
      </w:r>
      <w:r w:rsidRPr="00021297">
        <w:rPr>
          <w:rFonts w:ascii="Arial" w:hAnsi="Arial" w:cs="Arial"/>
          <w:color w:val="000000"/>
        </w:rPr>
        <w:t>, (4th edition), Prentice Hall Publishing.</w:t>
      </w:r>
    </w:p>
    <w:p w14:paraId="75E27631" w14:textId="77777777" w:rsidR="000F400A" w:rsidRDefault="000F400A" w:rsidP="00317ABC">
      <w:pPr>
        <w:pStyle w:val="ListParagraph"/>
        <w:numPr>
          <w:ilvl w:val="0"/>
          <w:numId w:val="10"/>
        </w:numPr>
        <w:spacing w:after="120" w:line="240" w:lineRule="auto"/>
        <w:ind w:right="260"/>
        <w:jc w:val="both"/>
        <w:rPr>
          <w:rFonts w:ascii="Arial" w:hAnsi="Arial" w:cs="Arial"/>
          <w:color w:val="000000"/>
        </w:rPr>
      </w:pPr>
      <w:r w:rsidRPr="00021297">
        <w:rPr>
          <w:rFonts w:ascii="Arial" w:hAnsi="Arial" w:cs="Arial"/>
          <w:color w:val="000000"/>
        </w:rPr>
        <w:t xml:space="preserve">Rugman, A.M. (ed.) (2009) </w:t>
      </w:r>
      <w:r w:rsidRPr="00A418CA">
        <w:rPr>
          <w:rFonts w:ascii="Arial" w:hAnsi="Arial" w:cs="Arial"/>
          <w:i/>
          <w:color w:val="000000"/>
        </w:rPr>
        <w:t>The Oxford Handbook of International Business</w:t>
      </w:r>
      <w:r w:rsidRPr="00021297">
        <w:rPr>
          <w:rFonts w:ascii="Arial" w:hAnsi="Arial" w:cs="Arial"/>
          <w:color w:val="000000"/>
        </w:rPr>
        <w:t>, Oxford: Oxford University Press</w:t>
      </w:r>
    </w:p>
    <w:p w14:paraId="12284DAF" w14:textId="52FDBCCB" w:rsidR="004152D9" w:rsidRPr="00021297" w:rsidRDefault="004152D9" w:rsidP="00317ABC">
      <w:pPr>
        <w:pStyle w:val="ListParagraph"/>
        <w:numPr>
          <w:ilvl w:val="0"/>
          <w:numId w:val="10"/>
        </w:numPr>
        <w:spacing w:after="120" w:line="240" w:lineRule="auto"/>
        <w:ind w:right="260"/>
        <w:jc w:val="both"/>
        <w:rPr>
          <w:rFonts w:ascii="Arial" w:hAnsi="Arial" w:cs="Arial"/>
          <w:color w:val="000000"/>
        </w:rPr>
      </w:pPr>
      <w:r>
        <w:rPr>
          <w:rFonts w:ascii="Arial" w:hAnsi="Arial" w:cs="Arial"/>
          <w:color w:val="000000"/>
        </w:rPr>
        <w:t>Selected articles from Journal of World Business, Global Strategy Journal, Journal of International Business Studies, Strategic Management Journal and Harvard Business Review</w:t>
      </w:r>
    </w:p>
    <w:p w14:paraId="6EC5BC11"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D9F34D" w14:textId="48BD8E0C" w:rsidR="00B8397F" w:rsidRDefault="00B8397F" w:rsidP="00317ABC">
      <w:pPr>
        <w:spacing w:after="120" w:line="240" w:lineRule="auto"/>
        <w:ind w:left="426" w:right="260"/>
        <w:jc w:val="both"/>
        <w:rPr>
          <w:rFonts w:ascii="Arial" w:hAnsi="Arial" w:cs="Arial"/>
          <w:color w:val="000000"/>
        </w:rPr>
      </w:pPr>
      <w:r>
        <w:rPr>
          <w:rFonts w:ascii="Arial" w:hAnsi="Arial" w:cs="Arial"/>
          <w:color w:val="000000"/>
        </w:rPr>
        <w:t>Contact hours: 36</w:t>
      </w:r>
    </w:p>
    <w:p w14:paraId="1091E9A8" w14:textId="6C501E41" w:rsidR="00B8397F" w:rsidRDefault="00B8397F" w:rsidP="00317ABC">
      <w:pPr>
        <w:spacing w:after="120" w:line="240" w:lineRule="auto"/>
        <w:ind w:left="426" w:right="260"/>
        <w:jc w:val="both"/>
        <w:rPr>
          <w:rFonts w:ascii="Arial" w:hAnsi="Arial" w:cs="Arial"/>
          <w:color w:val="000000"/>
        </w:rPr>
      </w:pPr>
      <w:r>
        <w:rPr>
          <w:rFonts w:ascii="Arial" w:hAnsi="Arial" w:cs="Arial"/>
          <w:color w:val="000000"/>
        </w:rPr>
        <w:t>Private study hours: 114</w:t>
      </w:r>
    </w:p>
    <w:p w14:paraId="1F8C817B" w14:textId="58A583E5" w:rsidR="00B8397F" w:rsidRDefault="00B8397F" w:rsidP="00317ABC">
      <w:pPr>
        <w:spacing w:after="120" w:line="240" w:lineRule="auto"/>
        <w:ind w:left="426" w:right="260"/>
        <w:jc w:val="both"/>
        <w:rPr>
          <w:rFonts w:ascii="Arial" w:hAnsi="Arial" w:cs="Arial"/>
          <w:color w:val="000000"/>
        </w:rPr>
      </w:pPr>
      <w:r>
        <w:rPr>
          <w:rFonts w:ascii="Arial" w:hAnsi="Arial" w:cs="Arial"/>
          <w:color w:val="000000"/>
        </w:rPr>
        <w:t>Total hours: 150</w:t>
      </w:r>
    </w:p>
    <w:p w14:paraId="735743DE" w14:textId="77777777" w:rsidR="00B9109B" w:rsidRPr="000F400A"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E28C38D" w14:textId="6897C6C7" w:rsidR="00B8397F" w:rsidRPr="00E53D91" w:rsidRDefault="00B8397F" w:rsidP="00E53D91">
      <w:pPr>
        <w:pStyle w:val="ListParagraph"/>
        <w:numPr>
          <w:ilvl w:val="1"/>
          <w:numId w:val="1"/>
        </w:numPr>
        <w:spacing w:after="120" w:line="240" w:lineRule="auto"/>
        <w:ind w:right="260"/>
        <w:jc w:val="both"/>
        <w:rPr>
          <w:rFonts w:ascii="Arial" w:hAnsi="Arial" w:cs="Arial"/>
          <w:color w:val="000000"/>
        </w:rPr>
      </w:pPr>
      <w:r w:rsidRPr="00E53D91">
        <w:rPr>
          <w:rFonts w:ascii="Arial" w:hAnsi="Arial" w:cs="Arial"/>
          <w:color w:val="000000"/>
        </w:rPr>
        <w:t>Main assessment methods</w:t>
      </w:r>
    </w:p>
    <w:p w14:paraId="6CE2D282" w14:textId="77777777" w:rsidR="00B8397F" w:rsidRDefault="00B8397F" w:rsidP="00E53D91">
      <w:pPr>
        <w:pStyle w:val="ListParagraph"/>
        <w:spacing w:after="120" w:line="240" w:lineRule="auto"/>
        <w:ind w:left="765" w:right="260"/>
        <w:jc w:val="both"/>
        <w:rPr>
          <w:rFonts w:ascii="Arial" w:hAnsi="Arial" w:cs="Arial"/>
          <w:color w:val="000000"/>
        </w:rPr>
      </w:pPr>
    </w:p>
    <w:p w14:paraId="46DFC00D" w14:textId="37CC76CC" w:rsidR="00B8397F" w:rsidRDefault="00B8397F" w:rsidP="0037563B">
      <w:pPr>
        <w:pStyle w:val="ListParagraph"/>
        <w:spacing w:after="120" w:line="240" w:lineRule="auto"/>
        <w:ind w:left="765" w:right="260" w:firstLine="675"/>
        <w:jc w:val="both"/>
        <w:rPr>
          <w:rFonts w:ascii="Arial" w:hAnsi="Arial" w:cs="Arial"/>
          <w:color w:val="000000"/>
        </w:rPr>
      </w:pPr>
      <w:r>
        <w:rPr>
          <w:rFonts w:ascii="Arial" w:hAnsi="Arial" w:cs="Arial"/>
          <w:color w:val="000000"/>
        </w:rPr>
        <w:t>Group presentation, 25-30 min (20%)</w:t>
      </w:r>
    </w:p>
    <w:p w14:paraId="10D789C1" w14:textId="350531EF" w:rsidR="00B8397F" w:rsidRDefault="00B8397F" w:rsidP="0037563B">
      <w:pPr>
        <w:pStyle w:val="ListParagraph"/>
        <w:spacing w:after="120" w:line="240" w:lineRule="auto"/>
        <w:ind w:left="765" w:right="260" w:firstLine="675"/>
        <w:jc w:val="both"/>
        <w:rPr>
          <w:rFonts w:ascii="Arial" w:hAnsi="Arial" w:cs="Arial"/>
          <w:color w:val="000000"/>
        </w:rPr>
      </w:pPr>
      <w:r>
        <w:rPr>
          <w:rFonts w:ascii="Arial" w:hAnsi="Arial" w:cs="Arial"/>
          <w:color w:val="000000"/>
        </w:rPr>
        <w:t>Individual Report, 3,000 words (80%)</w:t>
      </w:r>
    </w:p>
    <w:p w14:paraId="23595E44" w14:textId="77777777" w:rsidR="00B8397F" w:rsidRDefault="00B8397F" w:rsidP="00E53D91">
      <w:pPr>
        <w:pStyle w:val="ListParagraph"/>
        <w:spacing w:after="120" w:line="240" w:lineRule="auto"/>
        <w:ind w:left="765" w:right="260"/>
        <w:jc w:val="both"/>
        <w:rPr>
          <w:rFonts w:ascii="Arial" w:hAnsi="Arial" w:cs="Arial"/>
          <w:color w:val="000000"/>
        </w:rPr>
      </w:pPr>
    </w:p>
    <w:p w14:paraId="36821246" w14:textId="6EC73465" w:rsidR="00B8397F" w:rsidRDefault="00B8397F" w:rsidP="00E53D91">
      <w:pPr>
        <w:pStyle w:val="ListParagraph"/>
        <w:numPr>
          <w:ilvl w:val="1"/>
          <w:numId w:val="1"/>
        </w:numPr>
        <w:spacing w:after="120" w:line="240" w:lineRule="auto"/>
        <w:ind w:right="260"/>
        <w:jc w:val="both"/>
        <w:rPr>
          <w:rFonts w:ascii="Arial" w:hAnsi="Arial" w:cs="Arial"/>
          <w:color w:val="000000"/>
        </w:rPr>
      </w:pPr>
      <w:r>
        <w:rPr>
          <w:rFonts w:ascii="Arial" w:hAnsi="Arial" w:cs="Arial"/>
          <w:color w:val="000000"/>
        </w:rPr>
        <w:t>Re-assessment methods</w:t>
      </w:r>
    </w:p>
    <w:p w14:paraId="3703CA6B" w14:textId="77777777" w:rsidR="00B8397F" w:rsidRDefault="00B8397F" w:rsidP="00E53D91">
      <w:pPr>
        <w:pStyle w:val="ListParagraph"/>
        <w:spacing w:after="120" w:line="240" w:lineRule="auto"/>
        <w:ind w:left="765" w:right="260"/>
        <w:jc w:val="both"/>
        <w:rPr>
          <w:rFonts w:ascii="Arial" w:hAnsi="Arial" w:cs="Arial"/>
          <w:color w:val="000000"/>
        </w:rPr>
      </w:pPr>
    </w:p>
    <w:p w14:paraId="6B31FC1A" w14:textId="77A1638F" w:rsidR="00B8397F" w:rsidRPr="00E53D91" w:rsidRDefault="00B8397F" w:rsidP="0037563B">
      <w:pPr>
        <w:pStyle w:val="ListParagraph"/>
        <w:spacing w:after="120" w:line="240" w:lineRule="auto"/>
        <w:ind w:left="765" w:right="260" w:firstLine="675"/>
        <w:jc w:val="both"/>
        <w:rPr>
          <w:rFonts w:ascii="Arial" w:hAnsi="Arial" w:cs="Arial"/>
          <w:color w:val="000000"/>
        </w:rPr>
      </w:pPr>
      <w:r>
        <w:rPr>
          <w:rFonts w:ascii="Arial" w:hAnsi="Arial" w:cs="Arial"/>
          <w:color w:val="000000"/>
        </w:rPr>
        <w:t>100% coursework</w:t>
      </w:r>
    </w:p>
    <w:p w14:paraId="5FD493F8" w14:textId="189CA332" w:rsidR="00F13B06" w:rsidRPr="000F400A" w:rsidRDefault="00F13B06" w:rsidP="00026EC2">
      <w:pPr>
        <w:spacing w:after="120" w:line="240" w:lineRule="auto"/>
        <w:ind w:right="260"/>
        <w:jc w:val="both"/>
        <w:rPr>
          <w:rFonts w:ascii="Arial" w:hAnsi="Arial" w:cs="Arial"/>
          <w:b/>
          <w:i/>
          <w:iCs/>
        </w:rPr>
      </w:pPr>
    </w:p>
    <w:p w14:paraId="50C43ABD"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3052"/>
        <w:gridCol w:w="824"/>
        <w:gridCol w:w="824"/>
        <w:gridCol w:w="824"/>
        <w:gridCol w:w="824"/>
        <w:gridCol w:w="824"/>
        <w:gridCol w:w="822"/>
        <w:gridCol w:w="822"/>
        <w:gridCol w:w="822"/>
        <w:gridCol w:w="818"/>
      </w:tblGrid>
      <w:tr w:rsidR="00364BBD" w:rsidRPr="0037563B" w14:paraId="5C975813" w14:textId="77777777" w:rsidTr="0037563B">
        <w:tc>
          <w:tcPr>
            <w:tcW w:w="1459" w:type="pct"/>
            <w:shd w:val="clear" w:color="auto" w:fill="D9D9D9" w:themeFill="background1" w:themeFillShade="D9"/>
          </w:tcPr>
          <w:p w14:paraId="130E4BB1" w14:textId="77777777" w:rsidR="00364BBD" w:rsidRPr="0037563B" w:rsidRDefault="00364BBD" w:rsidP="00162590">
            <w:pPr>
              <w:spacing w:after="120"/>
              <w:ind w:left="33"/>
              <w:rPr>
                <w:rFonts w:ascii="Arial" w:hAnsi="Arial" w:cs="Arial"/>
                <w:b/>
                <w:sz w:val="20"/>
                <w:szCs w:val="20"/>
              </w:rPr>
            </w:pPr>
            <w:r w:rsidRPr="0037563B">
              <w:rPr>
                <w:rFonts w:ascii="Arial" w:hAnsi="Arial" w:cs="Arial"/>
                <w:b/>
                <w:sz w:val="20"/>
                <w:szCs w:val="20"/>
              </w:rPr>
              <w:t>Module learning outcome</w:t>
            </w:r>
          </w:p>
        </w:tc>
        <w:tc>
          <w:tcPr>
            <w:tcW w:w="394" w:type="pct"/>
          </w:tcPr>
          <w:p w14:paraId="4210EC21"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8.1</w:t>
            </w:r>
          </w:p>
        </w:tc>
        <w:tc>
          <w:tcPr>
            <w:tcW w:w="394" w:type="pct"/>
          </w:tcPr>
          <w:p w14:paraId="1E3F97CA"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8.2</w:t>
            </w:r>
          </w:p>
        </w:tc>
        <w:tc>
          <w:tcPr>
            <w:tcW w:w="394" w:type="pct"/>
          </w:tcPr>
          <w:p w14:paraId="08AEE625"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8.3</w:t>
            </w:r>
          </w:p>
        </w:tc>
        <w:tc>
          <w:tcPr>
            <w:tcW w:w="394" w:type="pct"/>
          </w:tcPr>
          <w:p w14:paraId="38BFD10A"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8.4</w:t>
            </w:r>
          </w:p>
        </w:tc>
        <w:tc>
          <w:tcPr>
            <w:tcW w:w="394" w:type="pct"/>
          </w:tcPr>
          <w:p w14:paraId="6A0245EF" w14:textId="1C59DC19" w:rsidR="00364BBD" w:rsidRPr="0037563B" w:rsidRDefault="00364BBD" w:rsidP="00162590">
            <w:pPr>
              <w:spacing w:after="120"/>
              <w:rPr>
                <w:rFonts w:ascii="Arial" w:hAnsi="Arial" w:cs="Arial"/>
                <w:i/>
                <w:sz w:val="20"/>
                <w:szCs w:val="20"/>
              </w:rPr>
            </w:pPr>
            <w:r w:rsidRPr="0037563B">
              <w:rPr>
                <w:rFonts w:ascii="Arial" w:hAnsi="Arial" w:cs="Arial"/>
                <w:i/>
                <w:sz w:val="20"/>
                <w:szCs w:val="20"/>
              </w:rPr>
              <w:t>8.5</w:t>
            </w:r>
          </w:p>
        </w:tc>
        <w:tc>
          <w:tcPr>
            <w:tcW w:w="393" w:type="pct"/>
          </w:tcPr>
          <w:p w14:paraId="2A2BB060" w14:textId="164B838C" w:rsidR="00364BBD" w:rsidRPr="0037563B" w:rsidRDefault="00364BBD" w:rsidP="00162590">
            <w:pPr>
              <w:spacing w:after="120"/>
              <w:rPr>
                <w:rFonts w:ascii="Arial" w:hAnsi="Arial" w:cs="Arial"/>
                <w:i/>
                <w:sz w:val="20"/>
                <w:szCs w:val="20"/>
              </w:rPr>
            </w:pPr>
            <w:r w:rsidRPr="0037563B">
              <w:rPr>
                <w:rFonts w:ascii="Arial" w:hAnsi="Arial" w:cs="Arial"/>
                <w:i/>
                <w:sz w:val="20"/>
                <w:szCs w:val="20"/>
              </w:rPr>
              <w:t>9.1</w:t>
            </w:r>
          </w:p>
        </w:tc>
        <w:tc>
          <w:tcPr>
            <w:tcW w:w="393" w:type="pct"/>
          </w:tcPr>
          <w:p w14:paraId="691A0F57"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9.2</w:t>
            </w:r>
          </w:p>
        </w:tc>
        <w:tc>
          <w:tcPr>
            <w:tcW w:w="393" w:type="pct"/>
          </w:tcPr>
          <w:p w14:paraId="27CB6CDA"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9.3</w:t>
            </w:r>
          </w:p>
        </w:tc>
        <w:tc>
          <w:tcPr>
            <w:tcW w:w="391" w:type="pct"/>
          </w:tcPr>
          <w:p w14:paraId="421B9E6B"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9.4</w:t>
            </w:r>
          </w:p>
        </w:tc>
      </w:tr>
      <w:tr w:rsidR="00364BBD" w:rsidRPr="0037563B" w14:paraId="6239AB8E" w14:textId="77777777" w:rsidTr="0037563B">
        <w:tc>
          <w:tcPr>
            <w:tcW w:w="1459" w:type="pct"/>
            <w:shd w:val="clear" w:color="auto" w:fill="D9D9D9" w:themeFill="background1" w:themeFillShade="D9"/>
          </w:tcPr>
          <w:p w14:paraId="351ABB3A"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Learning/ teaching method</w:t>
            </w:r>
          </w:p>
        </w:tc>
        <w:tc>
          <w:tcPr>
            <w:tcW w:w="394" w:type="pct"/>
          </w:tcPr>
          <w:p w14:paraId="1617E201" w14:textId="77777777" w:rsidR="00364BBD" w:rsidRPr="0037563B" w:rsidRDefault="00364BBD" w:rsidP="00162590">
            <w:pPr>
              <w:spacing w:after="120"/>
              <w:rPr>
                <w:rFonts w:ascii="Arial" w:hAnsi="Arial" w:cs="Arial"/>
                <w:b/>
                <w:sz w:val="20"/>
                <w:szCs w:val="20"/>
              </w:rPr>
            </w:pPr>
          </w:p>
        </w:tc>
        <w:tc>
          <w:tcPr>
            <w:tcW w:w="394" w:type="pct"/>
          </w:tcPr>
          <w:p w14:paraId="2D45EDEC" w14:textId="77777777" w:rsidR="00364BBD" w:rsidRPr="0037563B" w:rsidRDefault="00364BBD" w:rsidP="00162590">
            <w:pPr>
              <w:spacing w:after="120"/>
              <w:rPr>
                <w:rFonts w:ascii="Arial" w:hAnsi="Arial" w:cs="Arial"/>
                <w:b/>
                <w:sz w:val="20"/>
                <w:szCs w:val="20"/>
              </w:rPr>
            </w:pPr>
          </w:p>
        </w:tc>
        <w:tc>
          <w:tcPr>
            <w:tcW w:w="394" w:type="pct"/>
          </w:tcPr>
          <w:p w14:paraId="6EC53AFE" w14:textId="77777777" w:rsidR="00364BBD" w:rsidRPr="0037563B" w:rsidRDefault="00364BBD" w:rsidP="00162590">
            <w:pPr>
              <w:spacing w:after="120"/>
              <w:rPr>
                <w:rFonts w:ascii="Arial" w:hAnsi="Arial" w:cs="Arial"/>
                <w:b/>
                <w:sz w:val="20"/>
                <w:szCs w:val="20"/>
              </w:rPr>
            </w:pPr>
          </w:p>
        </w:tc>
        <w:tc>
          <w:tcPr>
            <w:tcW w:w="394" w:type="pct"/>
          </w:tcPr>
          <w:p w14:paraId="1F750E53" w14:textId="77777777" w:rsidR="00364BBD" w:rsidRPr="0037563B" w:rsidRDefault="00364BBD" w:rsidP="00162590">
            <w:pPr>
              <w:spacing w:after="120"/>
              <w:rPr>
                <w:rFonts w:ascii="Arial" w:hAnsi="Arial" w:cs="Arial"/>
                <w:b/>
                <w:sz w:val="20"/>
                <w:szCs w:val="20"/>
              </w:rPr>
            </w:pPr>
          </w:p>
        </w:tc>
        <w:tc>
          <w:tcPr>
            <w:tcW w:w="394" w:type="pct"/>
          </w:tcPr>
          <w:p w14:paraId="1A2ACA86" w14:textId="77777777" w:rsidR="00364BBD" w:rsidRPr="0037563B" w:rsidRDefault="00364BBD" w:rsidP="00162590">
            <w:pPr>
              <w:spacing w:after="120"/>
              <w:rPr>
                <w:rFonts w:ascii="Arial" w:hAnsi="Arial" w:cs="Arial"/>
                <w:b/>
                <w:sz w:val="20"/>
                <w:szCs w:val="20"/>
              </w:rPr>
            </w:pPr>
          </w:p>
        </w:tc>
        <w:tc>
          <w:tcPr>
            <w:tcW w:w="393" w:type="pct"/>
          </w:tcPr>
          <w:p w14:paraId="3E4F2BD1" w14:textId="7441C4E0" w:rsidR="00364BBD" w:rsidRPr="0037563B" w:rsidRDefault="00364BBD" w:rsidP="00162590">
            <w:pPr>
              <w:spacing w:after="120"/>
              <w:rPr>
                <w:rFonts w:ascii="Arial" w:hAnsi="Arial" w:cs="Arial"/>
                <w:b/>
                <w:sz w:val="20"/>
                <w:szCs w:val="20"/>
              </w:rPr>
            </w:pPr>
          </w:p>
        </w:tc>
        <w:tc>
          <w:tcPr>
            <w:tcW w:w="393" w:type="pct"/>
          </w:tcPr>
          <w:p w14:paraId="7E50C537" w14:textId="77777777" w:rsidR="00364BBD" w:rsidRPr="0037563B" w:rsidRDefault="00364BBD" w:rsidP="00162590">
            <w:pPr>
              <w:spacing w:after="120"/>
              <w:rPr>
                <w:rFonts w:ascii="Arial" w:hAnsi="Arial" w:cs="Arial"/>
                <w:b/>
                <w:sz w:val="20"/>
                <w:szCs w:val="20"/>
              </w:rPr>
            </w:pPr>
          </w:p>
        </w:tc>
        <w:tc>
          <w:tcPr>
            <w:tcW w:w="393" w:type="pct"/>
          </w:tcPr>
          <w:p w14:paraId="7BAADC71" w14:textId="77777777" w:rsidR="00364BBD" w:rsidRPr="0037563B" w:rsidRDefault="00364BBD" w:rsidP="00162590">
            <w:pPr>
              <w:spacing w:after="120"/>
              <w:rPr>
                <w:rFonts w:ascii="Arial" w:hAnsi="Arial" w:cs="Arial"/>
                <w:b/>
                <w:sz w:val="20"/>
                <w:szCs w:val="20"/>
              </w:rPr>
            </w:pPr>
          </w:p>
        </w:tc>
        <w:tc>
          <w:tcPr>
            <w:tcW w:w="391" w:type="pct"/>
          </w:tcPr>
          <w:p w14:paraId="64D7D8DA" w14:textId="77777777" w:rsidR="00364BBD" w:rsidRPr="0037563B" w:rsidRDefault="00364BBD" w:rsidP="00162590">
            <w:pPr>
              <w:spacing w:after="120"/>
              <w:rPr>
                <w:rFonts w:ascii="Arial" w:hAnsi="Arial" w:cs="Arial"/>
                <w:b/>
                <w:sz w:val="20"/>
                <w:szCs w:val="20"/>
              </w:rPr>
            </w:pPr>
          </w:p>
        </w:tc>
      </w:tr>
      <w:tr w:rsidR="00364BBD" w:rsidRPr="0037563B" w14:paraId="6A3DC701" w14:textId="77777777" w:rsidTr="0037563B">
        <w:tc>
          <w:tcPr>
            <w:tcW w:w="1459" w:type="pct"/>
          </w:tcPr>
          <w:p w14:paraId="59774B37"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Private Study</w:t>
            </w:r>
          </w:p>
        </w:tc>
        <w:tc>
          <w:tcPr>
            <w:tcW w:w="394" w:type="pct"/>
          </w:tcPr>
          <w:p w14:paraId="58F52BB6" w14:textId="4BB7BDF9"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509AC2ED"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5C34E7D2"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74AE4870"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0DE1EBC" w14:textId="448604B3"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61EB5E59" w14:textId="76A847F9" w:rsidR="00364BBD" w:rsidRPr="0037563B" w:rsidRDefault="00364BBD" w:rsidP="00162590">
            <w:pPr>
              <w:spacing w:after="120"/>
              <w:rPr>
                <w:rFonts w:ascii="Arial" w:hAnsi="Arial" w:cs="Arial"/>
                <w:b/>
                <w:sz w:val="20"/>
                <w:szCs w:val="20"/>
              </w:rPr>
            </w:pPr>
          </w:p>
        </w:tc>
        <w:tc>
          <w:tcPr>
            <w:tcW w:w="393" w:type="pct"/>
          </w:tcPr>
          <w:p w14:paraId="1D8F63BC"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20F1F040"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1" w:type="pct"/>
          </w:tcPr>
          <w:p w14:paraId="7C9A8FA1"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r>
      <w:tr w:rsidR="00364BBD" w:rsidRPr="0037563B" w14:paraId="6B903AB5" w14:textId="77777777" w:rsidTr="0037563B">
        <w:tc>
          <w:tcPr>
            <w:tcW w:w="1459" w:type="pct"/>
          </w:tcPr>
          <w:p w14:paraId="5F08656D"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Lectures &amp; Seminars</w:t>
            </w:r>
          </w:p>
        </w:tc>
        <w:tc>
          <w:tcPr>
            <w:tcW w:w="394" w:type="pct"/>
          </w:tcPr>
          <w:p w14:paraId="76EDC26E"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1A48FA96"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7CC21372"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C70FD24"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4801FF15" w14:textId="72DA5B59"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48E02FE7" w14:textId="544DCEC3"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5B9A9FE3"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55F4A1AD"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1" w:type="pct"/>
          </w:tcPr>
          <w:p w14:paraId="24EB5E5D"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r>
      <w:tr w:rsidR="00364BBD" w:rsidRPr="0037563B" w14:paraId="54423C09" w14:textId="77777777" w:rsidTr="0037563B">
        <w:tc>
          <w:tcPr>
            <w:tcW w:w="1459" w:type="pct"/>
          </w:tcPr>
          <w:p w14:paraId="172912F0"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Group work &amp; presentations</w:t>
            </w:r>
          </w:p>
        </w:tc>
        <w:tc>
          <w:tcPr>
            <w:tcW w:w="394" w:type="pct"/>
          </w:tcPr>
          <w:p w14:paraId="27FD4860"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ACE5355"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185FB029"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29F5C4ED"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142C60CD" w14:textId="563582C1"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45F6FB7E" w14:textId="0FA3A638"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2F1AF421"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38146A49"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1" w:type="pct"/>
          </w:tcPr>
          <w:p w14:paraId="023E3343"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r>
      <w:tr w:rsidR="00364BBD" w:rsidRPr="0037563B" w14:paraId="2E8E1023" w14:textId="77777777" w:rsidTr="0037563B">
        <w:tc>
          <w:tcPr>
            <w:tcW w:w="1459" w:type="pct"/>
            <w:shd w:val="clear" w:color="auto" w:fill="D9D9D9" w:themeFill="background1" w:themeFillShade="D9"/>
          </w:tcPr>
          <w:p w14:paraId="0C06003C"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Assessment method</w:t>
            </w:r>
          </w:p>
        </w:tc>
        <w:tc>
          <w:tcPr>
            <w:tcW w:w="394" w:type="pct"/>
          </w:tcPr>
          <w:p w14:paraId="0BE5BA39" w14:textId="77777777" w:rsidR="00364BBD" w:rsidRPr="0037563B" w:rsidRDefault="00364BBD" w:rsidP="00162590">
            <w:pPr>
              <w:spacing w:after="120"/>
              <w:rPr>
                <w:rFonts w:ascii="Arial" w:hAnsi="Arial" w:cs="Arial"/>
                <w:b/>
                <w:sz w:val="20"/>
                <w:szCs w:val="20"/>
              </w:rPr>
            </w:pPr>
          </w:p>
        </w:tc>
        <w:tc>
          <w:tcPr>
            <w:tcW w:w="394" w:type="pct"/>
          </w:tcPr>
          <w:p w14:paraId="0725CA31" w14:textId="77777777" w:rsidR="00364BBD" w:rsidRPr="0037563B" w:rsidRDefault="00364BBD" w:rsidP="00162590">
            <w:pPr>
              <w:spacing w:after="120"/>
              <w:rPr>
                <w:rFonts w:ascii="Arial" w:hAnsi="Arial" w:cs="Arial"/>
                <w:b/>
                <w:sz w:val="20"/>
                <w:szCs w:val="20"/>
              </w:rPr>
            </w:pPr>
          </w:p>
        </w:tc>
        <w:tc>
          <w:tcPr>
            <w:tcW w:w="394" w:type="pct"/>
          </w:tcPr>
          <w:p w14:paraId="4FCA7717" w14:textId="77777777" w:rsidR="00364BBD" w:rsidRPr="0037563B" w:rsidRDefault="00364BBD" w:rsidP="00162590">
            <w:pPr>
              <w:spacing w:after="120"/>
              <w:rPr>
                <w:rFonts w:ascii="Arial" w:hAnsi="Arial" w:cs="Arial"/>
                <w:b/>
                <w:sz w:val="20"/>
                <w:szCs w:val="20"/>
              </w:rPr>
            </w:pPr>
          </w:p>
        </w:tc>
        <w:tc>
          <w:tcPr>
            <w:tcW w:w="394" w:type="pct"/>
          </w:tcPr>
          <w:p w14:paraId="25479D86" w14:textId="77777777" w:rsidR="00364BBD" w:rsidRPr="0037563B" w:rsidRDefault="00364BBD" w:rsidP="00162590">
            <w:pPr>
              <w:spacing w:after="120"/>
              <w:rPr>
                <w:rFonts w:ascii="Arial" w:hAnsi="Arial" w:cs="Arial"/>
                <w:b/>
                <w:sz w:val="20"/>
                <w:szCs w:val="20"/>
              </w:rPr>
            </w:pPr>
          </w:p>
        </w:tc>
        <w:tc>
          <w:tcPr>
            <w:tcW w:w="394" w:type="pct"/>
          </w:tcPr>
          <w:p w14:paraId="291CD215" w14:textId="77777777" w:rsidR="00364BBD" w:rsidRPr="0037563B" w:rsidRDefault="00364BBD" w:rsidP="00162590">
            <w:pPr>
              <w:spacing w:after="120"/>
              <w:rPr>
                <w:rFonts w:ascii="Arial" w:hAnsi="Arial" w:cs="Arial"/>
                <w:b/>
                <w:sz w:val="20"/>
                <w:szCs w:val="20"/>
              </w:rPr>
            </w:pPr>
          </w:p>
        </w:tc>
        <w:tc>
          <w:tcPr>
            <w:tcW w:w="393" w:type="pct"/>
          </w:tcPr>
          <w:p w14:paraId="2012E08D" w14:textId="058A63A1" w:rsidR="00364BBD" w:rsidRPr="0037563B" w:rsidRDefault="00364BBD" w:rsidP="00162590">
            <w:pPr>
              <w:spacing w:after="120"/>
              <w:rPr>
                <w:rFonts w:ascii="Arial" w:hAnsi="Arial" w:cs="Arial"/>
                <w:b/>
                <w:sz w:val="20"/>
                <w:szCs w:val="20"/>
              </w:rPr>
            </w:pPr>
          </w:p>
        </w:tc>
        <w:tc>
          <w:tcPr>
            <w:tcW w:w="393" w:type="pct"/>
          </w:tcPr>
          <w:p w14:paraId="0F3D4C01" w14:textId="77777777" w:rsidR="00364BBD" w:rsidRPr="0037563B" w:rsidRDefault="00364BBD" w:rsidP="00162590">
            <w:pPr>
              <w:spacing w:after="120"/>
              <w:rPr>
                <w:rFonts w:ascii="Arial" w:hAnsi="Arial" w:cs="Arial"/>
                <w:b/>
                <w:sz w:val="20"/>
                <w:szCs w:val="20"/>
              </w:rPr>
            </w:pPr>
          </w:p>
        </w:tc>
        <w:tc>
          <w:tcPr>
            <w:tcW w:w="393" w:type="pct"/>
          </w:tcPr>
          <w:p w14:paraId="3D99807B" w14:textId="77777777" w:rsidR="00364BBD" w:rsidRPr="0037563B" w:rsidRDefault="00364BBD" w:rsidP="00162590">
            <w:pPr>
              <w:spacing w:after="120"/>
              <w:rPr>
                <w:rFonts w:ascii="Arial" w:hAnsi="Arial" w:cs="Arial"/>
                <w:b/>
                <w:sz w:val="20"/>
                <w:szCs w:val="20"/>
              </w:rPr>
            </w:pPr>
          </w:p>
        </w:tc>
        <w:tc>
          <w:tcPr>
            <w:tcW w:w="391" w:type="pct"/>
          </w:tcPr>
          <w:p w14:paraId="44E2B86A" w14:textId="77777777" w:rsidR="00364BBD" w:rsidRPr="0037563B" w:rsidRDefault="00364BBD" w:rsidP="00162590">
            <w:pPr>
              <w:spacing w:after="120"/>
              <w:rPr>
                <w:rFonts w:ascii="Arial" w:hAnsi="Arial" w:cs="Arial"/>
                <w:b/>
                <w:sz w:val="20"/>
                <w:szCs w:val="20"/>
              </w:rPr>
            </w:pPr>
          </w:p>
        </w:tc>
      </w:tr>
      <w:tr w:rsidR="00364BBD" w:rsidRPr="0037563B" w14:paraId="4DB97D16" w14:textId="77777777" w:rsidTr="0037563B">
        <w:tc>
          <w:tcPr>
            <w:tcW w:w="1459" w:type="pct"/>
          </w:tcPr>
          <w:p w14:paraId="1B0DC989"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lastRenderedPageBreak/>
              <w:t>Group Presentation</w:t>
            </w:r>
          </w:p>
        </w:tc>
        <w:tc>
          <w:tcPr>
            <w:tcW w:w="394" w:type="pct"/>
          </w:tcPr>
          <w:p w14:paraId="4A83BBA2"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AC20281"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FE6E1BC"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176EBF18"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0CB28F6D" w14:textId="64D46480"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051F4443" w14:textId="51B44B1E"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1B8A7856"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2A374559"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1" w:type="pct"/>
          </w:tcPr>
          <w:p w14:paraId="256C3376" w14:textId="6F492B36"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r>
      <w:tr w:rsidR="00364BBD" w:rsidRPr="0037563B" w14:paraId="2609FE0C" w14:textId="77777777" w:rsidTr="0037563B">
        <w:tc>
          <w:tcPr>
            <w:tcW w:w="1459" w:type="pct"/>
          </w:tcPr>
          <w:p w14:paraId="60009C18" w14:textId="77777777" w:rsidR="00364BBD" w:rsidRPr="0037563B" w:rsidRDefault="00364BBD" w:rsidP="00162590">
            <w:pPr>
              <w:spacing w:after="120"/>
              <w:rPr>
                <w:rFonts w:ascii="Arial" w:hAnsi="Arial" w:cs="Arial"/>
                <w:i/>
                <w:sz w:val="20"/>
                <w:szCs w:val="20"/>
              </w:rPr>
            </w:pPr>
            <w:r w:rsidRPr="0037563B">
              <w:rPr>
                <w:rFonts w:ascii="Arial" w:hAnsi="Arial" w:cs="Arial"/>
                <w:i/>
                <w:sz w:val="20"/>
                <w:szCs w:val="20"/>
              </w:rPr>
              <w:t>Individual Report</w:t>
            </w:r>
          </w:p>
        </w:tc>
        <w:tc>
          <w:tcPr>
            <w:tcW w:w="394" w:type="pct"/>
          </w:tcPr>
          <w:p w14:paraId="185229C3"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2318E1A7"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0C9585E8"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5F3EDEA2"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4" w:type="pct"/>
          </w:tcPr>
          <w:p w14:paraId="3E8F4F68" w14:textId="184455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53662F44" w14:textId="69F350D0"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1230329A"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3" w:type="pct"/>
          </w:tcPr>
          <w:p w14:paraId="5E11EAD3"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c>
          <w:tcPr>
            <w:tcW w:w="391" w:type="pct"/>
          </w:tcPr>
          <w:p w14:paraId="706A9949" w14:textId="77777777" w:rsidR="00364BBD" w:rsidRPr="0037563B" w:rsidRDefault="00364BBD" w:rsidP="00162590">
            <w:pPr>
              <w:spacing w:after="120"/>
              <w:rPr>
                <w:rFonts w:ascii="Arial" w:hAnsi="Arial" w:cs="Arial"/>
                <w:b/>
                <w:sz w:val="20"/>
                <w:szCs w:val="20"/>
              </w:rPr>
            </w:pPr>
            <w:r w:rsidRPr="0037563B">
              <w:rPr>
                <w:rFonts w:ascii="Arial" w:hAnsi="Arial" w:cs="Arial"/>
                <w:b/>
                <w:sz w:val="20"/>
                <w:szCs w:val="20"/>
              </w:rPr>
              <w:t>x</w:t>
            </w:r>
          </w:p>
        </w:tc>
      </w:tr>
    </w:tbl>
    <w:p w14:paraId="6863CCBA" w14:textId="77777777" w:rsidR="007A6245" w:rsidRDefault="007A6245" w:rsidP="00302082">
      <w:pPr>
        <w:spacing w:after="120" w:line="240" w:lineRule="auto"/>
        <w:ind w:left="426" w:right="260"/>
        <w:rPr>
          <w:rFonts w:ascii="Arial" w:hAnsi="Arial" w:cs="Arial"/>
          <w:b/>
          <w:iCs/>
        </w:rPr>
      </w:pPr>
    </w:p>
    <w:p w14:paraId="57B1E88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F31EDD6" w14:textId="0D8D9C1B" w:rsidR="00D50113" w:rsidRPr="00D50113" w:rsidRDefault="00AF03A5"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w:t>
      </w:r>
      <w:r w:rsidR="00646C52">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7E1B7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EF525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374F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9F2485A" w14:textId="77777777" w:rsidR="00D50113" w:rsidRDefault="00D50113" w:rsidP="00D50113">
      <w:pPr>
        <w:spacing w:after="120" w:line="240" w:lineRule="auto"/>
        <w:ind w:left="426" w:right="260"/>
        <w:rPr>
          <w:rFonts w:ascii="Arial" w:hAnsi="Arial" w:cs="Arial"/>
          <w:iCs/>
        </w:rPr>
      </w:pPr>
    </w:p>
    <w:p w14:paraId="5ECE96E2"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67F5569" w14:textId="77777777" w:rsidR="002A7F48" w:rsidRPr="00AF03A5" w:rsidRDefault="00AF03A5" w:rsidP="002A7F48">
      <w:pPr>
        <w:spacing w:after="120" w:line="240" w:lineRule="auto"/>
        <w:ind w:left="426" w:right="260"/>
        <w:jc w:val="both"/>
        <w:rPr>
          <w:rFonts w:ascii="Arial" w:hAnsi="Arial" w:cs="Arial"/>
        </w:rPr>
      </w:pPr>
      <w:r w:rsidRPr="00AF03A5">
        <w:rPr>
          <w:rFonts w:ascii="Arial" w:hAnsi="Arial" w:cs="Arial"/>
        </w:rPr>
        <w:t>Canterbury</w:t>
      </w:r>
    </w:p>
    <w:p w14:paraId="4DFC79E8"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9DD8E2C" w14:textId="22E060FD" w:rsidR="002A7F48" w:rsidRPr="002A7F48" w:rsidRDefault="00AF03A5" w:rsidP="002A7F48">
      <w:pPr>
        <w:autoSpaceDE w:val="0"/>
        <w:autoSpaceDN w:val="0"/>
        <w:adjustRightInd w:val="0"/>
        <w:spacing w:after="120" w:line="240" w:lineRule="auto"/>
        <w:ind w:left="425" w:right="261"/>
        <w:jc w:val="both"/>
        <w:rPr>
          <w:rFonts w:ascii="Arial" w:hAnsi="Arial" w:cs="Arial"/>
        </w:rPr>
      </w:pPr>
      <w:r>
        <w:rPr>
          <w:rFonts w:ascii="Arial" w:hAnsi="Arial" w:cs="Arial"/>
        </w:rPr>
        <w:t>The module is</w:t>
      </w:r>
      <w:r w:rsidR="00B05359">
        <w:rPr>
          <w:rFonts w:ascii="Arial" w:hAnsi="Arial" w:cs="Arial"/>
        </w:rPr>
        <w:t>,</w:t>
      </w:r>
      <w:r>
        <w:rPr>
          <w:rFonts w:ascii="Arial" w:hAnsi="Arial" w:cs="Arial"/>
        </w:rPr>
        <w:t xml:space="preserve"> </w:t>
      </w:r>
      <w:r w:rsidR="00B05359">
        <w:rPr>
          <w:rFonts w:ascii="Arial" w:hAnsi="Arial" w:cs="Arial"/>
        </w:rPr>
        <w:t xml:space="preserve">by design, </w:t>
      </w:r>
      <w:r>
        <w:rPr>
          <w:rFonts w:ascii="Arial" w:hAnsi="Arial" w:cs="Arial"/>
        </w:rPr>
        <w:t>international in nature. All the subject specific learning outcomes touch on international challenges for managers whilst it is anticipated that students will develop cross-cultural communication skills through interactions during seminars and group presentations.</w:t>
      </w:r>
      <w:r w:rsidR="002A7F48" w:rsidRPr="002A7F48">
        <w:rPr>
          <w:rFonts w:ascii="Arial" w:hAnsi="Arial" w:cs="Arial"/>
        </w:rPr>
        <w:t xml:space="preserve"> </w:t>
      </w:r>
      <w:r w:rsidR="00B05359">
        <w:rPr>
          <w:rFonts w:ascii="Arial" w:hAnsi="Arial" w:cs="Arial"/>
        </w:rPr>
        <w:t>The students will have the opportunity to bring into the discussion their own cultural/national perspective and discuss business practices appropriate to their background. This sharing of knowledge will enable them to develop a critical awareness of the global challenges from a number of different cultural and national dimensions.</w:t>
      </w:r>
    </w:p>
    <w:p w14:paraId="73A42677" w14:textId="77777777" w:rsidR="009A2D37" w:rsidRDefault="009A2D37" w:rsidP="00D50113">
      <w:pPr>
        <w:spacing w:after="120" w:line="240" w:lineRule="auto"/>
        <w:ind w:left="426" w:right="260"/>
        <w:rPr>
          <w:rFonts w:ascii="Arial" w:hAnsi="Arial" w:cs="Arial"/>
          <w:iCs/>
        </w:rPr>
      </w:pPr>
    </w:p>
    <w:p w14:paraId="040EDE80" w14:textId="6F6CD6BB" w:rsidR="00441E76" w:rsidRPr="00BA453C" w:rsidRDefault="0037563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7A8A3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158F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6A95FB" w14:textId="77777777" w:rsidTr="00694309">
        <w:trPr>
          <w:trHeight w:val="317"/>
        </w:trPr>
        <w:tc>
          <w:tcPr>
            <w:tcW w:w="1526" w:type="dxa"/>
          </w:tcPr>
          <w:p w14:paraId="3F334A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CC99A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D2F04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D5B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3E244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F8CDA8" w14:textId="77777777" w:rsidTr="00694309">
        <w:trPr>
          <w:trHeight w:val="305"/>
        </w:trPr>
        <w:tc>
          <w:tcPr>
            <w:tcW w:w="1526" w:type="dxa"/>
          </w:tcPr>
          <w:p w14:paraId="3608697E" w14:textId="77777777" w:rsidR="00422B69" w:rsidRPr="00302082" w:rsidRDefault="00422B69" w:rsidP="00302082">
            <w:pPr>
              <w:spacing w:after="120"/>
              <w:ind w:right="-330"/>
              <w:rPr>
                <w:rFonts w:ascii="Arial" w:hAnsi="Arial" w:cs="Arial"/>
              </w:rPr>
            </w:pPr>
          </w:p>
        </w:tc>
        <w:tc>
          <w:tcPr>
            <w:tcW w:w="1701" w:type="dxa"/>
          </w:tcPr>
          <w:p w14:paraId="7BC3E029" w14:textId="77777777" w:rsidR="00422B69" w:rsidRPr="00302082" w:rsidRDefault="00422B69" w:rsidP="00302082">
            <w:pPr>
              <w:spacing w:after="120"/>
              <w:ind w:right="-330"/>
              <w:rPr>
                <w:rFonts w:ascii="Arial" w:hAnsi="Arial" w:cs="Arial"/>
              </w:rPr>
            </w:pPr>
          </w:p>
        </w:tc>
        <w:tc>
          <w:tcPr>
            <w:tcW w:w="2410" w:type="dxa"/>
          </w:tcPr>
          <w:p w14:paraId="247B797C" w14:textId="77777777" w:rsidR="00422B69" w:rsidRPr="00302082" w:rsidRDefault="00422B69" w:rsidP="00302082">
            <w:pPr>
              <w:spacing w:after="120"/>
              <w:ind w:right="-330"/>
              <w:rPr>
                <w:rFonts w:ascii="Arial" w:hAnsi="Arial" w:cs="Arial"/>
              </w:rPr>
            </w:pPr>
          </w:p>
        </w:tc>
        <w:tc>
          <w:tcPr>
            <w:tcW w:w="2448" w:type="dxa"/>
          </w:tcPr>
          <w:p w14:paraId="2FF055CD" w14:textId="77777777" w:rsidR="00422B69" w:rsidRPr="00302082" w:rsidRDefault="00422B69" w:rsidP="00302082">
            <w:pPr>
              <w:spacing w:after="120"/>
              <w:ind w:right="-330"/>
              <w:rPr>
                <w:rFonts w:ascii="Arial" w:hAnsi="Arial" w:cs="Arial"/>
              </w:rPr>
            </w:pPr>
          </w:p>
        </w:tc>
        <w:tc>
          <w:tcPr>
            <w:tcW w:w="2597" w:type="dxa"/>
          </w:tcPr>
          <w:p w14:paraId="32186573" w14:textId="77777777" w:rsidR="00422B69" w:rsidRPr="00302082" w:rsidRDefault="00422B69" w:rsidP="00302082">
            <w:pPr>
              <w:spacing w:after="120"/>
              <w:ind w:right="-330"/>
              <w:rPr>
                <w:rFonts w:ascii="Arial" w:hAnsi="Arial" w:cs="Arial"/>
              </w:rPr>
            </w:pPr>
          </w:p>
        </w:tc>
      </w:tr>
      <w:tr w:rsidR="00302082" w:rsidRPr="00302082" w14:paraId="3B335C32" w14:textId="77777777" w:rsidTr="00694309">
        <w:trPr>
          <w:trHeight w:val="305"/>
        </w:trPr>
        <w:tc>
          <w:tcPr>
            <w:tcW w:w="1526" w:type="dxa"/>
          </w:tcPr>
          <w:p w14:paraId="1FF6A0EA" w14:textId="77777777" w:rsidR="00422B69" w:rsidRPr="00302082" w:rsidRDefault="00422B69" w:rsidP="00302082">
            <w:pPr>
              <w:spacing w:after="120"/>
              <w:ind w:right="-330"/>
              <w:rPr>
                <w:rFonts w:ascii="Arial" w:hAnsi="Arial" w:cs="Arial"/>
              </w:rPr>
            </w:pPr>
          </w:p>
        </w:tc>
        <w:tc>
          <w:tcPr>
            <w:tcW w:w="1701" w:type="dxa"/>
          </w:tcPr>
          <w:p w14:paraId="538806A6" w14:textId="77777777" w:rsidR="00422B69" w:rsidRPr="00302082" w:rsidRDefault="00422B69" w:rsidP="00302082">
            <w:pPr>
              <w:spacing w:after="120"/>
              <w:ind w:right="-330"/>
              <w:rPr>
                <w:rFonts w:ascii="Arial" w:hAnsi="Arial" w:cs="Arial"/>
              </w:rPr>
            </w:pPr>
          </w:p>
        </w:tc>
        <w:tc>
          <w:tcPr>
            <w:tcW w:w="2410" w:type="dxa"/>
          </w:tcPr>
          <w:p w14:paraId="2473FFC0" w14:textId="77777777" w:rsidR="00422B69" w:rsidRPr="00302082" w:rsidRDefault="00422B69" w:rsidP="00302082">
            <w:pPr>
              <w:spacing w:after="120"/>
              <w:ind w:right="-330"/>
              <w:rPr>
                <w:rFonts w:ascii="Arial" w:hAnsi="Arial" w:cs="Arial"/>
              </w:rPr>
            </w:pPr>
          </w:p>
        </w:tc>
        <w:tc>
          <w:tcPr>
            <w:tcW w:w="2448" w:type="dxa"/>
          </w:tcPr>
          <w:p w14:paraId="11271C61" w14:textId="77777777" w:rsidR="00422B69" w:rsidRPr="00302082" w:rsidRDefault="00422B69" w:rsidP="00302082">
            <w:pPr>
              <w:spacing w:after="120"/>
              <w:ind w:right="-330"/>
              <w:rPr>
                <w:rFonts w:ascii="Arial" w:hAnsi="Arial" w:cs="Arial"/>
              </w:rPr>
            </w:pPr>
          </w:p>
        </w:tc>
        <w:tc>
          <w:tcPr>
            <w:tcW w:w="2597" w:type="dxa"/>
          </w:tcPr>
          <w:p w14:paraId="24786E7C" w14:textId="77777777" w:rsidR="00422B69" w:rsidRPr="00302082" w:rsidRDefault="00422B69" w:rsidP="00302082">
            <w:pPr>
              <w:spacing w:after="120"/>
              <w:ind w:right="-330"/>
              <w:rPr>
                <w:rFonts w:ascii="Arial" w:hAnsi="Arial" w:cs="Arial"/>
              </w:rPr>
            </w:pPr>
          </w:p>
        </w:tc>
      </w:tr>
    </w:tbl>
    <w:p w14:paraId="62A544E0" w14:textId="29DAF7E5" w:rsidR="00026EC2" w:rsidRDefault="00026EC2" w:rsidP="0037563B">
      <w:pPr>
        <w:spacing w:after="120" w:line="240" w:lineRule="auto"/>
        <w:ind w:right="-330"/>
        <w:rPr>
          <w:rFonts w:ascii="Arial" w:hAnsi="Arial" w:cs="Arial"/>
        </w:rPr>
      </w:pPr>
    </w:p>
    <w:sectPr w:rsidR="00026EC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3419" w14:textId="77777777" w:rsidR="0011032D" w:rsidRDefault="0011032D" w:rsidP="009A2D37">
      <w:pPr>
        <w:spacing w:after="0" w:line="240" w:lineRule="auto"/>
      </w:pPr>
      <w:r>
        <w:separator/>
      </w:r>
    </w:p>
  </w:endnote>
  <w:endnote w:type="continuationSeparator" w:id="0">
    <w:p w14:paraId="36915C76" w14:textId="77777777" w:rsidR="0011032D" w:rsidRDefault="0011032D" w:rsidP="009A2D37">
      <w:pPr>
        <w:spacing w:after="0" w:line="240" w:lineRule="auto"/>
      </w:pPr>
      <w:r>
        <w:continuationSeparator/>
      </w:r>
    </w:p>
  </w:endnote>
  <w:endnote w:type="continuationNotice" w:id="1">
    <w:p w14:paraId="4694426E" w14:textId="77777777" w:rsidR="0011032D" w:rsidRDefault="00110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3C8F5C" w14:textId="00E3CEA2" w:rsidR="008B2543" w:rsidRDefault="0019787E" w:rsidP="009A2D37">
        <w:pPr>
          <w:pStyle w:val="Footer"/>
          <w:jc w:val="center"/>
        </w:pPr>
        <w:r>
          <w:fldChar w:fldCharType="begin"/>
        </w:r>
        <w:r>
          <w:instrText xml:space="preserve"> PAGE   \* MERGEFORMAT </w:instrText>
        </w:r>
        <w:r>
          <w:fldChar w:fldCharType="separate"/>
        </w:r>
        <w:r w:rsidR="00DB0009">
          <w:rPr>
            <w:noProof/>
          </w:rPr>
          <w:t>7</w:t>
        </w:r>
        <w:r>
          <w:rPr>
            <w:noProof/>
          </w:rPr>
          <w:fldChar w:fldCharType="end"/>
        </w:r>
      </w:p>
    </w:sdtContent>
  </w:sdt>
  <w:p w14:paraId="7654A41F" w14:textId="7B1F629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46C52">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97910" w14:textId="77777777" w:rsidR="0011032D" w:rsidRDefault="0011032D" w:rsidP="009A2D37">
      <w:pPr>
        <w:spacing w:after="0" w:line="240" w:lineRule="auto"/>
      </w:pPr>
      <w:r>
        <w:separator/>
      </w:r>
    </w:p>
  </w:footnote>
  <w:footnote w:type="continuationSeparator" w:id="0">
    <w:p w14:paraId="7C681F17" w14:textId="77777777" w:rsidR="0011032D" w:rsidRDefault="0011032D" w:rsidP="009A2D37">
      <w:pPr>
        <w:spacing w:after="0" w:line="240" w:lineRule="auto"/>
      </w:pPr>
      <w:r>
        <w:continuationSeparator/>
      </w:r>
    </w:p>
  </w:footnote>
  <w:footnote w:type="continuationNotice" w:id="1">
    <w:p w14:paraId="10B34937" w14:textId="77777777" w:rsidR="0011032D" w:rsidRDefault="00110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90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9AD8BB" wp14:editId="0C79679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1105D3" w14:textId="77777777" w:rsidR="008B2543" w:rsidRPr="008C00F8" w:rsidRDefault="008B2543" w:rsidP="005E6D38">
    <w:pPr>
      <w:pStyle w:val="Heading1"/>
      <w:spacing w:before="60" w:after="60"/>
      <w:rPr>
        <w:rFonts w:ascii="Arial" w:hAnsi="Arial" w:cs="Arial"/>
      </w:rPr>
    </w:pPr>
  </w:p>
  <w:p w14:paraId="7B196C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8454" w14:textId="2659FBA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87B452" wp14:editId="791D6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9A58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E6B89C28"/>
    <w:lvl w:ilvl="0">
      <w:start w:val="1"/>
      <w:numFmt w:val="decimal"/>
      <w:lvlText w:val="%1."/>
      <w:lvlJc w:val="left"/>
      <w:pPr>
        <w:ind w:left="720" w:hanging="360"/>
      </w:pPr>
      <w:rPr>
        <w:b w:val="0"/>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C75E0E"/>
    <w:multiLevelType w:val="hybridMultilevel"/>
    <w:tmpl w:val="044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011F9E"/>
    <w:multiLevelType w:val="hybridMultilevel"/>
    <w:tmpl w:val="477E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65330"/>
    <w:multiLevelType w:val="multilevel"/>
    <w:tmpl w:val="44CCAE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C4"/>
    <w:rsid w:val="00021297"/>
    <w:rsid w:val="00021EA0"/>
    <w:rsid w:val="00025992"/>
    <w:rsid w:val="00026EC2"/>
    <w:rsid w:val="00027937"/>
    <w:rsid w:val="00030C9E"/>
    <w:rsid w:val="00031E67"/>
    <w:rsid w:val="000408CC"/>
    <w:rsid w:val="0004105E"/>
    <w:rsid w:val="00043771"/>
    <w:rsid w:val="00045373"/>
    <w:rsid w:val="00063A2F"/>
    <w:rsid w:val="000678D3"/>
    <w:rsid w:val="00094369"/>
    <w:rsid w:val="00094810"/>
    <w:rsid w:val="000C0294"/>
    <w:rsid w:val="000C7A1C"/>
    <w:rsid w:val="000D2A8A"/>
    <w:rsid w:val="000D32AC"/>
    <w:rsid w:val="000E20C1"/>
    <w:rsid w:val="000E3B73"/>
    <w:rsid w:val="000F400A"/>
    <w:rsid w:val="000F6C56"/>
    <w:rsid w:val="000F7FBF"/>
    <w:rsid w:val="00106BE5"/>
    <w:rsid w:val="0011032D"/>
    <w:rsid w:val="00110947"/>
    <w:rsid w:val="00111906"/>
    <w:rsid w:val="00111CB3"/>
    <w:rsid w:val="00117577"/>
    <w:rsid w:val="00117793"/>
    <w:rsid w:val="001206E4"/>
    <w:rsid w:val="001214D3"/>
    <w:rsid w:val="00121BFC"/>
    <w:rsid w:val="001402AD"/>
    <w:rsid w:val="001540CE"/>
    <w:rsid w:val="0015717B"/>
    <w:rsid w:val="00157ACA"/>
    <w:rsid w:val="00160427"/>
    <w:rsid w:val="0016259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B6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9C1"/>
    <w:rsid w:val="002E71C0"/>
    <w:rsid w:val="002F05F4"/>
    <w:rsid w:val="002F0CE4"/>
    <w:rsid w:val="002F23EF"/>
    <w:rsid w:val="002F2626"/>
    <w:rsid w:val="00302082"/>
    <w:rsid w:val="00306620"/>
    <w:rsid w:val="00310CA8"/>
    <w:rsid w:val="00317ABC"/>
    <w:rsid w:val="00325199"/>
    <w:rsid w:val="003262B9"/>
    <w:rsid w:val="00334A02"/>
    <w:rsid w:val="00335875"/>
    <w:rsid w:val="00335FBE"/>
    <w:rsid w:val="00352D8E"/>
    <w:rsid w:val="00356B68"/>
    <w:rsid w:val="0035702D"/>
    <w:rsid w:val="003604D4"/>
    <w:rsid w:val="0036174D"/>
    <w:rsid w:val="003627B0"/>
    <w:rsid w:val="00364BBD"/>
    <w:rsid w:val="00374DF6"/>
    <w:rsid w:val="0037563B"/>
    <w:rsid w:val="003759B0"/>
    <w:rsid w:val="00375F84"/>
    <w:rsid w:val="00376E34"/>
    <w:rsid w:val="003804E7"/>
    <w:rsid w:val="00381C71"/>
    <w:rsid w:val="00391AFA"/>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0B2"/>
    <w:rsid w:val="00402ED7"/>
    <w:rsid w:val="004114F8"/>
    <w:rsid w:val="004152D9"/>
    <w:rsid w:val="00422B69"/>
    <w:rsid w:val="00423D86"/>
    <w:rsid w:val="00424C90"/>
    <w:rsid w:val="00436BE9"/>
    <w:rsid w:val="00441E76"/>
    <w:rsid w:val="004443DA"/>
    <w:rsid w:val="00446A75"/>
    <w:rsid w:val="004474A2"/>
    <w:rsid w:val="00460925"/>
    <w:rsid w:val="00471C6C"/>
    <w:rsid w:val="00472023"/>
    <w:rsid w:val="00486993"/>
    <w:rsid w:val="00492DA4"/>
    <w:rsid w:val="00494D5B"/>
    <w:rsid w:val="00496AA3"/>
    <w:rsid w:val="00497C98"/>
    <w:rsid w:val="004A39D7"/>
    <w:rsid w:val="004A55FA"/>
    <w:rsid w:val="004B5D03"/>
    <w:rsid w:val="004C1EC4"/>
    <w:rsid w:val="004C5142"/>
    <w:rsid w:val="004D035C"/>
    <w:rsid w:val="004E4272"/>
    <w:rsid w:val="004E7D00"/>
    <w:rsid w:val="004F3C18"/>
    <w:rsid w:val="004F4328"/>
    <w:rsid w:val="005005E4"/>
    <w:rsid w:val="00513689"/>
    <w:rsid w:val="0051375A"/>
    <w:rsid w:val="00521097"/>
    <w:rsid w:val="005244D7"/>
    <w:rsid w:val="0053059E"/>
    <w:rsid w:val="00532F6F"/>
    <w:rsid w:val="00533663"/>
    <w:rsid w:val="0053525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6FD"/>
    <w:rsid w:val="005E1A3A"/>
    <w:rsid w:val="005E6ADC"/>
    <w:rsid w:val="005E6D10"/>
    <w:rsid w:val="005E6D38"/>
    <w:rsid w:val="005E7B3F"/>
    <w:rsid w:val="005F040F"/>
    <w:rsid w:val="005F2C42"/>
    <w:rsid w:val="006043FC"/>
    <w:rsid w:val="006050CF"/>
    <w:rsid w:val="00624C8D"/>
    <w:rsid w:val="006253AA"/>
    <w:rsid w:val="00626023"/>
    <w:rsid w:val="00633150"/>
    <w:rsid w:val="00637A50"/>
    <w:rsid w:val="00641D6D"/>
    <w:rsid w:val="0064364E"/>
    <w:rsid w:val="006438F3"/>
    <w:rsid w:val="00646C52"/>
    <w:rsid w:val="00647907"/>
    <w:rsid w:val="00651A82"/>
    <w:rsid w:val="006525E9"/>
    <w:rsid w:val="0066747B"/>
    <w:rsid w:val="00670580"/>
    <w:rsid w:val="006725EC"/>
    <w:rsid w:val="00674ED0"/>
    <w:rsid w:val="00682650"/>
    <w:rsid w:val="00683609"/>
    <w:rsid w:val="00684851"/>
    <w:rsid w:val="00694309"/>
    <w:rsid w:val="00694E67"/>
    <w:rsid w:val="00695285"/>
    <w:rsid w:val="006A6BB4"/>
    <w:rsid w:val="006A7FB0"/>
    <w:rsid w:val="006C2A9A"/>
    <w:rsid w:val="006C423D"/>
    <w:rsid w:val="006C46EF"/>
    <w:rsid w:val="006C4C67"/>
    <w:rsid w:val="006D13C0"/>
    <w:rsid w:val="006D41AB"/>
    <w:rsid w:val="006D444F"/>
    <w:rsid w:val="006D4D8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FDE"/>
    <w:rsid w:val="00797197"/>
    <w:rsid w:val="007972A7"/>
    <w:rsid w:val="007A2BA2"/>
    <w:rsid w:val="007A6245"/>
    <w:rsid w:val="007B1DB2"/>
    <w:rsid w:val="007B375B"/>
    <w:rsid w:val="007B412A"/>
    <w:rsid w:val="007B635E"/>
    <w:rsid w:val="007B7724"/>
    <w:rsid w:val="007B7CDC"/>
    <w:rsid w:val="007C74B4"/>
    <w:rsid w:val="007E3412"/>
    <w:rsid w:val="007E7369"/>
    <w:rsid w:val="007F393D"/>
    <w:rsid w:val="007F4F82"/>
    <w:rsid w:val="008029AF"/>
    <w:rsid w:val="00802FFA"/>
    <w:rsid w:val="00804AA2"/>
    <w:rsid w:val="0080533F"/>
    <w:rsid w:val="008102E5"/>
    <w:rsid w:val="008111B4"/>
    <w:rsid w:val="008133F0"/>
    <w:rsid w:val="00815880"/>
    <w:rsid w:val="0082322C"/>
    <w:rsid w:val="00823942"/>
    <w:rsid w:val="00827FFD"/>
    <w:rsid w:val="0085088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0B"/>
    <w:rsid w:val="00934D7B"/>
    <w:rsid w:val="009360FA"/>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1200"/>
    <w:rsid w:val="009D38E4"/>
    <w:rsid w:val="009F0F0E"/>
    <w:rsid w:val="009F3A2A"/>
    <w:rsid w:val="009F731F"/>
    <w:rsid w:val="00A021FE"/>
    <w:rsid w:val="00A1270E"/>
    <w:rsid w:val="00A15342"/>
    <w:rsid w:val="00A3007E"/>
    <w:rsid w:val="00A32048"/>
    <w:rsid w:val="00A418CA"/>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03A5"/>
    <w:rsid w:val="00AF50EE"/>
    <w:rsid w:val="00B05359"/>
    <w:rsid w:val="00B0591D"/>
    <w:rsid w:val="00B13402"/>
    <w:rsid w:val="00B14BC2"/>
    <w:rsid w:val="00B17024"/>
    <w:rsid w:val="00B17CD2"/>
    <w:rsid w:val="00B213D2"/>
    <w:rsid w:val="00B22FDA"/>
    <w:rsid w:val="00B248BA"/>
    <w:rsid w:val="00B24B56"/>
    <w:rsid w:val="00B30E07"/>
    <w:rsid w:val="00B34ADD"/>
    <w:rsid w:val="00B52FF5"/>
    <w:rsid w:val="00B5498B"/>
    <w:rsid w:val="00B57219"/>
    <w:rsid w:val="00B658A3"/>
    <w:rsid w:val="00B7060D"/>
    <w:rsid w:val="00B746A8"/>
    <w:rsid w:val="00B7664D"/>
    <w:rsid w:val="00B80989"/>
    <w:rsid w:val="00B8397F"/>
    <w:rsid w:val="00B9109B"/>
    <w:rsid w:val="00B927AE"/>
    <w:rsid w:val="00B93721"/>
    <w:rsid w:val="00B937B1"/>
    <w:rsid w:val="00BA453C"/>
    <w:rsid w:val="00BA4E02"/>
    <w:rsid w:val="00BB2A6D"/>
    <w:rsid w:val="00BB4189"/>
    <w:rsid w:val="00BC19F7"/>
    <w:rsid w:val="00BC41ED"/>
    <w:rsid w:val="00BC705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37D91"/>
    <w:rsid w:val="00D50113"/>
    <w:rsid w:val="00D54F04"/>
    <w:rsid w:val="00D65506"/>
    <w:rsid w:val="00D66803"/>
    <w:rsid w:val="00D773CF"/>
    <w:rsid w:val="00D83563"/>
    <w:rsid w:val="00D8448F"/>
    <w:rsid w:val="00D94111"/>
    <w:rsid w:val="00DA26A4"/>
    <w:rsid w:val="00DA64B6"/>
    <w:rsid w:val="00DB0009"/>
    <w:rsid w:val="00DB5C9D"/>
    <w:rsid w:val="00DD02E6"/>
    <w:rsid w:val="00DE2584"/>
    <w:rsid w:val="00DF665B"/>
    <w:rsid w:val="00E0152A"/>
    <w:rsid w:val="00E03394"/>
    <w:rsid w:val="00E039C2"/>
    <w:rsid w:val="00E04253"/>
    <w:rsid w:val="00E066E5"/>
    <w:rsid w:val="00E22F03"/>
    <w:rsid w:val="00E233C1"/>
    <w:rsid w:val="00E30BE2"/>
    <w:rsid w:val="00E34678"/>
    <w:rsid w:val="00E5026D"/>
    <w:rsid w:val="00E51404"/>
    <w:rsid w:val="00E53D91"/>
    <w:rsid w:val="00E574C9"/>
    <w:rsid w:val="00E57751"/>
    <w:rsid w:val="00E610DE"/>
    <w:rsid w:val="00E66167"/>
    <w:rsid w:val="00E71F2F"/>
    <w:rsid w:val="00E77786"/>
    <w:rsid w:val="00E806FB"/>
    <w:rsid w:val="00E82D3A"/>
    <w:rsid w:val="00E93087"/>
    <w:rsid w:val="00E9620A"/>
    <w:rsid w:val="00EB1C2D"/>
    <w:rsid w:val="00EC1810"/>
    <w:rsid w:val="00EC3FCC"/>
    <w:rsid w:val="00ED32FF"/>
    <w:rsid w:val="00EF039B"/>
    <w:rsid w:val="00EF4933"/>
    <w:rsid w:val="00EF5044"/>
    <w:rsid w:val="00EF5BF2"/>
    <w:rsid w:val="00F01956"/>
    <w:rsid w:val="00F116CE"/>
    <w:rsid w:val="00F13B06"/>
    <w:rsid w:val="00F176DE"/>
    <w:rsid w:val="00F21C47"/>
    <w:rsid w:val="00F244E2"/>
    <w:rsid w:val="00F2559F"/>
    <w:rsid w:val="00F340DE"/>
    <w:rsid w:val="00F43542"/>
    <w:rsid w:val="00F527CB"/>
    <w:rsid w:val="00F562AA"/>
    <w:rsid w:val="00F7105A"/>
    <w:rsid w:val="00F77676"/>
    <w:rsid w:val="00F8197C"/>
    <w:rsid w:val="00F82B4E"/>
    <w:rsid w:val="00F84562"/>
    <w:rsid w:val="00F87559"/>
    <w:rsid w:val="00F87DA2"/>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B52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UnresolvedMention1">
    <w:name w:val="Unresolved Mention1"/>
    <w:basedOn w:val="DefaultParagraphFont"/>
    <w:uiPriority w:val="99"/>
    <w:semiHidden/>
    <w:unhideWhenUsed/>
    <w:rsid w:val="006D4D8D"/>
    <w:rPr>
      <w:color w:val="605E5C"/>
      <w:shd w:val="clear" w:color="auto" w:fill="E1DFDD"/>
    </w:rPr>
  </w:style>
  <w:style w:type="table" w:styleId="LightList">
    <w:name w:val="Light List"/>
    <w:basedOn w:val="TableNormal"/>
    <w:uiPriority w:val="61"/>
    <w:rsid w:val="00026E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8685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94079867">
      <w:bodyDiv w:val="1"/>
      <w:marLeft w:val="0"/>
      <w:marRight w:val="0"/>
      <w:marTop w:val="0"/>
      <w:marBottom w:val="0"/>
      <w:divBdr>
        <w:top w:val="none" w:sz="0" w:space="0" w:color="auto"/>
        <w:left w:val="none" w:sz="0" w:space="0" w:color="auto"/>
        <w:bottom w:val="none" w:sz="0" w:space="0" w:color="auto"/>
        <w:right w:val="none" w:sz="0" w:space="0" w:color="auto"/>
      </w:divBdr>
    </w:div>
    <w:div w:id="21473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econ.org/the-econom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D1060-A039-4345-8FD1-2D99DEE2B10A}">
  <ds:schemaRefs>
    <ds:schemaRef ds:uri="http://schemas.openxmlformats.org/officeDocument/2006/bibliography"/>
  </ds:schemaRefs>
</ds:datastoreItem>
</file>

<file path=customXml/itemProps2.xml><?xml version="1.0" encoding="utf-8"?>
<ds:datastoreItem xmlns:ds="http://schemas.openxmlformats.org/officeDocument/2006/customXml" ds:itemID="{B07A523F-3295-4831-9D95-30DF52BDB8ED}"/>
</file>

<file path=customXml/itemProps3.xml><?xml version="1.0" encoding="utf-8"?>
<ds:datastoreItem xmlns:ds="http://schemas.openxmlformats.org/officeDocument/2006/customXml" ds:itemID="{8DD806E4-AD9F-427B-BA40-BF2FF9317822}"/>
</file>

<file path=customXml/itemProps4.xml><?xml version="1.0" encoding="utf-8"?>
<ds:datastoreItem xmlns:ds="http://schemas.openxmlformats.org/officeDocument/2006/customXml" ds:itemID="{2AB2EE8C-9830-4AA5-953C-0971A54F755A}"/>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2020-12-22T10:05:00Z</dcterms:created>
  <dcterms:modified xsi:type="dcterms:W3CDTF">2021-02-18T12:31:00Z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