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2E03913D" w:rsidR="009A2D37" w:rsidRPr="00F72BE7" w:rsidRDefault="00415056" w:rsidP="00F72BE7">
      <w:pPr>
        <w:spacing w:after="120" w:line="240" w:lineRule="auto"/>
        <w:ind w:left="567" w:right="260"/>
        <w:jc w:val="both"/>
        <w:rPr>
          <w:rFonts w:ascii="Arial" w:hAnsi="Arial" w:cs="Arial"/>
        </w:rPr>
      </w:pPr>
      <w:r>
        <w:rPr>
          <w:rFonts w:ascii="Arial" w:hAnsi="Arial" w:cs="Arial"/>
        </w:rPr>
        <w:t>BUSN</w:t>
      </w:r>
      <w:r w:rsidR="006D0561">
        <w:rPr>
          <w:rFonts w:ascii="Arial" w:hAnsi="Arial" w:cs="Arial"/>
        </w:rPr>
        <w:t>9</w:t>
      </w:r>
      <w:r w:rsidR="004B261B">
        <w:rPr>
          <w:rFonts w:ascii="Arial" w:hAnsi="Arial" w:cs="Arial"/>
        </w:rPr>
        <w:t>104</w:t>
      </w:r>
      <w:r w:rsidR="005F30B8">
        <w:rPr>
          <w:rFonts w:ascii="Arial" w:hAnsi="Arial" w:cs="Arial"/>
        </w:rPr>
        <w:t xml:space="preserve"> (CB</w:t>
      </w:r>
      <w:r w:rsidR="004B261B">
        <w:rPr>
          <w:rFonts w:ascii="Arial" w:hAnsi="Arial" w:cs="Arial"/>
        </w:rPr>
        <w:t>9104</w:t>
      </w:r>
      <w:r w:rsidR="007C05EE">
        <w:rPr>
          <w:rFonts w:ascii="Arial" w:hAnsi="Arial" w:cs="Arial"/>
        </w:rPr>
        <w:t>)</w:t>
      </w:r>
      <w:r w:rsidR="00F353B7">
        <w:rPr>
          <w:rFonts w:ascii="Arial" w:hAnsi="Arial" w:cs="Arial"/>
        </w:rPr>
        <w:t xml:space="preserve"> </w:t>
      </w:r>
      <w:r w:rsidR="004B261B">
        <w:rPr>
          <w:rFonts w:ascii="Arial" w:hAnsi="Arial" w:cs="Arial"/>
        </w:rPr>
        <w:t>Marketing Management and Communications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51F39AD" w:rsidR="009A2D37" w:rsidRPr="00CB34E8" w:rsidRDefault="007418F4" w:rsidP="00CB34E8">
      <w:pPr>
        <w:spacing w:after="120" w:line="240" w:lineRule="auto"/>
        <w:ind w:left="567" w:right="260"/>
        <w:rPr>
          <w:rFonts w:ascii="Arial" w:hAnsi="Arial" w:cs="Arial"/>
        </w:rPr>
      </w:pPr>
      <w:r>
        <w:rPr>
          <w:rFonts w:ascii="Arial" w:hAnsi="Arial" w:cs="Arial"/>
        </w:rPr>
        <w:t>15 credits (7.5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45373229" w:rsidR="009A2D37" w:rsidRDefault="00112AAB" w:rsidP="005F0105">
      <w:pPr>
        <w:pStyle w:val="ListParagraph"/>
        <w:spacing w:after="0"/>
        <w:ind w:left="567"/>
        <w:rPr>
          <w:rFonts w:ascii="Arial" w:hAnsi="Arial" w:cs="Arial"/>
        </w:rPr>
      </w:pPr>
      <w:r>
        <w:rPr>
          <w:rFonts w:ascii="Arial" w:hAnsi="Arial" w:cs="Arial"/>
        </w:rPr>
        <w:t>Autumn</w:t>
      </w:r>
    </w:p>
    <w:p w14:paraId="5B5CC55A" w14:textId="77777777" w:rsidR="005F0105" w:rsidRPr="005F0105" w:rsidRDefault="005F0105" w:rsidP="005F0105">
      <w:pPr>
        <w:pStyle w:val="ListParagraph"/>
        <w:spacing w:after="0"/>
        <w:ind w:left="567"/>
        <w:rPr>
          <w:rFonts w:ascii="Arial" w:hAnsi="Arial" w:cs="Arial"/>
        </w:rPr>
      </w:pPr>
    </w:p>
    <w:p w14:paraId="21BD3DD5" w14:textId="2E919B2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FA4A70" w14:textId="3CE136A9" w:rsidR="00134D76" w:rsidRPr="008A3860" w:rsidRDefault="00916009" w:rsidP="008A3860">
      <w:pPr>
        <w:spacing w:after="120" w:line="240" w:lineRule="auto"/>
        <w:ind w:right="260" w:firstLine="567"/>
        <w:rPr>
          <w:rFonts w:ascii="Arial" w:hAnsi="Arial" w:cs="Arial"/>
          <w:iCs/>
        </w:rPr>
      </w:pPr>
      <w:r>
        <w:rPr>
          <w:rFonts w:ascii="Arial" w:hAnsi="Arial" w:cs="Arial"/>
          <w:iCs/>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3CBD3A4" w14:textId="18CC4456" w:rsidR="007C2577" w:rsidRPr="00B71C07" w:rsidRDefault="006239F4" w:rsidP="008A3860">
      <w:pPr>
        <w:spacing w:after="120" w:line="240" w:lineRule="auto"/>
        <w:ind w:right="260" w:firstLine="567"/>
        <w:rPr>
          <w:rFonts w:ascii="Arial" w:hAnsi="Arial" w:cs="Arial"/>
          <w:iCs/>
        </w:rPr>
      </w:pPr>
      <w:r>
        <w:rPr>
          <w:rFonts w:ascii="Arial" w:hAnsi="Arial" w:cs="Arial"/>
          <w:iCs/>
        </w:rPr>
        <w:t xml:space="preserve">MSc </w:t>
      </w:r>
      <w:r w:rsidR="007418F4">
        <w:rPr>
          <w:rFonts w:ascii="Arial" w:hAnsi="Arial" w:cs="Arial"/>
          <w:iCs/>
        </w:rPr>
        <w:t>Management</w:t>
      </w:r>
    </w:p>
    <w:p w14:paraId="671AB754" w14:textId="5E9506B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EA5CA42" w14:textId="3DCF72A4" w:rsidR="00525216" w:rsidRPr="00525216" w:rsidRDefault="00525216" w:rsidP="00525216">
      <w:pPr>
        <w:spacing w:after="0" w:line="240" w:lineRule="auto"/>
        <w:ind w:left="567" w:right="260"/>
        <w:rPr>
          <w:rFonts w:ascii="Arial" w:hAnsi="Arial" w:cs="Arial"/>
        </w:rPr>
      </w:pPr>
      <w:r>
        <w:rPr>
          <w:rFonts w:ascii="Arial" w:hAnsi="Arial" w:cs="Arial"/>
        </w:rPr>
        <w:t xml:space="preserve">8.1 </w:t>
      </w:r>
      <w:r w:rsidRPr="00525216">
        <w:rPr>
          <w:rFonts w:ascii="Arial" w:hAnsi="Arial" w:cs="Arial"/>
        </w:rPr>
        <w:t xml:space="preserve">Demonstrate advanced understanding of the strategic role of marketing, including their primary functions in the context of the organisation and wider environment. </w:t>
      </w:r>
    </w:p>
    <w:p w14:paraId="794D1D1D" w14:textId="0C5509F1" w:rsidR="00525216" w:rsidRPr="00525216" w:rsidRDefault="00525216" w:rsidP="00525216">
      <w:pPr>
        <w:spacing w:after="0" w:line="240" w:lineRule="auto"/>
        <w:ind w:left="567" w:right="260"/>
        <w:rPr>
          <w:rFonts w:ascii="Arial" w:hAnsi="Arial" w:cs="Arial"/>
        </w:rPr>
      </w:pPr>
      <w:r>
        <w:rPr>
          <w:rFonts w:ascii="Arial" w:hAnsi="Arial" w:cs="Arial"/>
        </w:rPr>
        <w:t xml:space="preserve">8.2 </w:t>
      </w:r>
      <w:r w:rsidRPr="00525216">
        <w:rPr>
          <w:rFonts w:ascii="Arial" w:hAnsi="Arial" w:cs="Arial"/>
        </w:rPr>
        <w:t>Identify and critically evaluate the trends in the environment and use innovative market research techniques, both qualitative and quantitative, to understand customer behaviour.</w:t>
      </w:r>
    </w:p>
    <w:p w14:paraId="1E62EB41" w14:textId="1A1D3788" w:rsidR="00525216" w:rsidRPr="00525216" w:rsidRDefault="00525216" w:rsidP="00525216">
      <w:pPr>
        <w:spacing w:after="0" w:line="240" w:lineRule="auto"/>
        <w:ind w:left="567" w:right="260"/>
        <w:rPr>
          <w:rFonts w:ascii="Arial" w:hAnsi="Arial" w:cs="Arial"/>
        </w:rPr>
      </w:pPr>
      <w:r>
        <w:rPr>
          <w:rFonts w:ascii="Arial" w:hAnsi="Arial" w:cs="Arial"/>
        </w:rPr>
        <w:t xml:space="preserve">8.3 </w:t>
      </w:r>
      <w:r w:rsidRPr="00525216">
        <w:rPr>
          <w:rFonts w:ascii="Arial" w:hAnsi="Arial" w:cs="Arial"/>
        </w:rPr>
        <w:t>Demonstrate a comprehensive understanding of the marketing mix principles and how the marketing mix is managed, including marketing communications.</w:t>
      </w:r>
    </w:p>
    <w:p w14:paraId="1E696A37" w14:textId="0FB16C87" w:rsidR="00CA514D" w:rsidRDefault="00525216" w:rsidP="00525216">
      <w:pPr>
        <w:spacing w:after="0" w:line="240" w:lineRule="auto"/>
        <w:ind w:left="567" w:right="260"/>
        <w:rPr>
          <w:rFonts w:ascii="Arial" w:hAnsi="Arial" w:cs="Arial"/>
        </w:rPr>
      </w:pPr>
      <w:r>
        <w:rPr>
          <w:rFonts w:ascii="Arial" w:hAnsi="Arial" w:cs="Arial"/>
        </w:rPr>
        <w:t xml:space="preserve">8.4 </w:t>
      </w:r>
      <w:r w:rsidRPr="00525216">
        <w:rPr>
          <w:rFonts w:ascii="Arial" w:hAnsi="Arial" w:cs="Arial"/>
        </w:rPr>
        <w:t>Evaluate arguments or propositions and to make judgments that can guide the development of marketing plans the effectively addresses the challenges of businesses in different</w:t>
      </w:r>
      <w:r>
        <w:rPr>
          <w:rFonts w:ascii="Arial" w:hAnsi="Arial" w:cs="Arial"/>
        </w:rPr>
        <w:t xml:space="preserve"> contexts.</w:t>
      </w:r>
    </w:p>
    <w:p w14:paraId="661C51E1" w14:textId="77777777" w:rsidR="00525216" w:rsidRPr="00525216" w:rsidRDefault="00525216" w:rsidP="00525216">
      <w:pPr>
        <w:spacing w:after="0" w:line="240" w:lineRule="auto"/>
        <w:ind w:left="567" w:right="260"/>
        <w:rPr>
          <w:rFonts w:ascii="Arial" w:hAnsi="Arial" w:cs="Arial"/>
        </w:rPr>
      </w:pPr>
    </w:p>
    <w:p w14:paraId="0F260B2D" w14:textId="182C982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4ECAE9" w14:textId="3427C47D" w:rsidR="00525216" w:rsidRPr="00525216" w:rsidRDefault="00525216" w:rsidP="00525216">
      <w:pPr>
        <w:spacing w:after="0" w:line="240" w:lineRule="auto"/>
        <w:ind w:left="567" w:right="260"/>
        <w:rPr>
          <w:rFonts w:ascii="Arial" w:hAnsi="Arial" w:cs="Arial"/>
        </w:rPr>
      </w:pPr>
      <w:r>
        <w:rPr>
          <w:rFonts w:ascii="Arial" w:hAnsi="Arial" w:cs="Arial"/>
        </w:rPr>
        <w:t xml:space="preserve">9.1 </w:t>
      </w:r>
      <w:r w:rsidRPr="00525216">
        <w:rPr>
          <w:rFonts w:ascii="Arial" w:hAnsi="Arial" w:cs="Arial"/>
        </w:rPr>
        <w:t>Critically evaluate argument, assumptions and data to make reasoned judgments and to frame appropriate questions to achieve a solution.</w:t>
      </w:r>
    </w:p>
    <w:p w14:paraId="35CB2702" w14:textId="77777777" w:rsidR="00525216" w:rsidRPr="00525216" w:rsidRDefault="00525216" w:rsidP="00525216">
      <w:pPr>
        <w:spacing w:after="0" w:line="240" w:lineRule="auto"/>
        <w:ind w:left="567" w:right="260"/>
        <w:rPr>
          <w:rFonts w:ascii="Arial" w:hAnsi="Arial" w:cs="Arial"/>
        </w:rPr>
      </w:pPr>
      <w:r w:rsidRPr="00525216">
        <w:rPr>
          <w:rFonts w:ascii="Arial" w:hAnsi="Arial" w:cs="Arial"/>
        </w:rPr>
        <w:t>9.2. Apply a variety of problem solving tools and methods both autonomously and collaboratively.</w:t>
      </w:r>
    </w:p>
    <w:p w14:paraId="4DA453D0" w14:textId="77777777" w:rsidR="00525216" w:rsidRPr="00525216" w:rsidRDefault="00525216" w:rsidP="00525216">
      <w:pPr>
        <w:spacing w:after="0" w:line="240" w:lineRule="auto"/>
        <w:ind w:left="567" w:right="260"/>
        <w:rPr>
          <w:rFonts w:ascii="Arial" w:hAnsi="Arial" w:cs="Arial"/>
        </w:rPr>
      </w:pPr>
      <w:r w:rsidRPr="00525216">
        <w:rPr>
          <w:rFonts w:ascii="Arial" w:hAnsi="Arial" w:cs="Arial"/>
        </w:rPr>
        <w:t>9.3. Effectively communicate the solutions arrived at, and the thinking underlying them, in verbal and written form.</w:t>
      </w:r>
    </w:p>
    <w:p w14:paraId="00D2E4D9" w14:textId="4AF0174C" w:rsidR="00CA514D" w:rsidRDefault="00525216" w:rsidP="00525216">
      <w:pPr>
        <w:spacing w:after="0" w:line="240" w:lineRule="auto"/>
        <w:ind w:left="567" w:right="260"/>
        <w:rPr>
          <w:rFonts w:ascii="Arial" w:hAnsi="Arial" w:cs="Arial"/>
        </w:rPr>
      </w:pPr>
      <w:r w:rsidRPr="00525216">
        <w:rPr>
          <w:rFonts w:ascii="Arial" w:hAnsi="Arial" w:cs="Arial"/>
        </w:rPr>
        <w:t>9.4. Work effectively as part of a group, and use self-direction, initiative and planning in the context of independent learning and the management of assignments.</w:t>
      </w:r>
    </w:p>
    <w:p w14:paraId="77BA8BB5" w14:textId="77777777" w:rsidR="00525216" w:rsidRPr="00916009" w:rsidRDefault="00525216" w:rsidP="00525216">
      <w:pPr>
        <w:spacing w:after="0" w:line="240" w:lineRule="auto"/>
        <w:ind w:left="567" w:right="260"/>
        <w:rPr>
          <w:rFonts w:ascii="Arial" w:hAnsi="Arial" w:cs="Arial"/>
        </w:rPr>
      </w:pPr>
    </w:p>
    <w:p w14:paraId="1EBB1517" w14:textId="646E1900" w:rsidR="00486F32" w:rsidRDefault="009A2D37" w:rsidP="00486F3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E95BA2B" w14:textId="77777777" w:rsidR="00525216" w:rsidRPr="00B81E1B" w:rsidRDefault="00525216" w:rsidP="00525216">
      <w:pPr>
        <w:tabs>
          <w:tab w:val="left" w:pos="720"/>
        </w:tabs>
        <w:ind w:left="567"/>
        <w:rPr>
          <w:rFonts w:ascii="Arial" w:hAnsi="Arial" w:cs="Arial"/>
        </w:rPr>
      </w:pPr>
      <w:r w:rsidRPr="00F91228">
        <w:rPr>
          <w:rFonts w:ascii="Arial" w:eastAsiaTheme="minorHAnsi" w:hAnsi="Arial" w:cs="Arial"/>
          <w:lang w:eastAsia="en-US"/>
        </w:rPr>
        <w:t xml:space="preserve">This module examines recent developments in marketing thinking and market strategy development. </w:t>
      </w:r>
      <w:r>
        <w:rPr>
          <w:rFonts w:ascii="Arial" w:eastAsiaTheme="minorHAnsi" w:hAnsi="Arial" w:cs="Arial"/>
          <w:lang w:eastAsia="en-US"/>
        </w:rPr>
        <w:t>S</w:t>
      </w:r>
      <w:r w:rsidRPr="00D723B2">
        <w:rPr>
          <w:rFonts w:ascii="Arial" w:hAnsi="Arial" w:cs="Arial"/>
        </w:rPr>
        <w:t>tudent</w:t>
      </w:r>
      <w:r>
        <w:rPr>
          <w:rFonts w:ascii="Arial" w:hAnsi="Arial" w:cs="Arial"/>
        </w:rPr>
        <w:t>s</w:t>
      </w:r>
      <w:r w:rsidRPr="00D723B2">
        <w:rPr>
          <w:rFonts w:ascii="Arial" w:hAnsi="Arial" w:cs="Arial"/>
        </w:rPr>
        <w:t xml:space="preserve"> will acquire a theoretical foundation through the lecture</w:t>
      </w:r>
      <w:r>
        <w:rPr>
          <w:rFonts w:ascii="Arial" w:hAnsi="Arial" w:cs="Arial"/>
        </w:rPr>
        <w:t>s</w:t>
      </w:r>
      <w:r w:rsidRPr="00D723B2">
        <w:rPr>
          <w:rFonts w:ascii="Arial" w:hAnsi="Arial" w:cs="Arial"/>
        </w:rPr>
        <w:t xml:space="preserve"> and discussions on marketing management </w:t>
      </w:r>
      <w:r>
        <w:rPr>
          <w:rFonts w:ascii="Arial" w:hAnsi="Arial" w:cs="Arial"/>
        </w:rPr>
        <w:t xml:space="preserve">and communications </w:t>
      </w:r>
      <w:r w:rsidRPr="00D723B2">
        <w:rPr>
          <w:rFonts w:ascii="Arial" w:hAnsi="Arial" w:cs="Arial"/>
        </w:rPr>
        <w:t xml:space="preserve">concepts and frameworks. The use of case studies will allow the student to explore the process of marketing decision-making and strategy development as well as </w:t>
      </w:r>
      <w:r w:rsidRPr="00B81E1B">
        <w:rPr>
          <w:rFonts w:ascii="Arial" w:hAnsi="Arial" w:cs="Arial"/>
        </w:rPr>
        <w:t>enhancing the ability to apply marketing theory to a wide range of problems.</w:t>
      </w:r>
    </w:p>
    <w:p w14:paraId="1113D5AC" w14:textId="12DE56A9" w:rsidR="00525216" w:rsidRPr="00A53DCF" w:rsidRDefault="00525216" w:rsidP="00525216">
      <w:pPr>
        <w:tabs>
          <w:tab w:val="left" w:pos="720"/>
        </w:tabs>
        <w:ind w:left="567"/>
        <w:rPr>
          <w:rFonts w:ascii="Arial" w:hAnsi="Arial" w:cs="Arial"/>
        </w:rPr>
      </w:pPr>
      <w:r w:rsidRPr="00B81E1B">
        <w:rPr>
          <w:rFonts w:ascii="Arial" w:hAnsi="Arial" w:cs="Arial"/>
        </w:rPr>
        <w:t>Indicative topics are</w:t>
      </w:r>
    </w:p>
    <w:p w14:paraId="40F8D6FD" w14:textId="77777777" w:rsidR="00525216" w:rsidRPr="00A53DCF" w:rsidRDefault="00525216" w:rsidP="00525216">
      <w:pPr>
        <w:numPr>
          <w:ilvl w:val="0"/>
          <w:numId w:val="33"/>
        </w:numPr>
        <w:tabs>
          <w:tab w:val="clear" w:pos="360"/>
        </w:tabs>
        <w:spacing w:after="0" w:line="240" w:lineRule="auto"/>
        <w:ind w:left="924" w:hanging="357"/>
        <w:rPr>
          <w:rFonts w:ascii="Arial" w:hAnsi="Arial" w:cs="Arial"/>
        </w:rPr>
      </w:pPr>
      <w:r w:rsidRPr="00A53DCF">
        <w:rPr>
          <w:rFonts w:ascii="Arial" w:hAnsi="Arial" w:cs="Arial"/>
        </w:rPr>
        <w:t>Marketing planning</w:t>
      </w:r>
    </w:p>
    <w:p w14:paraId="255C87E5" w14:textId="77777777" w:rsidR="00525216" w:rsidRPr="00A53DCF" w:rsidRDefault="00525216" w:rsidP="00525216">
      <w:pPr>
        <w:numPr>
          <w:ilvl w:val="0"/>
          <w:numId w:val="33"/>
        </w:numPr>
        <w:tabs>
          <w:tab w:val="clear" w:pos="360"/>
        </w:tabs>
        <w:spacing w:after="0" w:line="240" w:lineRule="auto"/>
        <w:ind w:left="924" w:hanging="357"/>
        <w:rPr>
          <w:rFonts w:ascii="Arial" w:hAnsi="Arial" w:cs="Arial"/>
        </w:rPr>
      </w:pPr>
      <w:r w:rsidRPr="00A53DCF">
        <w:rPr>
          <w:rFonts w:ascii="Arial" w:hAnsi="Arial" w:cs="Arial"/>
        </w:rPr>
        <w:t>The market: understanding and analysing the marketing environment</w:t>
      </w:r>
    </w:p>
    <w:p w14:paraId="69D629D1" w14:textId="77777777" w:rsidR="00525216" w:rsidRPr="00A53DCF" w:rsidRDefault="00525216" w:rsidP="00525216">
      <w:pPr>
        <w:numPr>
          <w:ilvl w:val="0"/>
          <w:numId w:val="33"/>
        </w:numPr>
        <w:tabs>
          <w:tab w:val="clear" w:pos="360"/>
        </w:tabs>
        <w:spacing w:after="0" w:line="240" w:lineRule="auto"/>
        <w:ind w:left="924" w:hanging="357"/>
        <w:rPr>
          <w:rFonts w:ascii="Arial" w:hAnsi="Arial" w:cs="Arial"/>
        </w:rPr>
      </w:pPr>
      <w:r>
        <w:rPr>
          <w:rFonts w:ascii="Arial" w:hAnsi="Arial" w:cs="Arial"/>
        </w:rPr>
        <w:t>Segmentation, t</w:t>
      </w:r>
      <w:r w:rsidRPr="00A53DCF">
        <w:rPr>
          <w:rFonts w:ascii="Arial" w:hAnsi="Arial" w:cs="Arial"/>
        </w:rPr>
        <w:t>arget</w:t>
      </w:r>
      <w:r>
        <w:rPr>
          <w:rFonts w:ascii="Arial" w:hAnsi="Arial" w:cs="Arial"/>
        </w:rPr>
        <w:t>ing and positioning</w:t>
      </w:r>
    </w:p>
    <w:p w14:paraId="580F17A8" w14:textId="77777777" w:rsidR="00525216" w:rsidRPr="00A53DCF" w:rsidRDefault="00525216" w:rsidP="00525216">
      <w:pPr>
        <w:numPr>
          <w:ilvl w:val="0"/>
          <w:numId w:val="33"/>
        </w:numPr>
        <w:tabs>
          <w:tab w:val="clear" w:pos="360"/>
        </w:tabs>
        <w:spacing w:after="0" w:line="240" w:lineRule="auto"/>
        <w:ind w:left="924" w:hanging="357"/>
        <w:rPr>
          <w:rFonts w:ascii="Arial" w:hAnsi="Arial" w:cs="Arial"/>
        </w:rPr>
      </w:pPr>
      <w:r w:rsidRPr="00A53DCF">
        <w:rPr>
          <w:rFonts w:ascii="Arial" w:hAnsi="Arial" w:cs="Arial"/>
        </w:rPr>
        <w:t>Market</w:t>
      </w:r>
      <w:r>
        <w:rPr>
          <w:rFonts w:ascii="Arial" w:hAnsi="Arial" w:cs="Arial"/>
        </w:rPr>
        <w:t>ing</w:t>
      </w:r>
      <w:r w:rsidRPr="00A53DCF">
        <w:rPr>
          <w:rFonts w:ascii="Arial" w:hAnsi="Arial" w:cs="Arial"/>
        </w:rPr>
        <w:t xml:space="preserve"> research</w:t>
      </w:r>
    </w:p>
    <w:p w14:paraId="560B74FA" w14:textId="77777777" w:rsidR="00525216" w:rsidRPr="00A53DCF" w:rsidRDefault="00525216" w:rsidP="00525216">
      <w:pPr>
        <w:numPr>
          <w:ilvl w:val="0"/>
          <w:numId w:val="33"/>
        </w:numPr>
        <w:tabs>
          <w:tab w:val="clear" w:pos="360"/>
        </w:tabs>
        <w:spacing w:after="0" w:line="240" w:lineRule="auto"/>
        <w:ind w:left="924" w:hanging="357"/>
        <w:rPr>
          <w:rFonts w:ascii="Arial" w:hAnsi="Arial" w:cs="Arial"/>
        </w:rPr>
      </w:pPr>
      <w:r w:rsidRPr="00A53DCF">
        <w:rPr>
          <w:rFonts w:ascii="Arial" w:hAnsi="Arial" w:cs="Arial"/>
        </w:rPr>
        <w:lastRenderedPageBreak/>
        <w:t>Understanding customers and buyer behaviour</w:t>
      </w:r>
    </w:p>
    <w:p w14:paraId="109378B5" w14:textId="77777777" w:rsidR="00525216" w:rsidRPr="00A53DCF" w:rsidRDefault="00525216" w:rsidP="00525216">
      <w:pPr>
        <w:numPr>
          <w:ilvl w:val="0"/>
          <w:numId w:val="33"/>
        </w:numPr>
        <w:tabs>
          <w:tab w:val="clear" w:pos="360"/>
        </w:tabs>
        <w:spacing w:after="0" w:line="240" w:lineRule="auto"/>
        <w:ind w:left="924" w:hanging="357"/>
        <w:rPr>
          <w:rFonts w:ascii="Arial" w:hAnsi="Arial" w:cs="Arial"/>
        </w:rPr>
      </w:pPr>
      <w:r w:rsidRPr="00A53DCF">
        <w:rPr>
          <w:rFonts w:ascii="Arial" w:hAnsi="Arial" w:cs="Arial"/>
        </w:rPr>
        <w:t>The organisation: marketing strategy and ethics</w:t>
      </w:r>
    </w:p>
    <w:p w14:paraId="048A8216" w14:textId="77777777" w:rsidR="00525216" w:rsidRPr="00A53DCF" w:rsidRDefault="00525216" w:rsidP="00525216">
      <w:pPr>
        <w:numPr>
          <w:ilvl w:val="0"/>
          <w:numId w:val="33"/>
        </w:numPr>
        <w:tabs>
          <w:tab w:val="clear" w:pos="360"/>
        </w:tabs>
        <w:spacing w:after="0" w:line="240" w:lineRule="auto"/>
        <w:ind w:left="924" w:hanging="357"/>
        <w:rPr>
          <w:rFonts w:ascii="Arial" w:hAnsi="Arial" w:cs="Arial"/>
        </w:rPr>
      </w:pPr>
      <w:r w:rsidRPr="00A53DCF">
        <w:rPr>
          <w:rFonts w:ascii="Arial" w:hAnsi="Arial" w:cs="Arial"/>
        </w:rPr>
        <w:t>The marketing mix (goods and services)</w:t>
      </w:r>
    </w:p>
    <w:p w14:paraId="50AD40A9" w14:textId="77777777" w:rsidR="00525216" w:rsidRPr="00A53DCF" w:rsidRDefault="00525216" w:rsidP="00525216">
      <w:pPr>
        <w:numPr>
          <w:ilvl w:val="0"/>
          <w:numId w:val="33"/>
        </w:numPr>
        <w:tabs>
          <w:tab w:val="clear" w:pos="360"/>
        </w:tabs>
        <w:spacing w:after="0" w:line="240" w:lineRule="auto"/>
        <w:ind w:left="924" w:hanging="357"/>
        <w:rPr>
          <w:rFonts w:ascii="Arial" w:hAnsi="Arial" w:cs="Arial"/>
        </w:rPr>
      </w:pPr>
      <w:r w:rsidRPr="00A53DCF">
        <w:rPr>
          <w:rFonts w:ascii="Arial" w:hAnsi="Arial" w:cs="Arial"/>
        </w:rPr>
        <w:t>New product development</w:t>
      </w:r>
    </w:p>
    <w:p w14:paraId="219675DA" w14:textId="77777777" w:rsidR="00525216" w:rsidRPr="00A53DCF" w:rsidRDefault="00525216" w:rsidP="00525216">
      <w:pPr>
        <w:numPr>
          <w:ilvl w:val="0"/>
          <w:numId w:val="33"/>
        </w:numPr>
        <w:tabs>
          <w:tab w:val="clear" w:pos="360"/>
        </w:tabs>
        <w:spacing w:after="0" w:line="240" w:lineRule="auto"/>
        <w:ind w:left="924" w:hanging="357"/>
        <w:rPr>
          <w:rFonts w:ascii="Arial" w:hAnsi="Arial" w:cs="Arial"/>
        </w:rPr>
      </w:pPr>
      <w:r w:rsidRPr="00A53DCF">
        <w:rPr>
          <w:rFonts w:ascii="Arial" w:hAnsi="Arial" w:cs="Arial"/>
        </w:rPr>
        <w:t>Marketing communications</w:t>
      </w:r>
    </w:p>
    <w:p w14:paraId="2433F999" w14:textId="77777777" w:rsidR="00525216" w:rsidRDefault="00525216" w:rsidP="00525216">
      <w:pPr>
        <w:numPr>
          <w:ilvl w:val="0"/>
          <w:numId w:val="33"/>
        </w:numPr>
        <w:tabs>
          <w:tab w:val="clear" w:pos="360"/>
        </w:tabs>
        <w:spacing w:after="0" w:line="240" w:lineRule="auto"/>
        <w:ind w:left="924" w:hanging="357"/>
        <w:rPr>
          <w:rFonts w:ascii="Arial" w:hAnsi="Arial" w:cs="Arial"/>
        </w:rPr>
      </w:pPr>
      <w:r>
        <w:rPr>
          <w:rFonts w:ascii="Arial" w:hAnsi="Arial" w:cs="Arial"/>
        </w:rPr>
        <w:t>Pricing</w:t>
      </w:r>
    </w:p>
    <w:p w14:paraId="78FB2E68" w14:textId="77777777" w:rsidR="00525216" w:rsidRPr="00A53DCF" w:rsidRDefault="00525216" w:rsidP="00525216">
      <w:pPr>
        <w:numPr>
          <w:ilvl w:val="0"/>
          <w:numId w:val="33"/>
        </w:numPr>
        <w:tabs>
          <w:tab w:val="clear" w:pos="360"/>
        </w:tabs>
        <w:spacing w:after="0" w:line="240" w:lineRule="auto"/>
        <w:ind w:left="924" w:hanging="357"/>
        <w:rPr>
          <w:rFonts w:ascii="Arial" w:hAnsi="Arial" w:cs="Arial"/>
        </w:rPr>
      </w:pPr>
      <w:r>
        <w:rPr>
          <w:rFonts w:ascii="Arial" w:hAnsi="Arial" w:cs="Arial"/>
        </w:rPr>
        <w:t>M</w:t>
      </w:r>
      <w:r w:rsidRPr="00A53DCF">
        <w:rPr>
          <w:rFonts w:ascii="Arial" w:hAnsi="Arial" w:cs="Arial"/>
        </w:rPr>
        <w:t>arketing channels</w:t>
      </w:r>
    </w:p>
    <w:p w14:paraId="57304517" w14:textId="77777777" w:rsidR="00525216" w:rsidRPr="00A53DCF" w:rsidRDefault="00525216" w:rsidP="00525216">
      <w:pPr>
        <w:numPr>
          <w:ilvl w:val="0"/>
          <w:numId w:val="33"/>
        </w:numPr>
        <w:tabs>
          <w:tab w:val="clear" w:pos="360"/>
        </w:tabs>
        <w:spacing w:after="0" w:line="240" w:lineRule="auto"/>
        <w:ind w:left="924" w:hanging="357"/>
        <w:rPr>
          <w:rFonts w:ascii="Arial" w:hAnsi="Arial" w:cs="Arial"/>
        </w:rPr>
      </w:pPr>
      <w:r w:rsidRPr="00A53DCF">
        <w:rPr>
          <w:rFonts w:ascii="Arial" w:hAnsi="Arial" w:cs="Arial"/>
        </w:rPr>
        <w:t>Contemporary issues in marketing</w:t>
      </w:r>
    </w:p>
    <w:p w14:paraId="48526A0C" w14:textId="190ED146" w:rsidR="00423AC5" w:rsidRPr="00733B10" w:rsidRDefault="00423AC5" w:rsidP="00525216">
      <w:pPr>
        <w:spacing w:before="60" w:after="60" w:line="240" w:lineRule="auto"/>
        <w:ind w:right="-330"/>
        <w:rPr>
          <w:rFonts w:ascii="Arial" w:hAnsi="Arial" w:cs="Arial"/>
          <w:i/>
          <w:iCs/>
          <w:sz w:val="20"/>
          <w:szCs w:val="20"/>
        </w:rPr>
      </w:pPr>
    </w:p>
    <w:p w14:paraId="7701B145" w14:textId="7C4A8C9D"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98AF61E" w14:textId="77777777" w:rsidR="00525216" w:rsidRPr="00525216" w:rsidRDefault="00525216" w:rsidP="00525216">
      <w:pPr>
        <w:pStyle w:val="ListParagraph"/>
        <w:ind w:left="567"/>
        <w:rPr>
          <w:rFonts w:ascii="Arial" w:hAnsi="Arial" w:cs="Arial"/>
          <w:u w:val="single"/>
        </w:rPr>
      </w:pPr>
      <w:r w:rsidRPr="00525216">
        <w:rPr>
          <w:rFonts w:ascii="Arial" w:hAnsi="Arial" w:cs="Arial"/>
          <w:u w:val="single"/>
        </w:rPr>
        <w:t>Essential reading</w:t>
      </w:r>
    </w:p>
    <w:p w14:paraId="7310B0BE" w14:textId="77777777" w:rsidR="00525216" w:rsidRPr="00525216" w:rsidRDefault="00525216" w:rsidP="00525216">
      <w:pPr>
        <w:pStyle w:val="ListParagraph"/>
        <w:spacing w:after="120" w:line="240" w:lineRule="auto"/>
        <w:ind w:left="567" w:right="260"/>
        <w:jc w:val="both"/>
        <w:rPr>
          <w:rFonts w:ascii="Arial" w:hAnsi="Arial" w:cs="Arial"/>
        </w:rPr>
      </w:pPr>
      <w:r w:rsidRPr="00525216">
        <w:rPr>
          <w:rFonts w:ascii="Arial" w:hAnsi="Arial" w:cs="Arial"/>
        </w:rPr>
        <w:t xml:space="preserve">Hooley, G. J., Saunders, J. A., and Piercy, N. (2011). </w:t>
      </w:r>
      <w:r w:rsidRPr="00525216">
        <w:rPr>
          <w:rFonts w:ascii="Arial" w:hAnsi="Arial" w:cs="Arial"/>
          <w:i/>
        </w:rPr>
        <w:t>Marketing strategy and competitive positioning</w:t>
      </w:r>
      <w:r w:rsidRPr="00525216">
        <w:rPr>
          <w:rFonts w:ascii="Arial" w:hAnsi="Arial" w:cs="Arial"/>
        </w:rPr>
        <w:t>: Fifth edition. Harlow, England: Prentice Hall Financial Times.</w:t>
      </w:r>
    </w:p>
    <w:p w14:paraId="62594CAD" w14:textId="77777777" w:rsidR="00525216" w:rsidRPr="00525216" w:rsidRDefault="00525216" w:rsidP="00525216">
      <w:pPr>
        <w:pStyle w:val="ListParagraph"/>
        <w:spacing w:after="120" w:line="240" w:lineRule="auto"/>
        <w:ind w:left="567" w:right="260"/>
        <w:jc w:val="both"/>
        <w:rPr>
          <w:rFonts w:ascii="Arial" w:hAnsi="Arial" w:cs="Arial"/>
        </w:rPr>
      </w:pPr>
      <w:r w:rsidRPr="00525216">
        <w:rPr>
          <w:rFonts w:ascii="Arial" w:hAnsi="Arial" w:cs="Arial"/>
        </w:rPr>
        <w:t xml:space="preserve">West et al. (2015) </w:t>
      </w:r>
      <w:r w:rsidRPr="00525216">
        <w:rPr>
          <w:rFonts w:ascii="Arial" w:hAnsi="Arial" w:cs="Arial"/>
          <w:i/>
        </w:rPr>
        <w:t>Strategic Marketing: Creating Competitive Advantage</w:t>
      </w:r>
      <w:r w:rsidRPr="00525216">
        <w:rPr>
          <w:rFonts w:ascii="Arial" w:hAnsi="Arial" w:cs="Arial"/>
        </w:rPr>
        <w:t>. 3</w:t>
      </w:r>
      <w:r w:rsidRPr="00525216">
        <w:rPr>
          <w:rFonts w:ascii="Arial" w:hAnsi="Arial" w:cs="Arial"/>
          <w:vertAlign w:val="superscript"/>
        </w:rPr>
        <w:t>rd</w:t>
      </w:r>
      <w:r w:rsidRPr="00525216">
        <w:rPr>
          <w:rFonts w:ascii="Arial" w:hAnsi="Arial" w:cs="Arial"/>
        </w:rPr>
        <w:t xml:space="preserve"> </w:t>
      </w:r>
      <w:proofErr w:type="spellStart"/>
      <w:r w:rsidRPr="00525216">
        <w:rPr>
          <w:rFonts w:ascii="Arial" w:hAnsi="Arial" w:cs="Arial"/>
        </w:rPr>
        <w:t>edn</w:t>
      </w:r>
      <w:proofErr w:type="spellEnd"/>
      <w:r w:rsidRPr="00525216">
        <w:rPr>
          <w:rFonts w:ascii="Arial" w:hAnsi="Arial" w:cs="Arial"/>
        </w:rPr>
        <w:t>. Oxford: Oxford University Press.</w:t>
      </w:r>
    </w:p>
    <w:p w14:paraId="16DF792B" w14:textId="77777777" w:rsidR="00525216" w:rsidRPr="00525216" w:rsidRDefault="00525216" w:rsidP="00525216">
      <w:pPr>
        <w:pStyle w:val="ListParagraph"/>
        <w:spacing w:after="120" w:line="240" w:lineRule="auto"/>
        <w:ind w:left="567" w:right="260"/>
        <w:jc w:val="both"/>
        <w:rPr>
          <w:rFonts w:ascii="Arial" w:hAnsi="Arial" w:cs="Arial"/>
          <w:u w:val="single"/>
        </w:rPr>
      </w:pPr>
      <w:r w:rsidRPr="00525216">
        <w:rPr>
          <w:rFonts w:ascii="Arial" w:hAnsi="Arial" w:cs="Arial"/>
          <w:u w:val="single"/>
        </w:rPr>
        <w:t>Background Reading</w:t>
      </w:r>
    </w:p>
    <w:p w14:paraId="163824D1" w14:textId="77777777" w:rsidR="00525216" w:rsidRPr="00525216" w:rsidRDefault="00525216" w:rsidP="00525216">
      <w:pPr>
        <w:pStyle w:val="ListParagraph"/>
        <w:spacing w:after="120" w:line="240" w:lineRule="auto"/>
        <w:ind w:left="567" w:right="260"/>
        <w:jc w:val="both"/>
        <w:rPr>
          <w:rFonts w:ascii="Arial" w:hAnsi="Arial" w:cs="Arial"/>
        </w:rPr>
      </w:pPr>
      <w:r w:rsidRPr="00525216">
        <w:rPr>
          <w:rFonts w:ascii="Arial" w:hAnsi="Arial" w:cs="Arial"/>
        </w:rPr>
        <w:t xml:space="preserve">Blythe, J., and </w:t>
      </w:r>
      <w:proofErr w:type="spellStart"/>
      <w:r w:rsidRPr="00525216">
        <w:rPr>
          <w:rFonts w:ascii="Arial" w:hAnsi="Arial" w:cs="Arial"/>
        </w:rPr>
        <w:t>Megicks</w:t>
      </w:r>
      <w:proofErr w:type="spellEnd"/>
      <w:r w:rsidRPr="00525216">
        <w:rPr>
          <w:rFonts w:ascii="Arial" w:hAnsi="Arial" w:cs="Arial"/>
        </w:rPr>
        <w:t xml:space="preserve">, P. (2010). </w:t>
      </w:r>
      <w:r w:rsidRPr="00525216">
        <w:rPr>
          <w:rFonts w:ascii="Arial" w:hAnsi="Arial" w:cs="Arial"/>
          <w:i/>
        </w:rPr>
        <w:t>Marketing planning: Strategy, environment and context</w:t>
      </w:r>
      <w:r w:rsidRPr="00525216">
        <w:rPr>
          <w:rFonts w:ascii="Arial" w:hAnsi="Arial" w:cs="Arial"/>
        </w:rPr>
        <w:t>. Harlow, England: Prentice Hall.</w:t>
      </w:r>
    </w:p>
    <w:p w14:paraId="02E91044" w14:textId="77777777" w:rsidR="00525216" w:rsidRPr="00525216" w:rsidRDefault="00525216" w:rsidP="00525216">
      <w:pPr>
        <w:pStyle w:val="ListParagraph"/>
        <w:spacing w:after="120" w:line="240" w:lineRule="auto"/>
        <w:ind w:left="567" w:right="260"/>
        <w:jc w:val="both"/>
        <w:rPr>
          <w:rFonts w:ascii="Arial" w:hAnsi="Arial" w:cs="Arial"/>
        </w:rPr>
      </w:pPr>
      <w:r w:rsidRPr="00525216">
        <w:rPr>
          <w:rFonts w:ascii="Arial" w:hAnsi="Arial" w:cs="Arial"/>
        </w:rPr>
        <w:t xml:space="preserve">Keller, K. L. (2015). </w:t>
      </w:r>
      <w:r w:rsidRPr="00525216">
        <w:rPr>
          <w:rFonts w:ascii="Arial" w:hAnsi="Arial" w:cs="Arial"/>
          <w:i/>
        </w:rPr>
        <w:t>Strategic brand management: Building, measuring, and managing brand equity</w:t>
      </w:r>
      <w:r w:rsidRPr="00525216">
        <w:rPr>
          <w:rFonts w:ascii="Arial" w:hAnsi="Arial" w:cs="Arial"/>
        </w:rPr>
        <w:t>. 4</w:t>
      </w:r>
      <w:r w:rsidRPr="00525216">
        <w:rPr>
          <w:rFonts w:ascii="Arial" w:hAnsi="Arial" w:cs="Arial"/>
          <w:vertAlign w:val="superscript"/>
        </w:rPr>
        <w:t>th</w:t>
      </w:r>
      <w:r w:rsidRPr="00525216">
        <w:rPr>
          <w:rFonts w:ascii="Arial" w:hAnsi="Arial" w:cs="Arial"/>
        </w:rPr>
        <w:t xml:space="preserve"> Ed. Boston: Pearson.</w:t>
      </w:r>
    </w:p>
    <w:p w14:paraId="4221A5DE" w14:textId="77777777" w:rsidR="00525216" w:rsidRPr="00525216" w:rsidRDefault="00525216" w:rsidP="00525216">
      <w:pPr>
        <w:pStyle w:val="ListParagraph"/>
        <w:spacing w:after="120" w:line="240" w:lineRule="auto"/>
        <w:ind w:left="567" w:right="260"/>
        <w:jc w:val="both"/>
        <w:rPr>
          <w:rFonts w:ascii="Arial" w:hAnsi="Arial" w:cs="Arial"/>
        </w:rPr>
      </w:pPr>
      <w:r w:rsidRPr="00525216">
        <w:rPr>
          <w:rFonts w:ascii="Arial" w:hAnsi="Arial" w:cs="Arial"/>
        </w:rPr>
        <w:t xml:space="preserve">Kerin, R. A. and Peterson, R. A. (2013). </w:t>
      </w:r>
      <w:r w:rsidRPr="00525216">
        <w:rPr>
          <w:rFonts w:ascii="Arial" w:hAnsi="Arial" w:cs="Arial"/>
          <w:i/>
        </w:rPr>
        <w:t>Strategic marketing problems: Cases and comments.</w:t>
      </w:r>
      <w:r w:rsidRPr="00525216">
        <w:rPr>
          <w:rFonts w:ascii="Arial" w:hAnsi="Arial" w:cs="Arial"/>
        </w:rPr>
        <w:t xml:space="preserve"> Boston: Pearson.</w:t>
      </w:r>
    </w:p>
    <w:p w14:paraId="1FE51317" w14:textId="77777777" w:rsidR="00525216" w:rsidRPr="00525216" w:rsidRDefault="00525216" w:rsidP="00525216">
      <w:pPr>
        <w:pStyle w:val="ListParagraph"/>
        <w:spacing w:after="120" w:line="240" w:lineRule="auto"/>
        <w:ind w:left="567" w:right="260"/>
        <w:jc w:val="both"/>
        <w:rPr>
          <w:rFonts w:ascii="Arial" w:hAnsi="Arial" w:cs="Arial"/>
        </w:rPr>
      </w:pPr>
      <w:r w:rsidRPr="00525216">
        <w:rPr>
          <w:rFonts w:ascii="Arial" w:hAnsi="Arial" w:cs="Arial"/>
        </w:rPr>
        <w:t xml:space="preserve">Kotler, P., and Keller, K. L. (2015). </w:t>
      </w:r>
      <w:r w:rsidRPr="00525216">
        <w:rPr>
          <w:rFonts w:ascii="Arial" w:hAnsi="Arial" w:cs="Arial"/>
          <w:i/>
        </w:rPr>
        <w:t>A framework for marketing management</w:t>
      </w:r>
      <w:r w:rsidRPr="00525216">
        <w:rPr>
          <w:rFonts w:ascii="Arial" w:hAnsi="Arial" w:cs="Arial"/>
        </w:rPr>
        <w:t>, 6</w:t>
      </w:r>
      <w:r w:rsidRPr="00525216">
        <w:rPr>
          <w:rFonts w:ascii="Arial" w:hAnsi="Arial" w:cs="Arial"/>
          <w:vertAlign w:val="superscript"/>
        </w:rPr>
        <w:t>th</w:t>
      </w:r>
      <w:r w:rsidRPr="00525216">
        <w:rPr>
          <w:rFonts w:ascii="Arial" w:hAnsi="Arial" w:cs="Arial"/>
        </w:rPr>
        <w:t xml:space="preserve"> Ed. Boston: Prentice Hall.</w:t>
      </w:r>
    </w:p>
    <w:p w14:paraId="321A10E1" w14:textId="3CC7139B" w:rsidR="00525216" w:rsidRDefault="00525216" w:rsidP="00525216">
      <w:pPr>
        <w:pStyle w:val="ListParagraph"/>
        <w:spacing w:after="0" w:line="240" w:lineRule="auto"/>
        <w:ind w:left="567" w:right="261"/>
        <w:rPr>
          <w:rFonts w:ascii="Arial" w:hAnsi="Arial" w:cs="Arial"/>
        </w:rPr>
      </w:pPr>
      <w:r w:rsidRPr="00525216">
        <w:rPr>
          <w:rFonts w:ascii="Arial" w:hAnsi="Arial" w:cs="Arial"/>
        </w:rPr>
        <w:t xml:space="preserve">McDonald, M. and Wilson, H. (2016) </w:t>
      </w:r>
      <w:r w:rsidRPr="00525216">
        <w:rPr>
          <w:rFonts w:ascii="Arial" w:hAnsi="Arial" w:cs="Arial"/>
          <w:i/>
        </w:rPr>
        <w:t>Marketing plans: how to prepare them, how to use them</w:t>
      </w:r>
      <w:r w:rsidRPr="00525216">
        <w:rPr>
          <w:rFonts w:ascii="Arial" w:hAnsi="Arial" w:cs="Arial"/>
        </w:rPr>
        <w:t>. 8th edition. Chichester: John Wiley &amp; Sons. [ISBN-10: 111921713X]</w:t>
      </w:r>
    </w:p>
    <w:p w14:paraId="3C480497" w14:textId="6C0565BC" w:rsidR="00525216" w:rsidRDefault="00525216" w:rsidP="00525216">
      <w:pPr>
        <w:spacing w:after="0" w:line="240" w:lineRule="auto"/>
        <w:ind w:right="261"/>
        <w:rPr>
          <w:rFonts w:ascii="Arial" w:hAnsi="Arial" w:cs="Arial"/>
        </w:rPr>
      </w:pPr>
    </w:p>
    <w:p w14:paraId="4A4A8485" w14:textId="19366CCD" w:rsidR="00525216" w:rsidRPr="00AF677F" w:rsidRDefault="00525216" w:rsidP="00525216">
      <w:pPr>
        <w:spacing w:before="60" w:after="60" w:line="240" w:lineRule="auto"/>
        <w:ind w:left="567" w:right="-330"/>
        <w:rPr>
          <w:rFonts w:ascii="Arial" w:hAnsi="Arial" w:cs="Arial"/>
          <w:iCs/>
        </w:rPr>
      </w:pPr>
      <w:r w:rsidRPr="00AF677F">
        <w:rPr>
          <w:rFonts w:ascii="Arial" w:hAnsi="Arial" w:cs="Arial"/>
          <w:iCs/>
        </w:rPr>
        <w:t>It is also expected that students engage with key academic marketing journals (examples include Journal of Marketing, Harvard Business Review, Journal of Marketing Management, Psychology and Marketing) and key marketing practitioner oriented journals (examples include Marketing Week, Marketing News).</w:t>
      </w:r>
    </w:p>
    <w:p w14:paraId="53014D5C" w14:textId="2BC85865" w:rsidR="00525216" w:rsidRDefault="00525216" w:rsidP="00525216">
      <w:pPr>
        <w:spacing w:after="120" w:line="240" w:lineRule="auto"/>
        <w:ind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2FED0F99"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525216">
        <w:rPr>
          <w:rFonts w:ascii="Arial" w:hAnsi="Arial" w:cs="Arial"/>
          <w:iCs/>
        </w:rPr>
        <w:t>24</w:t>
      </w:r>
    </w:p>
    <w:p w14:paraId="0AB4FB84" w14:textId="0E88271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525216">
        <w:rPr>
          <w:rFonts w:ascii="Arial" w:hAnsi="Arial" w:cs="Arial"/>
          <w:iCs/>
        </w:rPr>
        <w:t>126</w:t>
      </w:r>
    </w:p>
    <w:p w14:paraId="5C21BC2F" w14:textId="7E393CA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D60DAD">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A2FAC41" w14:textId="24BFD0CF" w:rsidR="00C84AED" w:rsidRPr="00CA514D" w:rsidRDefault="00696FF5" w:rsidP="00CA514D">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49808FC" w14:textId="39515CED" w:rsidR="00D60DAD" w:rsidRPr="00B81E1B" w:rsidRDefault="00CA514D" w:rsidP="005A437C">
      <w:pPr>
        <w:spacing w:after="120" w:line="240" w:lineRule="auto"/>
        <w:ind w:right="260" w:firstLine="567"/>
        <w:jc w:val="both"/>
        <w:rPr>
          <w:rFonts w:ascii="Arial" w:hAnsi="Arial" w:cs="Arial"/>
          <w:iCs/>
        </w:rPr>
      </w:pPr>
      <w:r w:rsidRPr="00B81E1B">
        <w:rPr>
          <w:rFonts w:ascii="Arial" w:hAnsi="Arial" w:cs="Arial"/>
          <w:iCs/>
        </w:rPr>
        <w:t>Group</w:t>
      </w:r>
      <w:r w:rsidR="00525216" w:rsidRPr="00B81E1B">
        <w:rPr>
          <w:rFonts w:ascii="Arial" w:hAnsi="Arial" w:cs="Arial"/>
          <w:iCs/>
        </w:rPr>
        <w:t xml:space="preserve"> Podcast (5 minutes of audio) (3</w:t>
      </w:r>
      <w:r w:rsidR="00D60DAD" w:rsidRPr="00B81E1B">
        <w:rPr>
          <w:rFonts w:ascii="Arial" w:hAnsi="Arial" w:cs="Arial"/>
          <w:iCs/>
        </w:rPr>
        <w:t>0%)</w:t>
      </w:r>
    </w:p>
    <w:p w14:paraId="7EB75497" w14:textId="74B1148D" w:rsidR="00CA514D" w:rsidRPr="00B81E1B" w:rsidRDefault="00525216" w:rsidP="005A437C">
      <w:pPr>
        <w:spacing w:after="120" w:line="240" w:lineRule="auto"/>
        <w:ind w:right="260" w:firstLine="567"/>
        <w:jc w:val="both"/>
        <w:rPr>
          <w:rFonts w:ascii="Arial" w:hAnsi="Arial" w:cs="Arial"/>
          <w:iCs/>
        </w:rPr>
      </w:pPr>
      <w:r w:rsidRPr="00B81E1B">
        <w:rPr>
          <w:rFonts w:ascii="Arial" w:hAnsi="Arial" w:cs="Arial"/>
          <w:iCs/>
        </w:rPr>
        <w:t>Individual Written Report (3000 words) (7</w:t>
      </w:r>
      <w:r w:rsidR="00CA514D" w:rsidRPr="00B81E1B">
        <w:rPr>
          <w:rFonts w:ascii="Arial" w:hAnsi="Arial" w:cs="Arial"/>
          <w:iCs/>
        </w:rPr>
        <w:t>0%)</w:t>
      </w:r>
    </w:p>
    <w:p w14:paraId="6DE3590E" w14:textId="05A3A454" w:rsidR="00696FF5" w:rsidRDefault="00696FF5" w:rsidP="00486F3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59A92C" w14:textId="202D03E4" w:rsidR="0023070F" w:rsidRDefault="00B81E1B" w:rsidP="00C00301">
      <w:pPr>
        <w:spacing w:after="120"/>
        <w:ind w:left="567" w:hanging="567"/>
        <w:rPr>
          <w:rFonts w:ascii="Arial" w:hAnsi="Arial" w:cs="Arial"/>
          <w:iCs/>
        </w:rPr>
      </w:pPr>
      <w:r>
        <w:rPr>
          <w:rFonts w:ascii="Arial" w:hAnsi="Arial" w:cs="Arial"/>
          <w:iCs/>
        </w:rPr>
        <w:tab/>
      </w:r>
      <w:r w:rsidR="00004982">
        <w:rPr>
          <w:rFonts w:ascii="Arial" w:hAnsi="Arial" w:cs="Arial"/>
          <w:iCs/>
        </w:rPr>
        <w:t>Reassessment Instrument</w:t>
      </w:r>
      <w:proofErr w:type="gramStart"/>
      <w:r w:rsidR="00004982">
        <w:rPr>
          <w:rFonts w:ascii="Arial" w:hAnsi="Arial" w:cs="Arial"/>
          <w:iCs/>
        </w:rPr>
        <w:t>:</w:t>
      </w:r>
      <w:r>
        <w:rPr>
          <w:rFonts w:ascii="Arial" w:hAnsi="Arial" w:cs="Arial"/>
          <w:iCs/>
        </w:rPr>
        <w:t>100</w:t>
      </w:r>
      <w:proofErr w:type="gramEnd"/>
      <w:r>
        <w:rPr>
          <w:rFonts w:ascii="Arial" w:hAnsi="Arial" w:cs="Arial"/>
          <w:iCs/>
        </w:rPr>
        <w:t>% coursework</w:t>
      </w:r>
    </w:p>
    <w:p w14:paraId="4C129DF7" w14:textId="77777777" w:rsidR="00B81E1B" w:rsidRPr="00C00301" w:rsidRDefault="00B81E1B" w:rsidP="00C00301">
      <w:pPr>
        <w:spacing w:after="120"/>
        <w:ind w:left="567" w:hanging="567"/>
        <w:rPr>
          <w:rFonts w:ascii="Arial" w:hAnsi="Arial" w:cs="Arial"/>
          <w:iCs/>
        </w:rPr>
      </w:pPr>
    </w:p>
    <w:p w14:paraId="45DC6BF7" w14:textId="2201295D" w:rsidR="00274ED7" w:rsidRPr="00B81E1B" w:rsidRDefault="006F3F8B" w:rsidP="00696FF5">
      <w:pPr>
        <w:numPr>
          <w:ilvl w:val="0"/>
          <w:numId w:val="1"/>
        </w:numPr>
        <w:spacing w:after="120" w:line="240" w:lineRule="auto"/>
        <w:ind w:left="567" w:right="261" w:hanging="567"/>
        <w:jc w:val="both"/>
        <w:rPr>
          <w:rFonts w:ascii="Arial" w:hAnsi="Arial" w:cs="Arial"/>
          <w:b/>
          <w:iCs/>
        </w:rPr>
      </w:pPr>
      <w:r w:rsidRPr="00B81E1B">
        <w:rPr>
          <w:rFonts w:ascii="Arial" w:hAnsi="Arial" w:cs="Arial"/>
          <w:b/>
          <w:iCs/>
        </w:rPr>
        <w:lastRenderedPageBreak/>
        <w:t xml:space="preserve">Map of </w:t>
      </w:r>
      <w:r w:rsidR="00883204" w:rsidRPr="00B81E1B">
        <w:rPr>
          <w:rFonts w:ascii="Arial" w:hAnsi="Arial" w:cs="Arial"/>
          <w:b/>
          <w:iCs/>
        </w:rPr>
        <w:t xml:space="preserve">module learning outcomes </w:t>
      </w:r>
      <w:r w:rsidR="00B30E07" w:rsidRPr="00B81E1B">
        <w:rPr>
          <w:rFonts w:ascii="Arial" w:hAnsi="Arial" w:cs="Arial"/>
          <w:b/>
          <w:iCs/>
        </w:rPr>
        <w:t>(sections 8 &amp; 9)</w:t>
      </w:r>
      <w:r w:rsidR="00883204" w:rsidRPr="00B81E1B">
        <w:rPr>
          <w:rFonts w:ascii="Arial" w:hAnsi="Arial" w:cs="Arial"/>
          <w:b/>
          <w:iCs/>
        </w:rPr>
        <w:t xml:space="preserve"> to l</w:t>
      </w:r>
      <w:r w:rsidRPr="00B81E1B">
        <w:rPr>
          <w:rFonts w:ascii="Arial" w:hAnsi="Arial" w:cs="Arial"/>
          <w:b/>
          <w:iCs/>
        </w:rPr>
        <w:t>earning</w:t>
      </w:r>
      <w:r w:rsidR="00B30E07" w:rsidRPr="00B81E1B">
        <w:rPr>
          <w:rFonts w:ascii="Arial" w:hAnsi="Arial" w:cs="Arial"/>
          <w:b/>
          <w:iCs/>
        </w:rPr>
        <w:t xml:space="preserve"> and </w:t>
      </w:r>
      <w:r w:rsidR="00883204" w:rsidRPr="00B81E1B">
        <w:rPr>
          <w:rFonts w:ascii="Arial" w:hAnsi="Arial" w:cs="Arial"/>
          <w:b/>
          <w:iCs/>
        </w:rPr>
        <w:t>teaching m</w:t>
      </w:r>
      <w:r w:rsidR="00B30E07" w:rsidRPr="00B81E1B">
        <w:rPr>
          <w:rFonts w:ascii="Arial" w:hAnsi="Arial" w:cs="Arial"/>
          <w:b/>
          <w:iCs/>
        </w:rPr>
        <w:t>ethods (section12</w:t>
      </w:r>
      <w:r w:rsidRPr="00B81E1B">
        <w:rPr>
          <w:rFonts w:ascii="Arial" w:hAnsi="Arial" w:cs="Arial"/>
          <w:b/>
          <w:iCs/>
        </w:rPr>
        <w:t>) and m</w:t>
      </w:r>
      <w:r w:rsidR="00883204" w:rsidRPr="00B81E1B">
        <w:rPr>
          <w:rFonts w:ascii="Arial" w:hAnsi="Arial" w:cs="Arial"/>
          <w:b/>
          <w:iCs/>
        </w:rPr>
        <w:t>ethods of a</w:t>
      </w:r>
      <w:r w:rsidR="00B30E07" w:rsidRPr="00B81E1B">
        <w:rPr>
          <w:rFonts w:ascii="Arial" w:hAnsi="Arial" w:cs="Arial"/>
          <w:b/>
          <w:iCs/>
        </w:rPr>
        <w:t>ssessment (section 13</w:t>
      </w:r>
      <w:r w:rsidR="00EF4933" w:rsidRPr="00B81E1B">
        <w:rPr>
          <w:rFonts w:ascii="Arial" w:hAnsi="Arial" w:cs="Arial"/>
          <w:b/>
          <w:iCs/>
        </w:rPr>
        <w:t>)</w:t>
      </w:r>
    </w:p>
    <w:tbl>
      <w:tblPr>
        <w:tblStyle w:val="TableGrid"/>
        <w:tblW w:w="5000" w:type="pct"/>
        <w:tblLook w:val="04A0" w:firstRow="1" w:lastRow="0" w:firstColumn="1" w:lastColumn="0" w:noHBand="0" w:noVBand="1"/>
      </w:tblPr>
      <w:tblGrid>
        <w:gridCol w:w="2893"/>
        <w:gridCol w:w="948"/>
        <w:gridCol w:w="947"/>
        <w:gridCol w:w="945"/>
        <w:gridCol w:w="945"/>
        <w:gridCol w:w="945"/>
        <w:gridCol w:w="945"/>
        <w:gridCol w:w="945"/>
        <w:gridCol w:w="943"/>
      </w:tblGrid>
      <w:tr w:rsidR="00525216" w:rsidRPr="00B81E1B" w14:paraId="27954D59" w14:textId="77777777" w:rsidTr="00B81E1B">
        <w:tc>
          <w:tcPr>
            <w:tcW w:w="1383" w:type="pct"/>
            <w:shd w:val="clear" w:color="auto" w:fill="D9D9D9" w:themeFill="background1" w:themeFillShade="D9"/>
          </w:tcPr>
          <w:p w14:paraId="186B279E" w14:textId="77777777" w:rsidR="00525216" w:rsidRPr="00B81E1B" w:rsidRDefault="00525216" w:rsidP="005E0DED">
            <w:pPr>
              <w:spacing w:after="120"/>
              <w:ind w:left="33"/>
              <w:rPr>
                <w:rFonts w:ascii="Arial" w:hAnsi="Arial" w:cs="Arial"/>
                <w:b/>
              </w:rPr>
            </w:pPr>
            <w:r w:rsidRPr="00B81E1B">
              <w:rPr>
                <w:rFonts w:ascii="Arial" w:hAnsi="Arial" w:cs="Arial"/>
                <w:b/>
              </w:rPr>
              <w:t>Module learning outcome</w:t>
            </w:r>
          </w:p>
        </w:tc>
        <w:tc>
          <w:tcPr>
            <w:tcW w:w="453" w:type="pct"/>
          </w:tcPr>
          <w:p w14:paraId="3D9AAD2B" w14:textId="77777777" w:rsidR="00525216" w:rsidRPr="00B81E1B" w:rsidRDefault="00525216" w:rsidP="005E0DED">
            <w:pPr>
              <w:spacing w:after="120"/>
              <w:rPr>
                <w:rFonts w:ascii="Arial" w:hAnsi="Arial" w:cs="Arial"/>
                <w:i/>
              </w:rPr>
            </w:pPr>
            <w:r w:rsidRPr="00B81E1B">
              <w:rPr>
                <w:rFonts w:ascii="Arial" w:hAnsi="Arial" w:cs="Arial"/>
                <w:i/>
              </w:rPr>
              <w:t>8.1</w:t>
            </w:r>
          </w:p>
        </w:tc>
        <w:tc>
          <w:tcPr>
            <w:tcW w:w="453" w:type="pct"/>
          </w:tcPr>
          <w:p w14:paraId="71F22D26" w14:textId="77777777" w:rsidR="00525216" w:rsidRPr="00B81E1B" w:rsidRDefault="00525216" w:rsidP="005E0DED">
            <w:pPr>
              <w:spacing w:after="120"/>
              <w:rPr>
                <w:rFonts w:ascii="Arial" w:hAnsi="Arial" w:cs="Arial"/>
                <w:i/>
              </w:rPr>
            </w:pPr>
            <w:r w:rsidRPr="00B81E1B">
              <w:rPr>
                <w:rFonts w:ascii="Arial" w:hAnsi="Arial" w:cs="Arial"/>
                <w:i/>
              </w:rPr>
              <w:t>8.2</w:t>
            </w:r>
          </w:p>
        </w:tc>
        <w:tc>
          <w:tcPr>
            <w:tcW w:w="452" w:type="pct"/>
          </w:tcPr>
          <w:p w14:paraId="72BB0589" w14:textId="77777777" w:rsidR="00525216" w:rsidRPr="00B81E1B" w:rsidRDefault="00525216" w:rsidP="005E0DED">
            <w:pPr>
              <w:spacing w:after="120"/>
              <w:rPr>
                <w:rFonts w:ascii="Arial" w:hAnsi="Arial" w:cs="Arial"/>
                <w:i/>
              </w:rPr>
            </w:pPr>
            <w:r w:rsidRPr="00B81E1B">
              <w:rPr>
                <w:rFonts w:ascii="Arial" w:hAnsi="Arial" w:cs="Arial"/>
                <w:i/>
              </w:rPr>
              <w:t>8.3</w:t>
            </w:r>
          </w:p>
        </w:tc>
        <w:tc>
          <w:tcPr>
            <w:tcW w:w="452" w:type="pct"/>
          </w:tcPr>
          <w:p w14:paraId="0BD046FE" w14:textId="77777777" w:rsidR="00525216" w:rsidRPr="00B81E1B" w:rsidRDefault="00525216" w:rsidP="005E0DED">
            <w:pPr>
              <w:spacing w:after="120"/>
              <w:rPr>
                <w:rFonts w:ascii="Arial" w:hAnsi="Arial" w:cs="Arial"/>
                <w:i/>
              </w:rPr>
            </w:pPr>
            <w:r w:rsidRPr="00B81E1B">
              <w:rPr>
                <w:rFonts w:ascii="Arial" w:hAnsi="Arial" w:cs="Arial"/>
                <w:i/>
              </w:rPr>
              <w:t>8.4</w:t>
            </w:r>
          </w:p>
        </w:tc>
        <w:tc>
          <w:tcPr>
            <w:tcW w:w="452" w:type="pct"/>
          </w:tcPr>
          <w:p w14:paraId="5040393E" w14:textId="77777777" w:rsidR="00525216" w:rsidRPr="00B81E1B" w:rsidRDefault="00525216" w:rsidP="005E0DED">
            <w:pPr>
              <w:spacing w:after="120"/>
              <w:rPr>
                <w:rFonts w:ascii="Arial" w:hAnsi="Arial" w:cs="Arial"/>
                <w:i/>
              </w:rPr>
            </w:pPr>
            <w:r w:rsidRPr="00B81E1B">
              <w:rPr>
                <w:rFonts w:ascii="Arial" w:hAnsi="Arial" w:cs="Arial"/>
                <w:i/>
              </w:rPr>
              <w:t>9.1</w:t>
            </w:r>
          </w:p>
        </w:tc>
        <w:tc>
          <w:tcPr>
            <w:tcW w:w="452" w:type="pct"/>
          </w:tcPr>
          <w:p w14:paraId="4AE0D77D" w14:textId="77777777" w:rsidR="00525216" w:rsidRPr="00B81E1B" w:rsidRDefault="00525216" w:rsidP="005E0DED">
            <w:pPr>
              <w:spacing w:after="120"/>
              <w:rPr>
                <w:rFonts w:ascii="Arial" w:hAnsi="Arial" w:cs="Arial"/>
                <w:i/>
              </w:rPr>
            </w:pPr>
            <w:r w:rsidRPr="00B81E1B">
              <w:rPr>
                <w:rFonts w:ascii="Arial" w:hAnsi="Arial" w:cs="Arial"/>
                <w:i/>
              </w:rPr>
              <w:t>9.2</w:t>
            </w:r>
          </w:p>
        </w:tc>
        <w:tc>
          <w:tcPr>
            <w:tcW w:w="452" w:type="pct"/>
          </w:tcPr>
          <w:p w14:paraId="2EB7B9B1" w14:textId="77777777" w:rsidR="00525216" w:rsidRPr="00B81E1B" w:rsidRDefault="00525216" w:rsidP="005E0DED">
            <w:pPr>
              <w:spacing w:after="120"/>
              <w:rPr>
                <w:rFonts w:ascii="Arial" w:hAnsi="Arial" w:cs="Arial"/>
                <w:i/>
              </w:rPr>
            </w:pPr>
            <w:r w:rsidRPr="00B81E1B">
              <w:rPr>
                <w:rFonts w:ascii="Arial" w:hAnsi="Arial" w:cs="Arial"/>
                <w:i/>
              </w:rPr>
              <w:t>9.3</w:t>
            </w:r>
          </w:p>
        </w:tc>
        <w:tc>
          <w:tcPr>
            <w:tcW w:w="452" w:type="pct"/>
          </w:tcPr>
          <w:p w14:paraId="595B88A0" w14:textId="77777777" w:rsidR="00525216" w:rsidRPr="00B81E1B" w:rsidRDefault="00525216" w:rsidP="005E0DED">
            <w:pPr>
              <w:spacing w:after="120"/>
              <w:rPr>
                <w:rFonts w:ascii="Arial" w:hAnsi="Arial" w:cs="Arial"/>
                <w:i/>
              </w:rPr>
            </w:pPr>
            <w:r w:rsidRPr="00B81E1B">
              <w:rPr>
                <w:rFonts w:ascii="Arial" w:hAnsi="Arial" w:cs="Arial"/>
                <w:i/>
              </w:rPr>
              <w:t>9.4</w:t>
            </w:r>
          </w:p>
        </w:tc>
      </w:tr>
      <w:tr w:rsidR="00525216" w:rsidRPr="00B81E1B" w14:paraId="3C4A14A8" w14:textId="77777777" w:rsidTr="00B81E1B">
        <w:tc>
          <w:tcPr>
            <w:tcW w:w="1383" w:type="pct"/>
            <w:shd w:val="clear" w:color="auto" w:fill="D9D9D9" w:themeFill="background1" w:themeFillShade="D9"/>
          </w:tcPr>
          <w:p w14:paraId="25C52667" w14:textId="77777777" w:rsidR="00525216" w:rsidRPr="00B81E1B" w:rsidRDefault="00525216" w:rsidP="005E0DED">
            <w:pPr>
              <w:spacing w:after="120"/>
              <w:rPr>
                <w:rFonts w:ascii="Arial" w:hAnsi="Arial" w:cs="Arial"/>
                <w:b/>
              </w:rPr>
            </w:pPr>
            <w:r w:rsidRPr="00B81E1B">
              <w:rPr>
                <w:rFonts w:ascii="Arial" w:hAnsi="Arial" w:cs="Arial"/>
                <w:b/>
              </w:rPr>
              <w:t>Learning/ teaching method</w:t>
            </w:r>
          </w:p>
        </w:tc>
        <w:tc>
          <w:tcPr>
            <w:tcW w:w="453" w:type="pct"/>
          </w:tcPr>
          <w:p w14:paraId="30AE0E78" w14:textId="77777777" w:rsidR="00525216" w:rsidRPr="00B81E1B" w:rsidRDefault="00525216" w:rsidP="005E0DED">
            <w:pPr>
              <w:spacing w:after="120"/>
              <w:rPr>
                <w:rFonts w:ascii="Arial" w:hAnsi="Arial" w:cs="Arial"/>
                <w:b/>
              </w:rPr>
            </w:pPr>
          </w:p>
        </w:tc>
        <w:tc>
          <w:tcPr>
            <w:tcW w:w="453" w:type="pct"/>
          </w:tcPr>
          <w:p w14:paraId="206DD1F6" w14:textId="77777777" w:rsidR="00525216" w:rsidRPr="00B81E1B" w:rsidRDefault="00525216" w:rsidP="005E0DED">
            <w:pPr>
              <w:spacing w:after="120"/>
              <w:rPr>
                <w:rFonts w:ascii="Arial" w:hAnsi="Arial" w:cs="Arial"/>
                <w:b/>
              </w:rPr>
            </w:pPr>
          </w:p>
        </w:tc>
        <w:tc>
          <w:tcPr>
            <w:tcW w:w="452" w:type="pct"/>
          </w:tcPr>
          <w:p w14:paraId="301C7EF8" w14:textId="77777777" w:rsidR="00525216" w:rsidRPr="00B81E1B" w:rsidRDefault="00525216" w:rsidP="005E0DED">
            <w:pPr>
              <w:spacing w:after="120"/>
              <w:rPr>
                <w:rFonts w:ascii="Arial" w:hAnsi="Arial" w:cs="Arial"/>
                <w:b/>
              </w:rPr>
            </w:pPr>
          </w:p>
        </w:tc>
        <w:tc>
          <w:tcPr>
            <w:tcW w:w="452" w:type="pct"/>
          </w:tcPr>
          <w:p w14:paraId="503FB733" w14:textId="77777777" w:rsidR="00525216" w:rsidRPr="00B81E1B" w:rsidRDefault="00525216" w:rsidP="005E0DED">
            <w:pPr>
              <w:spacing w:after="120"/>
              <w:rPr>
                <w:rFonts w:ascii="Arial" w:hAnsi="Arial" w:cs="Arial"/>
                <w:b/>
              </w:rPr>
            </w:pPr>
          </w:p>
        </w:tc>
        <w:tc>
          <w:tcPr>
            <w:tcW w:w="452" w:type="pct"/>
          </w:tcPr>
          <w:p w14:paraId="376407D4" w14:textId="77777777" w:rsidR="00525216" w:rsidRPr="00B81E1B" w:rsidRDefault="00525216" w:rsidP="005E0DED">
            <w:pPr>
              <w:spacing w:after="120"/>
              <w:rPr>
                <w:rFonts w:ascii="Arial" w:hAnsi="Arial" w:cs="Arial"/>
                <w:b/>
              </w:rPr>
            </w:pPr>
          </w:p>
        </w:tc>
        <w:tc>
          <w:tcPr>
            <w:tcW w:w="452" w:type="pct"/>
          </w:tcPr>
          <w:p w14:paraId="138D23DD" w14:textId="77777777" w:rsidR="00525216" w:rsidRPr="00B81E1B" w:rsidRDefault="00525216" w:rsidP="005E0DED">
            <w:pPr>
              <w:spacing w:after="120"/>
              <w:rPr>
                <w:rFonts w:ascii="Arial" w:hAnsi="Arial" w:cs="Arial"/>
                <w:b/>
              </w:rPr>
            </w:pPr>
          </w:p>
        </w:tc>
        <w:tc>
          <w:tcPr>
            <w:tcW w:w="452" w:type="pct"/>
          </w:tcPr>
          <w:p w14:paraId="28A59294" w14:textId="77777777" w:rsidR="00525216" w:rsidRPr="00B81E1B" w:rsidRDefault="00525216" w:rsidP="005E0DED">
            <w:pPr>
              <w:spacing w:after="120"/>
              <w:rPr>
                <w:rFonts w:ascii="Arial" w:hAnsi="Arial" w:cs="Arial"/>
                <w:b/>
              </w:rPr>
            </w:pPr>
          </w:p>
        </w:tc>
        <w:tc>
          <w:tcPr>
            <w:tcW w:w="452" w:type="pct"/>
          </w:tcPr>
          <w:p w14:paraId="72F50191" w14:textId="77777777" w:rsidR="00525216" w:rsidRPr="00B81E1B" w:rsidRDefault="00525216" w:rsidP="005E0DED">
            <w:pPr>
              <w:spacing w:after="120"/>
              <w:rPr>
                <w:rFonts w:ascii="Arial" w:hAnsi="Arial" w:cs="Arial"/>
                <w:b/>
              </w:rPr>
            </w:pPr>
          </w:p>
        </w:tc>
      </w:tr>
      <w:tr w:rsidR="00525216" w:rsidRPr="00B81E1B" w14:paraId="7A48453C" w14:textId="77777777" w:rsidTr="00B81E1B">
        <w:tc>
          <w:tcPr>
            <w:tcW w:w="1383" w:type="pct"/>
          </w:tcPr>
          <w:p w14:paraId="010749FA" w14:textId="77777777" w:rsidR="00525216" w:rsidRPr="00B81E1B" w:rsidRDefault="00525216" w:rsidP="005E0DED">
            <w:pPr>
              <w:spacing w:after="120"/>
              <w:rPr>
                <w:rFonts w:ascii="Arial" w:hAnsi="Arial" w:cs="Arial"/>
              </w:rPr>
            </w:pPr>
            <w:r w:rsidRPr="00B81E1B">
              <w:rPr>
                <w:rFonts w:ascii="Arial" w:hAnsi="Arial" w:cs="Arial"/>
              </w:rPr>
              <w:t>Lectures</w:t>
            </w:r>
          </w:p>
        </w:tc>
        <w:tc>
          <w:tcPr>
            <w:tcW w:w="453" w:type="pct"/>
          </w:tcPr>
          <w:p w14:paraId="12E90248" w14:textId="77777777" w:rsidR="00525216" w:rsidRPr="00B81E1B" w:rsidRDefault="00525216" w:rsidP="005E0DED">
            <w:pPr>
              <w:spacing w:after="120"/>
              <w:rPr>
                <w:rFonts w:ascii="Arial" w:hAnsi="Arial" w:cs="Arial"/>
                <w:b/>
                <w:color w:val="000000" w:themeColor="text1"/>
              </w:rPr>
            </w:pPr>
            <w:r w:rsidRPr="00B81E1B">
              <w:rPr>
                <w:rFonts w:ascii="Arial" w:hAnsi="Arial" w:cs="Arial"/>
                <w:b/>
                <w:color w:val="000000" w:themeColor="text1"/>
              </w:rPr>
              <w:t>X</w:t>
            </w:r>
          </w:p>
        </w:tc>
        <w:tc>
          <w:tcPr>
            <w:tcW w:w="453" w:type="pct"/>
          </w:tcPr>
          <w:p w14:paraId="10093307" w14:textId="77777777" w:rsidR="00525216" w:rsidRPr="00B81E1B" w:rsidRDefault="00525216" w:rsidP="005E0DED">
            <w:pPr>
              <w:spacing w:after="120"/>
              <w:rPr>
                <w:rFonts w:ascii="Arial" w:hAnsi="Arial" w:cs="Arial"/>
                <w:b/>
                <w:color w:val="000000" w:themeColor="text1"/>
              </w:rPr>
            </w:pPr>
            <w:r w:rsidRPr="00B81E1B">
              <w:rPr>
                <w:rFonts w:ascii="Arial" w:hAnsi="Arial" w:cs="Arial"/>
                <w:b/>
                <w:color w:val="000000" w:themeColor="text1"/>
              </w:rPr>
              <w:t>X</w:t>
            </w:r>
          </w:p>
        </w:tc>
        <w:tc>
          <w:tcPr>
            <w:tcW w:w="452" w:type="pct"/>
          </w:tcPr>
          <w:p w14:paraId="4BF74B7A" w14:textId="77777777" w:rsidR="00525216" w:rsidRPr="00B81E1B" w:rsidRDefault="00525216" w:rsidP="005E0DED">
            <w:pPr>
              <w:spacing w:after="120"/>
              <w:rPr>
                <w:rFonts w:ascii="Arial" w:hAnsi="Arial" w:cs="Arial"/>
                <w:b/>
                <w:color w:val="000000" w:themeColor="text1"/>
              </w:rPr>
            </w:pPr>
            <w:r w:rsidRPr="00B81E1B">
              <w:rPr>
                <w:rFonts w:ascii="Arial" w:hAnsi="Arial" w:cs="Arial"/>
                <w:b/>
                <w:color w:val="000000" w:themeColor="text1"/>
              </w:rPr>
              <w:t>X</w:t>
            </w:r>
          </w:p>
        </w:tc>
        <w:tc>
          <w:tcPr>
            <w:tcW w:w="452" w:type="pct"/>
          </w:tcPr>
          <w:p w14:paraId="691764CB" w14:textId="77777777" w:rsidR="00525216" w:rsidRPr="00B81E1B" w:rsidRDefault="00525216" w:rsidP="005E0DED">
            <w:pPr>
              <w:spacing w:after="120"/>
              <w:rPr>
                <w:rFonts w:ascii="Arial" w:hAnsi="Arial" w:cs="Arial"/>
                <w:b/>
                <w:color w:val="000000" w:themeColor="text1"/>
              </w:rPr>
            </w:pPr>
            <w:r w:rsidRPr="00B81E1B">
              <w:rPr>
                <w:rFonts w:ascii="Arial" w:hAnsi="Arial" w:cs="Arial"/>
                <w:b/>
                <w:color w:val="000000" w:themeColor="text1"/>
              </w:rPr>
              <w:t xml:space="preserve">X </w:t>
            </w:r>
          </w:p>
        </w:tc>
        <w:tc>
          <w:tcPr>
            <w:tcW w:w="452" w:type="pct"/>
          </w:tcPr>
          <w:p w14:paraId="41829D42" w14:textId="77777777" w:rsidR="00525216" w:rsidRPr="00B81E1B" w:rsidRDefault="00525216" w:rsidP="005E0DED">
            <w:pPr>
              <w:spacing w:after="120"/>
              <w:rPr>
                <w:rFonts w:ascii="Arial" w:hAnsi="Arial" w:cs="Arial"/>
                <w:b/>
                <w:color w:val="000000" w:themeColor="text1"/>
              </w:rPr>
            </w:pPr>
            <w:r w:rsidRPr="00B81E1B">
              <w:rPr>
                <w:rFonts w:ascii="Arial" w:hAnsi="Arial" w:cs="Arial"/>
                <w:b/>
                <w:color w:val="000000" w:themeColor="text1"/>
              </w:rPr>
              <w:t>X</w:t>
            </w:r>
          </w:p>
        </w:tc>
        <w:tc>
          <w:tcPr>
            <w:tcW w:w="452" w:type="pct"/>
          </w:tcPr>
          <w:p w14:paraId="4AD7BAD4" w14:textId="77777777" w:rsidR="00525216" w:rsidRPr="00B81E1B" w:rsidRDefault="00525216" w:rsidP="005E0DED">
            <w:pPr>
              <w:spacing w:after="120"/>
              <w:rPr>
                <w:rFonts w:ascii="Arial" w:hAnsi="Arial" w:cs="Arial"/>
                <w:b/>
                <w:color w:val="000000" w:themeColor="text1"/>
              </w:rPr>
            </w:pPr>
            <w:r w:rsidRPr="00B81E1B">
              <w:rPr>
                <w:rFonts w:ascii="Arial" w:hAnsi="Arial" w:cs="Arial"/>
                <w:b/>
                <w:color w:val="000000" w:themeColor="text1"/>
              </w:rPr>
              <w:t>X</w:t>
            </w:r>
          </w:p>
        </w:tc>
        <w:tc>
          <w:tcPr>
            <w:tcW w:w="452" w:type="pct"/>
          </w:tcPr>
          <w:p w14:paraId="5127264A" w14:textId="77777777" w:rsidR="00525216" w:rsidRPr="00B81E1B" w:rsidRDefault="00525216" w:rsidP="005E0DED">
            <w:pPr>
              <w:spacing w:after="120"/>
              <w:rPr>
                <w:rFonts w:ascii="Arial" w:hAnsi="Arial" w:cs="Arial"/>
                <w:b/>
                <w:color w:val="000000" w:themeColor="text1"/>
              </w:rPr>
            </w:pPr>
            <w:r w:rsidRPr="00B81E1B">
              <w:rPr>
                <w:rFonts w:ascii="Arial" w:hAnsi="Arial" w:cs="Arial"/>
                <w:b/>
                <w:color w:val="000000" w:themeColor="text1"/>
              </w:rPr>
              <w:t>X</w:t>
            </w:r>
          </w:p>
        </w:tc>
        <w:tc>
          <w:tcPr>
            <w:tcW w:w="452" w:type="pct"/>
          </w:tcPr>
          <w:p w14:paraId="65F4C577" w14:textId="77777777" w:rsidR="00525216" w:rsidRPr="00B81E1B" w:rsidRDefault="00525216" w:rsidP="005E0DED">
            <w:pPr>
              <w:spacing w:after="120"/>
              <w:rPr>
                <w:rFonts w:ascii="Arial" w:hAnsi="Arial" w:cs="Arial"/>
                <w:b/>
                <w:color w:val="000000" w:themeColor="text1"/>
              </w:rPr>
            </w:pPr>
            <w:r w:rsidRPr="00B81E1B">
              <w:rPr>
                <w:rFonts w:ascii="Arial" w:hAnsi="Arial" w:cs="Arial"/>
                <w:b/>
                <w:color w:val="000000" w:themeColor="text1"/>
              </w:rPr>
              <w:t>X</w:t>
            </w:r>
          </w:p>
        </w:tc>
      </w:tr>
      <w:tr w:rsidR="00525216" w:rsidRPr="00B81E1B" w14:paraId="68C44351" w14:textId="77777777" w:rsidTr="00B81E1B">
        <w:tc>
          <w:tcPr>
            <w:tcW w:w="1383" w:type="pct"/>
          </w:tcPr>
          <w:p w14:paraId="41951B4A" w14:textId="77777777" w:rsidR="00525216" w:rsidRPr="00B81E1B" w:rsidRDefault="00525216" w:rsidP="005E0DED">
            <w:pPr>
              <w:spacing w:after="120"/>
              <w:rPr>
                <w:rFonts w:ascii="Arial" w:hAnsi="Arial" w:cs="Arial"/>
              </w:rPr>
            </w:pPr>
            <w:r w:rsidRPr="00B81E1B">
              <w:rPr>
                <w:rFonts w:ascii="Arial" w:hAnsi="Arial" w:cs="Arial"/>
              </w:rPr>
              <w:t>Seminars</w:t>
            </w:r>
          </w:p>
        </w:tc>
        <w:tc>
          <w:tcPr>
            <w:tcW w:w="453" w:type="pct"/>
          </w:tcPr>
          <w:p w14:paraId="360F09D0" w14:textId="77777777" w:rsidR="00525216" w:rsidRPr="00B81E1B" w:rsidRDefault="00525216" w:rsidP="005E0DED">
            <w:pPr>
              <w:spacing w:after="120"/>
              <w:rPr>
                <w:rFonts w:ascii="Arial" w:hAnsi="Arial" w:cs="Arial"/>
                <w:b/>
                <w:color w:val="FF0000"/>
              </w:rPr>
            </w:pPr>
            <w:r w:rsidRPr="00B81E1B">
              <w:rPr>
                <w:rFonts w:ascii="Arial" w:hAnsi="Arial" w:cs="Arial"/>
                <w:b/>
                <w:color w:val="000000" w:themeColor="text1"/>
              </w:rPr>
              <w:t>X</w:t>
            </w:r>
          </w:p>
        </w:tc>
        <w:tc>
          <w:tcPr>
            <w:tcW w:w="453" w:type="pct"/>
          </w:tcPr>
          <w:p w14:paraId="79F851BE" w14:textId="77777777" w:rsidR="00525216" w:rsidRPr="00B81E1B" w:rsidRDefault="00525216" w:rsidP="005E0DED">
            <w:pPr>
              <w:spacing w:after="120"/>
              <w:rPr>
                <w:rFonts w:ascii="Arial" w:hAnsi="Arial" w:cs="Arial"/>
                <w:b/>
                <w:color w:val="FF0000"/>
              </w:rPr>
            </w:pPr>
            <w:r w:rsidRPr="00B81E1B">
              <w:rPr>
                <w:rFonts w:ascii="Arial" w:hAnsi="Arial" w:cs="Arial"/>
                <w:b/>
                <w:color w:val="000000" w:themeColor="text1"/>
              </w:rPr>
              <w:t>X</w:t>
            </w:r>
          </w:p>
        </w:tc>
        <w:tc>
          <w:tcPr>
            <w:tcW w:w="452" w:type="pct"/>
          </w:tcPr>
          <w:p w14:paraId="4664D66A" w14:textId="77777777" w:rsidR="00525216" w:rsidRPr="00B81E1B" w:rsidRDefault="00525216" w:rsidP="005E0DED">
            <w:pPr>
              <w:spacing w:after="120"/>
              <w:rPr>
                <w:rFonts w:ascii="Arial" w:hAnsi="Arial" w:cs="Arial"/>
                <w:b/>
                <w:color w:val="FF0000"/>
              </w:rPr>
            </w:pPr>
            <w:r w:rsidRPr="00B81E1B">
              <w:rPr>
                <w:rFonts w:ascii="Arial" w:hAnsi="Arial" w:cs="Arial"/>
                <w:b/>
                <w:color w:val="000000" w:themeColor="text1"/>
              </w:rPr>
              <w:t>X</w:t>
            </w:r>
          </w:p>
        </w:tc>
        <w:tc>
          <w:tcPr>
            <w:tcW w:w="452" w:type="pct"/>
          </w:tcPr>
          <w:p w14:paraId="25828C08" w14:textId="77777777" w:rsidR="00525216" w:rsidRPr="00B81E1B" w:rsidRDefault="00525216" w:rsidP="005E0DED">
            <w:pPr>
              <w:spacing w:after="120"/>
              <w:rPr>
                <w:rFonts w:ascii="Arial" w:hAnsi="Arial" w:cs="Arial"/>
                <w:b/>
                <w:color w:val="FF0000"/>
              </w:rPr>
            </w:pPr>
            <w:r w:rsidRPr="00B81E1B">
              <w:rPr>
                <w:rFonts w:ascii="Arial" w:hAnsi="Arial" w:cs="Arial"/>
                <w:b/>
                <w:color w:val="000000" w:themeColor="text1"/>
              </w:rPr>
              <w:t>X</w:t>
            </w:r>
          </w:p>
        </w:tc>
        <w:tc>
          <w:tcPr>
            <w:tcW w:w="452" w:type="pct"/>
          </w:tcPr>
          <w:p w14:paraId="1C42DB7C" w14:textId="77777777" w:rsidR="00525216" w:rsidRPr="00B81E1B" w:rsidRDefault="00525216" w:rsidP="005E0DED">
            <w:pPr>
              <w:spacing w:after="120"/>
              <w:rPr>
                <w:rFonts w:ascii="Arial" w:hAnsi="Arial" w:cs="Arial"/>
                <w:b/>
                <w:color w:val="FF0000"/>
              </w:rPr>
            </w:pPr>
            <w:r w:rsidRPr="00B81E1B">
              <w:rPr>
                <w:rFonts w:ascii="Arial" w:hAnsi="Arial" w:cs="Arial"/>
                <w:b/>
                <w:color w:val="000000" w:themeColor="text1"/>
              </w:rPr>
              <w:t>X</w:t>
            </w:r>
          </w:p>
        </w:tc>
        <w:tc>
          <w:tcPr>
            <w:tcW w:w="452" w:type="pct"/>
          </w:tcPr>
          <w:p w14:paraId="4BEAEFF3" w14:textId="77777777" w:rsidR="00525216" w:rsidRPr="00B81E1B" w:rsidRDefault="00525216" w:rsidP="005E0DED">
            <w:pPr>
              <w:spacing w:after="120"/>
              <w:rPr>
                <w:rFonts w:ascii="Arial" w:hAnsi="Arial" w:cs="Arial"/>
                <w:b/>
                <w:color w:val="FF0000"/>
              </w:rPr>
            </w:pPr>
            <w:r w:rsidRPr="00B81E1B">
              <w:rPr>
                <w:rFonts w:ascii="Arial" w:hAnsi="Arial" w:cs="Arial"/>
                <w:b/>
                <w:color w:val="000000" w:themeColor="text1"/>
              </w:rPr>
              <w:t>X</w:t>
            </w:r>
          </w:p>
        </w:tc>
        <w:tc>
          <w:tcPr>
            <w:tcW w:w="452" w:type="pct"/>
          </w:tcPr>
          <w:p w14:paraId="0F041732" w14:textId="77777777" w:rsidR="00525216" w:rsidRPr="00B81E1B" w:rsidRDefault="00525216" w:rsidP="005E0DED">
            <w:pPr>
              <w:spacing w:after="120"/>
              <w:rPr>
                <w:rFonts w:ascii="Arial" w:hAnsi="Arial" w:cs="Arial"/>
                <w:b/>
                <w:color w:val="FF0000"/>
              </w:rPr>
            </w:pPr>
            <w:r w:rsidRPr="00B81E1B">
              <w:rPr>
                <w:rFonts w:ascii="Arial" w:hAnsi="Arial" w:cs="Arial"/>
                <w:b/>
                <w:color w:val="000000" w:themeColor="text1"/>
              </w:rPr>
              <w:t>X</w:t>
            </w:r>
          </w:p>
        </w:tc>
        <w:tc>
          <w:tcPr>
            <w:tcW w:w="452" w:type="pct"/>
          </w:tcPr>
          <w:p w14:paraId="2AFA8B71" w14:textId="77777777" w:rsidR="00525216" w:rsidRPr="00B81E1B" w:rsidRDefault="00525216" w:rsidP="005E0DED">
            <w:pPr>
              <w:spacing w:after="120"/>
              <w:rPr>
                <w:rFonts w:ascii="Arial" w:hAnsi="Arial" w:cs="Arial"/>
                <w:b/>
                <w:color w:val="FF0000"/>
              </w:rPr>
            </w:pPr>
            <w:r w:rsidRPr="00B81E1B">
              <w:rPr>
                <w:rFonts w:ascii="Arial" w:hAnsi="Arial" w:cs="Arial"/>
                <w:b/>
                <w:color w:val="000000" w:themeColor="text1"/>
              </w:rPr>
              <w:t>X</w:t>
            </w:r>
          </w:p>
        </w:tc>
      </w:tr>
      <w:tr w:rsidR="00525216" w:rsidRPr="00B81E1B" w14:paraId="5EB0CA02" w14:textId="77777777" w:rsidTr="00B81E1B">
        <w:tc>
          <w:tcPr>
            <w:tcW w:w="1383" w:type="pct"/>
          </w:tcPr>
          <w:p w14:paraId="4C576F63" w14:textId="77777777" w:rsidR="00525216" w:rsidRPr="00B81E1B" w:rsidRDefault="00525216" w:rsidP="005E0DED">
            <w:pPr>
              <w:spacing w:after="120"/>
              <w:rPr>
                <w:rFonts w:ascii="Arial" w:hAnsi="Arial" w:cs="Arial"/>
              </w:rPr>
            </w:pPr>
            <w:r w:rsidRPr="00B81E1B">
              <w:rPr>
                <w:rFonts w:ascii="Arial" w:hAnsi="Arial" w:cs="Arial"/>
              </w:rPr>
              <w:t>Independent study</w:t>
            </w:r>
          </w:p>
        </w:tc>
        <w:tc>
          <w:tcPr>
            <w:tcW w:w="453" w:type="pct"/>
          </w:tcPr>
          <w:p w14:paraId="61E9A6AF" w14:textId="77777777" w:rsidR="00525216" w:rsidRPr="00B81E1B" w:rsidRDefault="00525216" w:rsidP="005E0DED">
            <w:pPr>
              <w:spacing w:after="120"/>
              <w:rPr>
                <w:rFonts w:ascii="Arial" w:hAnsi="Arial" w:cs="Arial"/>
                <w:b/>
                <w:color w:val="000000" w:themeColor="text1"/>
              </w:rPr>
            </w:pPr>
            <w:r w:rsidRPr="00B81E1B">
              <w:rPr>
                <w:rFonts w:ascii="Arial" w:hAnsi="Arial" w:cs="Arial"/>
                <w:b/>
                <w:color w:val="000000" w:themeColor="text1"/>
              </w:rPr>
              <w:t>X</w:t>
            </w:r>
          </w:p>
        </w:tc>
        <w:tc>
          <w:tcPr>
            <w:tcW w:w="453" w:type="pct"/>
          </w:tcPr>
          <w:p w14:paraId="5BAC6A54" w14:textId="77777777" w:rsidR="00525216" w:rsidRPr="00B81E1B" w:rsidRDefault="00525216" w:rsidP="005E0DED">
            <w:pPr>
              <w:spacing w:after="120"/>
              <w:rPr>
                <w:rFonts w:ascii="Arial" w:hAnsi="Arial" w:cs="Arial"/>
                <w:b/>
                <w:color w:val="000000" w:themeColor="text1"/>
              </w:rPr>
            </w:pPr>
            <w:r w:rsidRPr="00B81E1B">
              <w:rPr>
                <w:rFonts w:ascii="Arial" w:hAnsi="Arial" w:cs="Arial"/>
                <w:b/>
                <w:color w:val="000000" w:themeColor="text1"/>
              </w:rPr>
              <w:t>X</w:t>
            </w:r>
          </w:p>
        </w:tc>
        <w:tc>
          <w:tcPr>
            <w:tcW w:w="452" w:type="pct"/>
          </w:tcPr>
          <w:p w14:paraId="007801CB" w14:textId="77777777" w:rsidR="00525216" w:rsidRPr="00B81E1B" w:rsidRDefault="00525216" w:rsidP="005E0DED">
            <w:pPr>
              <w:spacing w:after="120"/>
              <w:rPr>
                <w:rFonts w:ascii="Arial" w:hAnsi="Arial" w:cs="Arial"/>
                <w:b/>
                <w:color w:val="000000" w:themeColor="text1"/>
              </w:rPr>
            </w:pPr>
            <w:r w:rsidRPr="00B81E1B">
              <w:rPr>
                <w:rFonts w:ascii="Arial" w:hAnsi="Arial" w:cs="Arial"/>
                <w:b/>
                <w:color w:val="000000" w:themeColor="text1"/>
              </w:rPr>
              <w:t>X</w:t>
            </w:r>
          </w:p>
        </w:tc>
        <w:tc>
          <w:tcPr>
            <w:tcW w:w="452" w:type="pct"/>
          </w:tcPr>
          <w:p w14:paraId="16E98418" w14:textId="77777777" w:rsidR="00525216" w:rsidRPr="00B81E1B" w:rsidRDefault="00525216" w:rsidP="005E0DED">
            <w:pPr>
              <w:spacing w:after="120"/>
              <w:rPr>
                <w:rFonts w:ascii="Arial" w:hAnsi="Arial" w:cs="Arial"/>
                <w:b/>
                <w:color w:val="000000" w:themeColor="text1"/>
              </w:rPr>
            </w:pPr>
            <w:r w:rsidRPr="00B81E1B">
              <w:rPr>
                <w:rFonts w:ascii="Arial" w:hAnsi="Arial" w:cs="Arial"/>
                <w:b/>
                <w:color w:val="000000" w:themeColor="text1"/>
              </w:rPr>
              <w:t xml:space="preserve">X </w:t>
            </w:r>
          </w:p>
        </w:tc>
        <w:tc>
          <w:tcPr>
            <w:tcW w:w="452" w:type="pct"/>
          </w:tcPr>
          <w:p w14:paraId="177D3ACE" w14:textId="77777777" w:rsidR="00525216" w:rsidRPr="00B81E1B" w:rsidRDefault="00525216" w:rsidP="005E0DED">
            <w:pPr>
              <w:spacing w:after="120"/>
              <w:rPr>
                <w:rFonts w:ascii="Arial" w:hAnsi="Arial" w:cs="Arial"/>
                <w:b/>
                <w:color w:val="000000" w:themeColor="text1"/>
              </w:rPr>
            </w:pPr>
            <w:r w:rsidRPr="00B81E1B">
              <w:rPr>
                <w:rFonts w:ascii="Arial" w:hAnsi="Arial" w:cs="Arial"/>
                <w:b/>
                <w:color w:val="000000" w:themeColor="text1"/>
              </w:rPr>
              <w:t>X</w:t>
            </w:r>
          </w:p>
        </w:tc>
        <w:tc>
          <w:tcPr>
            <w:tcW w:w="452" w:type="pct"/>
          </w:tcPr>
          <w:p w14:paraId="3A45A4A6" w14:textId="77777777" w:rsidR="00525216" w:rsidRPr="00B81E1B" w:rsidRDefault="00525216" w:rsidP="005E0DED">
            <w:pPr>
              <w:spacing w:after="120"/>
              <w:rPr>
                <w:rFonts w:ascii="Arial" w:hAnsi="Arial" w:cs="Arial"/>
                <w:b/>
                <w:color w:val="FF0000"/>
              </w:rPr>
            </w:pPr>
            <w:r w:rsidRPr="00B81E1B">
              <w:rPr>
                <w:rFonts w:ascii="Arial" w:hAnsi="Arial" w:cs="Arial"/>
                <w:b/>
                <w:color w:val="000000" w:themeColor="text1"/>
              </w:rPr>
              <w:t>X</w:t>
            </w:r>
          </w:p>
        </w:tc>
        <w:tc>
          <w:tcPr>
            <w:tcW w:w="452" w:type="pct"/>
          </w:tcPr>
          <w:p w14:paraId="1CCA5228" w14:textId="77777777" w:rsidR="00525216" w:rsidRPr="00B81E1B" w:rsidRDefault="00525216" w:rsidP="005E0DED">
            <w:pPr>
              <w:spacing w:after="120"/>
              <w:rPr>
                <w:rFonts w:ascii="Arial" w:hAnsi="Arial" w:cs="Arial"/>
                <w:b/>
                <w:color w:val="FF0000"/>
              </w:rPr>
            </w:pPr>
            <w:r w:rsidRPr="00B81E1B">
              <w:rPr>
                <w:rFonts w:ascii="Arial" w:hAnsi="Arial" w:cs="Arial"/>
                <w:b/>
                <w:color w:val="000000" w:themeColor="text1"/>
              </w:rPr>
              <w:t>X</w:t>
            </w:r>
          </w:p>
        </w:tc>
        <w:tc>
          <w:tcPr>
            <w:tcW w:w="452" w:type="pct"/>
          </w:tcPr>
          <w:p w14:paraId="18BE7C3C" w14:textId="77777777" w:rsidR="00525216" w:rsidRPr="00B81E1B" w:rsidRDefault="00525216" w:rsidP="005E0DED">
            <w:pPr>
              <w:spacing w:after="120"/>
              <w:rPr>
                <w:rFonts w:ascii="Arial" w:hAnsi="Arial" w:cs="Arial"/>
                <w:b/>
                <w:color w:val="FF0000"/>
              </w:rPr>
            </w:pPr>
          </w:p>
        </w:tc>
      </w:tr>
      <w:tr w:rsidR="00525216" w:rsidRPr="00B81E1B" w14:paraId="012BDA41" w14:textId="77777777" w:rsidTr="00B81E1B">
        <w:tc>
          <w:tcPr>
            <w:tcW w:w="1383" w:type="pct"/>
            <w:shd w:val="clear" w:color="auto" w:fill="D9D9D9" w:themeFill="background1" w:themeFillShade="D9"/>
          </w:tcPr>
          <w:p w14:paraId="3F42A21E" w14:textId="77777777" w:rsidR="00525216" w:rsidRPr="00B81E1B" w:rsidRDefault="00525216" w:rsidP="005E0DED">
            <w:pPr>
              <w:spacing w:after="120"/>
              <w:rPr>
                <w:rFonts w:ascii="Arial" w:hAnsi="Arial" w:cs="Arial"/>
                <w:b/>
              </w:rPr>
            </w:pPr>
            <w:r w:rsidRPr="00B81E1B">
              <w:rPr>
                <w:rFonts w:ascii="Arial" w:hAnsi="Arial" w:cs="Arial"/>
                <w:b/>
              </w:rPr>
              <w:t>Assessment method</w:t>
            </w:r>
          </w:p>
        </w:tc>
        <w:tc>
          <w:tcPr>
            <w:tcW w:w="453" w:type="pct"/>
          </w:tcPr>
          <w:p w14:paraId="3CDEE070" w14:textId="77777777" w:rsidR="00525216" w:rsidRPr="00B81E1B" w:rsidRDefault="00525216" w:rsidP="005E0DED">
            <w:pPr>
              <w:spacing w:after="120"/>
              <w:rPr>
                <w:rFonts w:ascii="Arial" w:hAnsi="Arial" w:cs="Arial"/>
                <w:b/>
              </w:rPr>
            </w:pPr>
          </w:p>
        </w:tc>
        <w:tc>
          <w:tcPr>
            <w:tcW w:w="453" w:type="pct"/>
          </w:tcPr>
          <w:p w14:paraId="4D5503BA" w14:textId="77777777" w:rsidR="00525216" w:rsidRPr="00B81E1B" w:rsidRDefault="00525216" w:rsidP="005E0DED">
            <w:pPr>
              <w:spacing w:after="120"/>
              <w:rPr>
                <w:rFonts w:ascii="Arial" w:hAnsi="Arial" w:cs="Arial"/>
                <w:b/>
              </w:rPr>
            </w:pPr>
          </w:p>
        </w:tc>
        <w:tc>
          <w:tcPr>
            <w:tcW w:w="452" w:type="pct"/>
          </w:tcPr>
          <w:p w14:paraId="517CC4A5" w14:textId="77777777" w:rsidR="00525216" w:rsidRPr="00B81E1B" w:rsidRDefault="00525216" w:rsidP="005E0DED">
            <w:pPr>
              <w:spacing w:after="120"/>
              <w:rPr>
                <w:rFonts w:ascii="Arial" w:hAnsi="Arial" w:cs="Arial"/>
                <w:b/>
              </w:rPr>
            </w:pPr>
          </w:p>
        </w:tc>
        <w:tc>
          <w:tcPr>
            <w:tcW w:w="452" w:type="pct"/>
          </w:tcPr>
          <w:p w14:paraId="3A90D21F" w14:textId="77777777" w:rsidR="00525216" w:rsidRPr="00B81E1B" w:rsidRDefault="00525216" w:rsidP="005E0DED">
            <w:pPr>
              <w:spacing w:after="120"/>
              <w:rPr>
                <w:rFonts w:ascii="Arial" w:hAnsi="Arial" w:cs="Arial"/>
                <w:b/>
              </w:rPr>
            </w:pPr>
          </w:p>
        </w:tc>
        <w:tc>
          <w:tcPr>
            <w:tcW w:w="452" w:type="pct"/>
          </w:tcPr>
          <w:p w14:paraId="60D9C37B" w14:textId="77777777" w:rsidR="00525216" w:rsidRPr="00B81E1B" w:rsidRDefault="00525216" w:rsidP="005E0DED">
            <w:pPr>
              <w:spacing w:after="120"/>
              <w:rPr>
                <w:rFonts w:ascii="Arial" w:hAnsi="Arial" w:cs="Arial"/>
                <w:b/>
              </w:rPr>
            </w:pPr>
          </w:p>
        </w:tc>
        <w:tc>
          <w:tcPr>
            <w:tcW w:w="452" w:type="pct"/>
          </w:tcPr>
          <w:p w14:paraId="1D2D25D2" w14:textId="77777777" w:rsidR="00525216" w:rsidRPr="00B81E1B" w:rsidRDefault="00525216" w:rsidP="005E0DED">
            <w:pPr>
              <w:spacing w:after="120"/>
              <w:rPr>
                <w:rFonts w:ascii="Arial" w:hAnsi="Arial" w:cs="Arial"/>
                <w:b/>
              </w:rPr>
            </w:pPr>
          </w:p>
        </w:tc>
        <w:tc>
          <w:tcPr>
            <w:tcW w:w="452" w:type="pct"/>
          </w:tcPr>
          <w:p w14:paraId="68109E7C" w14:textId="77777777" w:rsidR="00525216" w:rsidRPr="00B81E1B" w:rsidRDefault="00525216" w:rsidP="005E0DED">
            <w:pPr>
              <w:spacing w:after="120"/>
              <w:rPr>
                <w:rFonts w:ascii="Arial" w:hAnsi="Arial" w:cs="Arial"/>
                <w:b/>
              </w:rPr>
            </w:pPr>
          </w:p>
        </w:tc>
        <w:tc>
          <w:tcPr>
            <w:tcW w:w="452" w:type="pct"/>
          </w:tcPr>
          <w:p w14:paraId="609CF9E6" w14:textId="77777777" w:rsidR="00525216" w:rsidRPr="00B81E1B" w:rsidRDefault="00525216" w:rsidP="005E0DED">
            <w:pPr>
              <w:spacing w:after="120"/>
              <w:rPr>
                <w:rFonts w:ascii="Arial" w:hAnsi="Arial" w:cs="Arial"/>
                <w:b/>
              </w:rPr>
            </w:pPr>
          </w:p>
        </w:tc>
      </w:tr>
      <w:tr w:rsidR="00525216" w:rsidRPr="00B81E1B" w14:paraId="00F59C54" w14:textId="77777777" w:rsidTr="00B81E1B">
        <w:tc>
          <w:tcPr>
            <w:tcW w:w="1383" w:type="pct"/>
          </w:tcPr>
          <w:p w14:paraId="0A60A018" w14:textId="45EAAB77" w:rsidR="00525216" w:rsidRPr="00B81E1B" w:rsidRDefault="00525216" w:rsidP="005E0DED">
            <w:pPr>
              <w:spacing w:after="120"/>
              <w:rPr>
                <w:rFonts w:ascii="Arial" w:hAnsi="Arial" w:cs="Arial"/>
              </w:rPr>
            </w:pPr>
            <w:r w:rsidRPr="00B81E1B">
              <w:rPr>
                <w:rFonts w:ascii="Arial" w:hAnsi="Arial" w:cs="Arial"/>
              </w:rPr>
              <w:t xml:space="preserve">Individual written report </w:t>
            </w:r>
          </w:p>
        </w:tc>
        <w:tc>
          <w:tcPr>
            <w:tcW w:w="453" w:type="pct"/>
          </w:tcPr>
          <w:p w14:paraId="3A4514CF" w14:textId="77777777" w:rsidR="00525216" w:rsidRPr="00B81E1B" w:rsidRDefault="00525216" w:rsidP="005E0DED">
            <w:pPr>
              <w:spacing w:after="120"/>
              <w:rPr>
                <w:rFonts w:ascii="Arial" w:hAnsi="Arial" w:cs="Arial"/>
                <w:b/>
                <w:color w:val="000000" w:themeColor="text1"/>
              </w:rPr>
            </w:pPr>
            <w:r w:rsidRPr="00B81E1B">
              <w:rPr>
                <w:rFonts w:ascii="Arial" w:hAnsi="Arial" w:cs="Arial"/>
                <w:b/>
                <w:color w:val="000000" w:themeColor="text1"/>
              </w:rPr>
              <w:t>X</w:t>
            </w:r>
          </w:p>
        </w:tc>
        <w:tc>
          <w:tcPr>
            <w:tcW w:w="453" w:type="pct"/>
          </w:tcPr>
          <w:p w14:paraId="073C1721" w14:textId="77777777" w:rsidR="00525216" w:rsidRPr="00B81E1B" w:rsidRDefault="00525216" w:rsidP="005E0DED">
            <w:pPr>
              <w:spacing w:after="120"/>
              <w:rPr>
                <w:rFonts w:ascii="Arial" w:hAnsi="Arial" w:cs="Arial"/>
                <w:b/>
                <w:color w:val="000000" w:themeColor="text1"/>
              </w:rPr>
            </w:pPr>
            <w:r w:rsidRPr="00B81E1B">
              <w:rPr>
                <w:rFonts w:ascii="Arial" w:hAnsi="Arial" w:cs="Arial"/>
                <w:b/>
                <w:color w:val="000000" w:themeColor="text1"/>
              </w:rPr>
              <w:t>X</w:t>
            </w:r>
          </w:p>
        </w:tc>
        <w:tc>
          <w:tcPr>
            <w:tcW w:w="452" w:type="pct"/>
          </w:tcPr>
          <w:p w14:paraId="274FFCDF" w14:textId="77777777" w:rsidR="00525216" w:rsidRPr="00B81E1B" w:rsidRDefault="00525216" w:rsidP="005E0DED">
            <w:pPr>
              <w:spacing w:after="120"/>
              <w:rPr>
                <w:rFonts w:ascii="Arial" w:hAnsi="Arial" w:cs="Arial"/>
                <w:b/>
                <w:color w:val="000000" w:themeColor="text1"/>
              </w:rPr>
            </w:pPr>
            <w:r w:rsidRPr="00B81E1B">
              <w:rPr>
                <w:rFonts w:ascii="Arial" w:hAnsi="Arial" w:cs="Arial"/>
                <w:b/>
                <w:color w:val="000000" w:themeColor="text1"/>
              </w:rPr>
              <w:t>X</w:t>
            </w:r>
          </w:p>
        </w:tc>
        <w:tc>
          <w:tcPr>
            <w:tcW w:w="452" w:type="pct"/>
          </w:tcPr>
          <w:p w14:paraId="42A4AD1C" w14:textId="77777777" w:rsidR="00525216" w:rsidRPr="00B81E1B" w:rsidRDefault="00525216" w:rsidP="005E0DED">
            <w:pPr>
              <w:spacing w:after="120"/>
              <w:rPr>
                <w:rFonts w:ascii="Arial" w:hAnsi="Arial" w:cs="Arial"/>
                <w:b/>
                <w:color w:val="000000" w:themeColor="text1"/>
              </w:rPr>
            </w:pPr>
            <w:r w:rsidRPr="00B81E1B">
              <w:rPr>
                <w:rFonts w:ascii="Arial" w:hAnsi="Arial" w:cs="Arial"/>
                <w:b/>
                <w:color w:val="000000" w:themeColor="text1"/>
              </w:rPr>
              <w:t>X</w:t>
            </w:r>
          </w:p>
        </w:tc>
        <w:tc>
          <w:tcPr>
            <w:tcW w:w="452" w:type="pct"/>
          </w:tcPr>
          <w:p w14:paraId="4291EA8E" w14:textId="77777777" w:rsidR="00525216" w:rsidRPr="00B81E1B" w:rsidRDefault="00525216" w:rsidP="005E0DED">
            <w:pPr>
              <w:spacing w:after="120"/>
              <w:rPr>
                <w:rFonts w:ascii="Arial" w:hAnsi="Arial" w:cs="Arial"/>
                <w:b/>
                <w:color w:val="000000" w:themeColor="text1"/>
              </w:rPr>
            </w:pPr>
            <w:r w:rsidRPr="00B81E1B">
              <w:rPr>
                <w:rFonts w:ascii="Arial" w:hAnsi="Arial" w:cs="Arial"/>
                <w:b/>
                <w:color w:val="000000" w:themeColor="text1"/>
              </w:rPr>
              <w:t>X</w:t>
            </w:r>
          </w:p>
        </w:tc>
        <w:tc>
          <w:tcPr>
            <w:tcW w:w="452" w:type="pct"/>
          </w:tcPr>
          <w:p w14:paraId="72E02C30" w14:textId="77777777" w:rsidR="00525216" w:rsidRPr="00B81E1B" w:rsidRDefault="00525216" w:rsidP="005E0DED">
            <w:pPr>
              <w:spacing w:after="120"/>
              <w:rPr>
                <w:rFonts w:ascii="Arial" w:hAnsi="Arial" w:cs="Arial"/>
                <w:b/>
                <w:color w:val="000000" w:themeColor="text1"/>
              </w:rPr>
            </w:pPr>
            <w:r w:rsidRPr="00B81E1B">
              <w:rPr>
                <w:rFonts w:ascii="Arial" w:hAnsi="Arial" w:cs="Arial"/>
                <w:b/>
                <w:color w:val="000000" w:themeColor="text1"/>
              </w:rPr>
              <w:t>X</w:t>
            </w:r>
          </w:p>
        </w:tc>
        <w:tc>
          <w:tcPr>
            <w:tcW w:w="452" w:type="pct"/>
          </w:tcPr>
          <w:p w14:paraId="1D0C2F24" w14:textId="77777777" w:rsidR="00525216" w:rsidRPr="00B81E1B" w:rsidRDefault="00525216" w:rsidP="005E0DED">
            <w:pPr>
              <w:spacing w:after="120"/>
              <w:rPr>
                <w:rFonts w:ascii="Arial" w:hAnsi="Arial" w:cs="Arial"/>
                <w:b/>
                <w:color w:val="000000" w:themeColor="text1"/>
              </w:rPr>
            </w:pPr>
            <w:r w:rsidRPr="00B81E1B">
              <w:rPr>
                <w:rFonts w:ascii="Arial" w:hAnsi="Arial" w:cs="Arial"/>
                <w:b/>
                <w:color w:val="000000" w:themeColor="text1"/>
              </w:rPr>
              <w:t>X</w:t>
            </w:r>
          </w:p>
        </w:tc>
        <w:tc>
          <w:tcPr>
            <w:tcW w:w="452" w:type="pct"/>
          </w:tcPr>
          <w:p w14:paraId="77793BBC" w14:textId="77777777" w:rsidR="00525216" w:rsidRPr="00B81E1B" w:rsidRDefault="00525216" w:rsidP="005E0DED">
            <w:pPr>
              <w:spacing w:after="120"/>
              <w:rPr>
                <w:rFonts w:ascii="Arial" w:hAnsi="Arial" w:cs="Arial"/>
                <w:b/>
                <w:color w:val="000000" w:themeColor="text1"/>
              </w:rPr>
            </w:pPr>
            <w:r w:rsidRPr="00B81E1B">
              <w:rPr>
                <w:rFonts w:ascii="Arial" w:hAnsi="Arial" w:cs="Arial"/>
                <w:b/>
                <w:color w:val="000000" w:themeColor="text1"/>
              </w:rPr>
              <w:t>X</w:t>
            </w:r>
          </w:p>
        </w:tc>
      </w:tr>
      <w:tr w:rsidR="00525216" w:rsidRPr="00B81E1B" w14:paraId="04D6B4D5" w14:textId="77777777" w:rsidTr="00B81E1B">
        <w:tc>
          <w:tcPr>
            <w:tcW w:w="1383" w:type="pct"/>
          </w:tcPr>
          <w:p w14:paraId="697AEDE6" w14:textId="63CBB6E0" w:rsidR="00525216" w:rsidRPr="00B81E1B" w:rsidRDefault="00525216" w:rsidP="005E0DED">
            <w:pPr>
              <w:spacing w:after="120"/>
              <w:rPr>
                <w:rFonts w:ascii="Arial" w:hAnsi="Arial" w:cs="Arial"/>
              </w:rPr>
            </w:pPr>
            <w:r w:rsidRPr="00B81E1B">
              <w:rPr>
                <w:rFonts w:ascii="Arial" w:hAnsi="Arial" w:cs="Arial"/>
              </w:rPr>
              <w:t xml:space="preserve">Group Podcast </w:t>
            </w:r>
          </w:p>
        </w:tc>
        <w:tc>
          <w:tcPr>
            <w:tcW w:w="453" w:type="pct"/>
          </w:tcPr>
          <w:p w14:paraId="67C99693" w14:textId="77777777" w:rsidR="00525216" w:rsidRPr="00B81E1B" w:rsidRDefault="00525216" w:rsidP="005E0DED">
            <w:pPr>
              <w:spacing w:after="120"/>
              <w:rPr>
                <w:rFonts w:ascii="Arial" w:hAnsi="Arial" w:cs="Arial"/>
                <w:b/>
                <w:color w:val="000000" w:themeColor="text1"/>
              </w:rPr>
            </w:pPr>
            <w:r w:rsidRPr="00B81E1B">
              <w:rPr>
                <w:rFonts w:ascii="Arial" w:hAnsi="Arial" w:cs="Arial"/>
                <w:b/>
                <w:color w:val="000000" w:themeColor="text1"/>
              </w:rPr>
              <w:t>X</w:t>
            </w:r>
          </w:p>
        </w:tc>
        <w:tc>
          <w:tcPr>
            <w:tcW w:w="453" w:type="pct"/>
          </w:tcPr>
          <w:p w14:paraId="3BA26FE0" w14:textId="77777777" w:rsidR="00525216" w:rsidRPr="00B81E1B" w:rsidRDefault="00525216" w:rsidP="005E0DED">
            <w:pPr>
              <w:spacing w:after="120"/>
              <w:rPr>
                <w:rFonts w:ascii="Arial" w:hAnsi="Arial" w:cs="Arial"/>
                <w:b/>
                <w:color w:val="000000" w:themeColor="text1"/>
              </w:rPr>
            </w:pPr>
            <w:r w:rsidRPr="00B81E1B">
              <w:rPr>
                <w:rFonts w:ascii="Arial" w:hAnsi="Arial" w:cs="Arial"/>
                <w:b/>
                <w:color w:val="000000" w:themeColor="text1"/>
              </w:rPr>
              <w:t>X</w:t>
            </w:r>
          </w:p>
        </w:tc>
        <w:tc>
          <w:tcPr>
            <w:tcW w:w="452" w:type="pct"/>
          </w:tcPr>
          <w:p w14:paraId="61AAC27C" w14:textId="77777777" w:rsidR="00525216" w:rsidRPr="00B81E1B" w:rsidRDefault="00525216" w:rsidP="005E0DED">
            <w:pPr>
              <w:spacing w:after="120"/>
              <w:rPr>
                <w:rFonts w:ascii="Arial" w:hAnsi="Arial" w:cs="Arial"/>
                <w:b/>
                <w:color w:val="000000" w:themeColor="text1"/>
              </w:rPr>
            </w:pPr>
            <w:r w:rsidRPr="00B81E1B">
              <w:rPr>
                <w:rFonts w:ascii="Arial" w:hAnsi="Arial" w:cs="Arial"/>
                <w:b/>
                <w:color w:val="000000" w:themeColor="text1"/>
              </w:rPr>
              <w:t>X</w:t>
            </w:r>
          </w:p>
        </w:tc>
        <w:tc>
          <w:tcPr>
            <w:tcW w:w="452" w:type="pct"/>
          </w:tcPr>
          <w:p w14:paraId="6EF3EE47" w14:textId="77777777" w:rsidR="00525216" w:rsidRPr="00B81E1B" w:rsidRDefault="00525216" w:rsidP="005E0DED">
            <w:pPr>
              <w:spacing w:after="120"/>
              <w:rPr>
                <w:rFonts w:ascii="Arial" w:hAnsi="Arial" w:cs="Arial"/>
                <w:b/>
                <w:color w:val="000000" w:themeColor="text1"/>
              </w:rPr>
            </w:pPr>
            <w:r w:rsidRPr="00B81E1B">
              <w:rPr>
                <w:rFonts w:ascii="Arial" w:hAnsi="Arial" w:cs="Arial"/>
                <w:b/>
                <w:color w:val="000000" w:themeColor="text1"/>
              </w:rPr>
              <w:t>X</w:t>
            </w:r>
          </w:p>
        </w:tc>
        <w:tc>
          <w:tcPr>
            <w:tcW w:w="452" w:type="pct"/>
          </w:tcPr>
          <w:p w14:paraId="1F0914D4" w14:textId="77777777" w:rsidR="00525216" w:rsidRPr="00B81E1B" w:rsidRDefault="00525216" w:rsidP="005E0DED">
            <w:pPr>
              <w:spacing w:after="120"/>
              <w:rPr>
                <w:rFonts w:ascii="Arial" w:hAnsi="Arial" w:cs="Arial"/>
                <w:b/>
                <w:color w:val="000000" w:themeColor="text1"/>
              </w:rPr>
            </w:pPr>
            <w:r w:rsidRPr="00B81E1B">
              <w:rPr>
                <w:rFonts w:ascii="Arial" w:hAnsi="Arial" w:cs="Arial"/>
                <w:b/>
                <w:color w:val="000000" w:themeColor="text1"/>
              </w:rPr>
              <w:t>X</w:t>
            </w:r>
          </w:p>
        </w:tc>
        <w:tc>
          <w:tcPr>
            <w:tcW w:w="452" w:type="pct"/>
          </w:tcPr>
          <w:p w14:paraId="3A70C662" w14:textId="77777777" w:rsidR="00525216" w:rsidRPr="00B81E1B" w:rsidRDefault="00525216" w:rsidP="005E0DED">
            <w:pPr>
              <w:spacing w:after="120"/>
              <w:rPr>
                <w:rFonts w:ascii="Arial" w:hAnsi="Arial" w:cs="Arial"/>
                <w:b/>
                <w:color w:val="000000" w:themeColor="text1"/>
              </w:rPr>
            </w:pPr>
            <w:r w:rsidRPr="00B81E1B">
              <w:rPr>
                <w:rFonts w:ascii="Arial" w:hAnsi="Arial" w:cs="Arial"/>
                <w:b/>
                <w:color w:val="000000" w:themeColor="text1"/>
              </w:rPr>
              <w:t>X</w:t>
            </w:r>
          </w:p>
        </w:tc>
        <w:tc>
          <w:tcPr>
            <w:tcW w:w="452" w:type="pct"/>
          </w:tcPr>
          <w:p w14:paraId="13776E61" w14:textId="77777777" w:rsidR="00525216" w:rsidRPr="00B81E1B" w:rsidRDefault="00525216" w:rsidP="005E0DED">
            <w:pPr>
              <w:spacing w:after="120"/>
              <w:rPr>
                <w:rFonts w:ascii="Arial" w:hAnsi="Arial" w:cs="Arial"/>
                <w:b/>
                <w:color w:val="000000" w:themeColor="text1"/>
              </w:rPr>
            </w:pPr>
            <w:r w:rsidRPr="00B81E1B">
              <w:rPr>
                <w:rFonts w:ascii="Arial" w:hAnsi="Arial" w:cs="Arial"/>
                <w:b/>
                <w:color w:val="000000" w:themeColor="text1"/>
              </w:rPr>
              <w:t>X</w:t>
            </w:r>
          </w:p>
        </w:tc>
        <w:tc>
          <w:tcPr>
            <w:tcW w:w="452" w:type="pct"/>
          </w:tcPr>
          <w:p w14:paraId="67D22B5E" w14:textId="77777777" w:rsidR="00525216" w:rsidRPr="00B81E1B" w:rsidRDefault="00525216" w:rsidP="005E0DED">
            <w:pPr>
              <w:spacing w:after="120"/>
              <w:rPr>
                <w:rFonts w:ascii="Arial" w:hAnsi="Arial" w:cs="Arial"/>
                <w:b/>
                <w:color w:val="000000" w:themeColor="text1"/>
              </w:rPr>
            </w:pPr>
            <w:r w:rsidRPr="00B81E1B">
              <w:rPr>
                <w:rFonts w:ascii="Arial" w:hAnsi="Arial" w:cs="Arial"/>
                <w:b/>
                <w:color w:val="000000" w:themeColor="text1"/>
              </w:rPr>
              <w:t>X</w:t>
            </w:r>
          </w:p>
        </w:tc>
      </w:tr>
    </w:tbl>
    <w:p w14:paraId="4B9808A1" w14:textId="281E2148"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2F7FFA5F" w:rsidR="009A2D37" w:rsidRPr="00873473" w:rsidRDefault="00D60DAD" w:rsidP="00873473">
      <w:pPr>
        <w:spacing w:after="120" w:line="240" w:lineRule="auto"/>
        <w:ind w:left="567" w:right="260"/>
        <w:jc w:val="both"/>
        <w:rPr>
          <w:rFonts w:ascii="Arial" w:hAnsi="Arial" w:cs="Arial"/>
          <w:b/>
        </w:rPr>
      </w:pPr>
      <w:r>
        <w:rPr>
          <w:rFonts w:ascii="Arial" w:hAnsi="Arial" w:cs="Arial"/>
        </w:rPr>
        <w:t>Medway</w:t>
      </w:r>
    </w:p>
    <w:p w14:paraId="0F8D90CB" w14:textId="766526B5" w:rsidR="00D60DAD" w:rsidRDefault="00883204" w:rsidP="00D60DAD">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CB06F2C" w14:textId="77777777" w:rsidR="00525216" w:rsidRPr="00525216" w:rsidRDefault="00525216" w:rsidP="00525216">
      <w:pPr>
        <w:pStyle w:val="ListParagraph"/>
        <w:autoSpaceDE w:val="0"/>
        <w:autoSpaceDN w:val="0"/>
        <w:adjustRightInd w:val="0"/>
        <w:spacing w:after="120" w:line="240" w:lineRule="auto"/>
        <w:ind w:left="567" w:right="261"/>
        <w:jc w:val="both"/>
        <w:rPr>
          <w:rFonts w:ascii="Arial" w:hAnsi="Arial" w:cs="Arial"/>
          <w:lang w:val="en"/>
        </w:rPr>
      </w:pPr>
      <w:r w:rsidRPr="00525216">
        <w:rPr>
          <w:rFonts w:ascii="Arial" w:hAnsi="Arial" w:cs="Arial"/>
        </w:rPr>
        <w:t>Examples of international contexts and organisations will be used where applicable to illustrate the subject content. Students</w:t>
      </w:r>
      <w:r w:rsidRPr="00525216">
        <w:rPr>
          <w:rFonts w:ascii="Arial" w:hAnsi="Arial" w:cs="Arial"/>
          <w:lang w:val="en"/>
        </w:rPr>
        <w:t xml:space="preserve"> will have the opportunity to develop the ability to think globally and have an understanding of international cultures through working with team members from diverse cultures. Diverse teams make it possible to develop a marketing plan engaging with international activities.</w:t>
      </w:r>
    </w:p>
    <w:p w14:paraId="218ADBC0" w14:textId="77777777" w:rsidR="00D60DAD" w:rsidRPr="00D60DAD" w:rsidRDefault="00D60DAD" w:rsidP="00D60DAD">
      <w:pPr>
        <w:spacing w:after="120" w:line="240" w:lineRule="auto"/>
        <w:ind w:left="567" w:right="261"/>
        <w:jc w:val="both"/>
        <w:rPr>
          <w:rFonts w:ascii="Arial" w:hAnsi="Arial" w:cs="Arial"/>
          <w:b/>
        </w:rPr>
      </w:pPr>
    </w:p>
    <w:p w14:paraId="4D5DA66B" w14:textId="77777777" w:rsidR="00486F32" w:rsidRPr="00486F32" w:rsidRDefault="00486F32" w:rsidP="00486F32">
      <w:pPr>
        <w:pStyle w:val="ListParagraph"/>
        <w:pBdr>
          <w:bottom w:val="single" w:sz="6" w:space="1" w:color="auto"/>
        </w:pBdr>
        <w:spacing w:after="120" w:line="240" w:lineRule="auto"/>
        <w:ind w:left="567" w:right="261"/>
        <w:rPr>
          <w:rFonts w:ascii="Arial" w:hAnsi="Arial" w:cs="Arial"/>
        </w:rPr>
      </w:pP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423AC5" w:rsidRPr="00302082" w14:paraId="4D54B516" w14:textId="77777777" w:rsidTr="00A67C38">
        <w:trPr>
          <w:trHeight w:val="305"/>
        </w:trPr>
        <w:tc>
          <w:tcPr>
            <w:tcW w:w="1526" w:type="dxa"/>
          </w:tcPr>
          <w:p w14:paraId="35D3B027" w14:textId="50111553" w:rsidR="00423AC5" w:rsidRPr="00302082" w:rsidRDefault="00423AC5" w:rsidP="00423AC5">
            <w:pPr>
              <w:spacing w:after="120"/>
              <w:ind w:right="-330"/>
              <w:rPr>
                <w:rFonts w:ascii="Arial" w:hAnsi="Arial" w:cs="Arial"/>
              </w:rPr>
            </w:pPr>
          </w:p>
        </w:tc>
        <w:tc>
          <w:tcPr>
            <w:tcW w:w="1701" w:type="dxa"/>
          </w:tcPr>
          <w:p w14:paraId="151996FF" w14:textId="021A8FF3" w:rsidR="00423AC5" w:rsidRPr="00302082" w:rsidRDefault="00423AC5" w:rsidP="00423AC5">
            <w:pPr>
              <w:spacing w:after="120"/>
              <w:ind w:right="-330"/>
              <w:rPr>
                <w:rFonts w:ascii="Arial" w:hAnsi="Arial" w:cs="Arial"/>
              </w:rPr>
            </w:pPr>
          </w:p>
        </w:tc>
        <w:tc>
          <w:tcPr>
            <w:tcW w:w="2410" w:type="dxa"/>
          </w:tcPr>
          <w:p w14:paraId="11C26B6A" w14:textId="1EE9958A" w:rsidR="00423AC5" w:rsidRPr="00302082" w:rsidRDefault="00423AC5" w:rsidP="00423AC5">
            <w:pPr>
              <w:spacing w:after="120"/>
              <w:ind w:right="-330"/>
              <w:rPr>
                <w:rFonts w:ascii="Arial" w:hAnsi="Arial" w:cs="Arial"/>
              </w:rPr>
            </w:pPr>
          </w:p>
        </w:tc>
        <w:tc>
          <w:tcPr>
            <w:tcW w:w="2448" w:type="dxa"/>
          </w:tcPr>
          <w:p w14:paraId="6A9F6C84" w14:textId="59BF6745" w:rsidR="00423AC5" w:rsidRPr="00302082" w:rsidRDefault="00423AC5" w:rsidP="00423AC5">
            <w:pPr>
              <w:spacing w:after="120"/>
              <w:ind w:right="-330"/>
              <w:rPr>
                <w:rFonts w:ascii="Arial" w:hAnsi="Arial" w:cs="Arial"/>
              </w:rPr>
            </w:pPr>
          </w:p>
        </w:tc>
        <w:tc>
          <w:tcPr>
            <w:tcW w:w="2597" w:type="dxa"/>
          </w:tcPr>
          <w:p w14:paraId="0112E7D6" w14:textId="6895E6AD" w:rsidR="00423AC5" w:rsidRPr="00302082" w:rsidRDefault="00423AC5" w:rsidP="00423AC5">
            <w:pPr>
              <w:spacing w:after="120"/>
              <w:ind w:right="-330"/>
              <w:rPr>
                <w:rFonts w:ascii="Arial" w:hAnsi="Arial" w:cs="Arial"/>
              </w:rPr>
            </w:pPr>
          </w:p>
        </w:tc>
      </w:tr>
      <w:tr w:rsidR="00423AC5" w:rsidRPr="00302082" w14:paraId="6BC33F35" w14:textId="77777777" w:rsidTr="00A67C38">
        <w:trPr>
          <w:trHeight w:val="305"/>
        </w:trPr>
        <w:tc>
          <w:tcPr>
            <w:tcW w:w="1526" w:type="dxa"/>
          </w:tcPr>
          <w:p w14:paraId="45B3FD9C" w14:textId="77777777" w:rsidR="00423AC5" w:rsidRPr="00302082" w:rsidRDefault="00423AC5" w:rsidP="00423AC5">
            <w:pPr>
              <w:spacing w:after="120"/>
              <w:ind w:right="-330"/>
              <w:rPr>
                <w:rFonts w:ascii="Arial" w:hAnsi="Arial" w:cs="Arial"/>
              </w:rPr>
            </w:pPr>
          </w:p>
        </w:tc>
        <w:tc>
          <w:tcPr>
            <w:tcW w:w="1701" w:type="dxa"/>
          </w:tcPr>
          <w:p w14:paraId="25152F34" w14:textId="77777777" w:rsidR="00423AC5" w:rsidRPr="00302082" w:rsidRDefault="00423AC5" w:rsidP="00423AC5">
            <w:pPr>
              <w:spacing w:after="120"/>
              <w:ind w:right="-330"/>
              <w:rPr>
                <w:rFonts w:ascii="Arial" w:hAnsi="Arial" w:cs="Arial"/>
              </w:rPr>
            </w:pPr>
          </w:p>
        </w:tc>
        <w:tc>
          <w:tcPr>
            <w:tcW w:w="2410" w:type="dxa"/>
          </w:tcPr>
          <w:p w14:paraId="38C09616" w14:textId="77777777" w:rsidR="00423AC5" w:rsidRPr="00302082" w:rsidRDefault="00423AC5" w:rsidP="00423AC5">
            <w:pPr>
              <w:spacing w:after="120"/>
              <w:ind w:right="-330"/>
              <w:rPr>
                <w:rFonts w:ascii="Arial" w:hAnsi="Arial" w:cs="Arial"/>
              </w:rPr>
            </w:pPr>
          </w:p>
        </w:tc>
        <w:tc>
          <w:tcPr>
            <w:tcW w:w="2448" w:type="dxa"/>
          </w:tcPr>
          <w:p w14:paraId="4F4AACAC" w14:textId="77777777" w:rsidR="00423AC5" w:rsidRPr="00302082" w:rsidRDefault="00423AC5" w:rsidP="00423AC5">
            <w:pPr>
              <w:spacing w:after="120"/>
              <w:ind w:right="-330"/>
              <w:rPr>
                <w:rFonts w:ascii="Arial" w:hAnsi="Arial" w:cs="Arial"/>
              </w:rPr>
            </w:pPr>
          </w:p>
        </w:tc>
        <w:tc>
          <w:tcPr>
            <w:tcW w:w="2597" w:type="dxa"/>
          </w:tcPr>
          <w:p w14:paraId="7ECF24C9" w14:textId="77777777" w:rsidR="00423AC5" w:rsidRPr="00302082" w:rsidRDefault="00423AC5" w:rsidP="00423AC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lastRenderedPageBreak/>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416B226F" w:rsidR="008B2543" w:rsidRDefault="0019787E" w:rsidP="009A2D37">
        <w:pPr>
          <w:pStyle w:val="Footer"/>
          <w:jc w:val="center"/>
        </w:pPr>
        <w:r>
          <w:fldChar w:fldCharType="begin"/>
        </w:r>
        <w:r>
          <w:instrText xml:space="preserve"> PAGE   \* MERGEFORMAT </w:instrText>
        </w:r>
        <w:r>
          <w:fldChar w:fldCharType="separate"/>
        </w:r>
        <w:r w:rsidR="004C5408">
          <w:rPr>
            <w:noProof/>
          </w:rPr>
          <w:t>4</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A5599"/>
    <w:multiLevelType w:val="hybridMultilevel"/>
    <w:tmpl w:val="1472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AC6A0A"/>
    <w:multiLevelType w:val="hybridMultilevel"/>
    <w:tmpl w:val="9F7C08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354D64"/>
    <w:multiLevelType w:val="hybridMultilevel"/>
    <w:tmpl w:val="6780F57C"/>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5A47CB"/>
    <w:multiLevelType w:val="hybridMultilevel"/>
    <w:tmpl w:val="F586A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D8484F"/>
    <w:multiLevelType w:val="hybridMultilevel"/>
    <w:tmpl w:val="78E4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A304A09"/>
    <w:multiLevelType w:val="hybridMultilevel"/>
    <w:tmpl w:val="142AE71C"/>
    <w:lvl w:ilvl="0" w:tplc="389C1D5A">
      <w:start w:val="1"/>
      <w:numFmt w:val="bullet"/>
      <w:lvlText w:val=""/>
      <w:lvlJc w:val="left"/>
      <w:pPr>
        <w:tabs>
          <w:tab w:val="num" w:pos="360"/>
        </w:tabs>
        <w:ind w:left="360" w:hanging="360"/>
      </w:pPr>
      <w:rPr>
        <w:rFonts w:ascii="Symbol" w:hAnsi="Symbol" w:hint="default"/>
        <w:b w:val="0"/>
        <w:i w:val="0"/>
        <w:sz w:val="2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80637DD"/>
    <w:multiLevelType w:val="hybridMultilevel"/>
    <w:tmpl w:val="9536C5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3" w15:restartNumberingAfterBreak="0">
    <w:nsid w:val="62077F35"/>
    <w:multiLevelType w:val="hybridMultilevel"/>
    <w:tmpl w:val="E4B817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5BD5FD5"/>
    <w:multiLevelType w:val="hybridMultilevel"/>
    <w:tmpl w:val="699C0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6B52752E"/>
    <w:multiLevelType w:val="hybridMultilevel"/>
    <w:tmpl w:val="9022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CA2469"/>
    <w:multiLevelType w:val="hybridMultilevel"/>
    <w:tmpl w:val="189A156A"/>
    <w:lvl w:ilvl="0" w:tplc="9BFE0534">
      <w:start w:val="2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3"/>
  </w:num>
  <w:num w:numId="5">
    <w:abstractNumId w:val="21"/>
  </w:num>
  <w:num w:numId="6">
    <w:abstractNumId w:val="18"/>
  </w:num>
  <w:num w:numId="7">
    <w:abstractNumId w:val="29"/>
  </w:num>
  <w:num w:numId="8">
    <w:abstractNumId w:val="20"/>
  </w:num>
  <w:num w:numId="9">
    <w:abstractNumId w:val="11"/>
  </w:num>
  <w:num w:numId="10">
    <w:abstractNumId w:val="22"/>
  </w:num>
  <w:num w:numId="11">
    <w:abstractNumId w:val="15"/>
  </w:num>
  <w:num w:numId="12">
    <w:abstractNumId w:val="30"/>
  </w:num>
  <w:num w:numId="13">
    <w:abstractNumId w:val="25"/>
  </w:num>
  <w:num w:numId="14">
    <w:abstractNumId w:val="14"/>
  </w:num>
  <w:num w:numId="15">
    <w:abstractNumId w:val="27"/>
  </w:num>
  <w:num w:numId="16">
    <w:abstractNumId w:val="32"/>
  </w:num>
  <w:num w:numId="17">
    <w:abstractNumId w:val="13"/>
  </w:num>
  <w:num w:numId="18">
    <w:abstractNumId w:val="31"/>
  </w:num>
  <w:num w:numId="19">
    <w:abstractNumId w:val="7"/>
  </w:num>
  <w:num w:numId="20">
    <w:abstractNumId w:val="4"/>
  </w:num>
  <w:num w:numId="21">
    <w:abstractNumId w:val="2"/>
  </w:num>
  <w:num w:numId="22">
    <w:abstractNumId w:val="17"/>
  </w:num>
  <w:num w:numId="23">
    <w:abstractNumId w:val="26"/>
  </w:num>
  <w:num w:numId="24">
    <w:abstractNumId w:val="12"/>
  </w:num>
  <w:num w:numId="25">
    <w:abstractNumId w:val="1"/>
  </w:num>
  <w:num w:numId="26">
    <w:abstractNumId w:val="5"/>
  </w:num>
  <w:num w:numId="27">
    <w:abstractNumId w:val="28"/>
  </w:num>
  <w:num w:numId="28">
    <w:abstractNumId w:val="23"/>
  </w:num>
  <w:num w:numId="29">
    <w:abstractNumId w:val="8"/>
  </w:num>
  <w:num w:numId="30">
    <w:abstractNumId w:val="24"/>
  </w:num>
  <w:num w:numId="31">
    <w:abstractNumId w:val="9"/>
  </w:num>
  <w:num w:numId="32">
    <w:abstractNumId w:val="19"/>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4982"/>
    <w:rsid w:val="00005661"/>
    <w:rsid w:val="00010A16"/>
    <w:rsid w:val="0001243F"/>
    <w:rsid w:val="00021EA0"/>
    <w:rsid w:val="00025992"/>
    <w:rsid w:val="00027937"/>
    <w:rsid w:val="00030C9E"/>
    <w:rsid w:val="00031E67"/>
    <w:rsid w:val="00034F14"/>
    <w:rsid w:val="000408CC"/>
    <w:rsid w:val="00045373"/>
    <w:rsid w:val="00063A2F"/>
    <w:rsid w:val="000678D3"/>
    <w:rsid w:val="00092658"/>
    <w:rsid w:val="00094810"/>
    <w:rsid w:val="00096DA4"/>
    <w:rsid w:val="000C0294"/>
    <w:rsid w:val="000C4CA8"/>
    <w:rsid w:val="000C7A1C"/>
    <w:rsid w:val="000D2A8A"/>
    <w:rsid w:val="000D32AC"/>
    <w:rsid w:val="000D6E78"/>
    <w:rsid w:val="000E20C1"/>
    <w:rsid w:val="000E2CCB"/>
    <w:rsid w:val="000E3B73"/>
    <w:rsid w:val="000F6C56"/>
    <w:rsid w:val="000F7FBF"/>
    <w:rsid w:val="00106BE5"/>
    <w:rsid w:val="00110947"/>
    <w:rsid w:val="00111906"/>
    <w:rsid w:val="00111CB3"/>
    <w:rsid w:val="00112AAB"/>
    <w:rsid w:val="00117577"/>
    <w:rsid w:val="00117793"/>
    <w:rsid w:val="001206E4"/>
    <w:rsid w:val="001214D3"/>
    <w:rsid w:val="00121BFC"/>
    <w:rsid w:val="00125F84"/>
    <w:rsid w:val="0013248A"/>
    <w:rsid w:val="00134D76"/>
    <w:rsid w:val="001402AD"/>
    <w:rsid w:val="001540CE"/>
    <w:rsid w:val="0015717B"/>
    <w:rsid w:val="00157ACA"/>
    <w:rsid w:val="00160427"/>
    <w:rsid w:val="00162D46"/>
    <w:rsid w:val="00164ED5"/>
    <w:rsid w:val="0016528D"/>
    <w:rsid w:val="00172793"/>
    <w:rsid w:val="00180558"/>
    <w:rsid w:val="0018114C"/>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32E5"/>
    <w:rsid w:val="001E62C1"/>
    <w:rsid w:val="001F0779"/>
    <w:rsid w:val="001F3C3E"/>
    <w:rsid w:val="00201C5F"/>
    <w:rsid w:val="0020243A"/>
    <w:rsid w:val="0021578E"/>
    <w:rsid w:val="002257D9"/>
    <w:rsid w:val="00226C27"/>
    <w:rsid w:val="00227582"/>
    <w:rsid w:val="0023070F"/>
    <w:rsid w:val="002308BE"/>
    <w:rsid w:val="002407C0"/>
    <w:rsid w:val="002433EC"/>
    <w:rsid w:val="002460FF"/>
    <w:rsid w:val="002461AF"/>
    <w:rsid w:val="002465A1"/>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E4048"/>
    <w:rsid w:val="002E4D7A"/>
    <w:rsid w:val="002E71C0"/>
    <w:rsid w:val="002F05F4"/>
    <w:rsid w:val="002F0CE4"/>
    <w:rsid w:val="002F23EF"/>
    <w:rsid w:val="002F2626"/>
    <w:rsid w:val="00302082"/>
    <w:rsid w:val="00306620"/>
    <w:rsid w:val="0032396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584"/>
    <w:rsid w:val="00383AEF"/>
    <w:rsid w:val="003934D2"/>
    <w:rsid w:val="003973A1"/>
    <w:rsid w:val="003A2195"/>
    <w:rsid w:val="003A46C7"/>
    <w:rsid w:val="003A5DA0"/>
    <w:rsid w:val="003A5EEB"/>
    <w:rsid w:val="003A6143"/>
    <w:rsid w:val="003B2A40"/>
    <w:rsid w:val="003B35F4"/>
    <w:rsid w:val="003B4FC5"/>
    <w:rsid w:val="003B7C76"/>
    <w:rsid w:val="003C3E0C"/>
    <w:rsid w:val="003C776B"/>
    <w:rsid w:val="003C7F12"/>
    <w:rsid w:val="003D4A1C"/>
    <w:rsid w:val="003D7AA0"/>
    <w:rsid w:val="003D7EC5"/>
    <w:rsid w:val="003E1FF7"/>
    <w:rsid w:val="003E311D"/>
    <w:rsid w:val="003F4470"/>
    <w:rsid w:val="003F5A04"/>
    <w:rsid w:val="003F67CD"/>
    <w:rsid w:val="003F7D89"/>
    <w:rsid w:val="00402ED7"/>
    <w:rsid w:val="004114F8"/>
    <w:rsid w:val="00415056"/>
    <w:rsid w:val="00422B69"/>
    <w:rsid w:val="00423AC5"/>
    <w:rsid w:val="00423D86"/>
    <w:rsid w:val="00424C90"/>
    <w:rsid w:val="00424CA2"/>
    <w:rsid w:val="00436BE9"/>
    <w:rsid w:val="00441E76"/>
    <w:rsid w:val="00443647"/>
    <w:rsid w:val="004443DA"/>
    <w:rsid w:val="004461FD"/>
    <w:rsid w:val="00446A75"/>
    <w:rsid w:val="004474A2"/>
    <w:rsid w:val="00460925"/>
    <w:rsid w:val="00471C6C"/>
    <w:rsid w:val="00472023"/>
    <w:rsid w:val="0047363E"/>
    <w:rsid w:val="004857DC"/>
    <w:rsid w:val="00486993"/>
    <w:rsid w:val="00486F32"/>
    <w:rsid w:val="00492DA4"/>
    <w:rsid w:val="00496AA3"/>
    <w:rsid w:val="00497C98"/>
    <w:rsid w:val="004A39D7"/>
    <w:rsid w:val="004A55FA"/>
    <w:rsid w:val="004B261B"/>
    <w:rsid w:val="004B5D03"/>
    <w:rsid w:val="004C1EC4"/>
    <w:rsid w:val="004C5408"/>
    <w:rsid w:val="004D035C"/>
    <w:rsid w:val="004D5E77"/>
    <w:rsid w:val="004D61AD"/>
    <w:rsid w:val="004F3C18"/>
    <w:rsid w:val="004F4328"/>
    <w:rsid w:val="004F78E8"/>
    <w:rsid w:val="005005E4"/>
    <w:rsid w:val="00513689"/>
    <w:rsid w:val="0051375A"/>
    <w:rsid w:val="00521097"/>
    <w:rsid w:val="00525216"/>
    <w:rsid w:val="0053059E"/>
    <w:rsid w:val="00530F0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132"/>
    <w:rsid w:val="0059477B"/>
    <w:rsid w:val="00596884"/>
    <w:rsid w:val="005A14B5"/>
    <w:rsid w:val="005A437C"/>
    <w:rsid w:val="005B0010"/>
    <w:rsid w:val="005B3181"/>
    <w:rsid w:val="005B5A98"/>
    <w:rsid w:val="005C1A4F"/>
    <w:rsid w:val="005C27D7"/>
    <w:rsid w:val="005C7142"/>
    <w:rsid w:val="005C7CA8"/>
    <w:rsid w:val="005D7CD0"/>
    <w:rsid w:val="005E1A3A"/>
    <w:rsid w:val="005E6ADC"/>
    <w:rsid w:val="005E6D10"/>
    <w:rsid w:val="005E6D38"/>
    <w:rsid w:val="005E7B3F"/>
    <w:rsid w:val="005F0105"/>
    <w:rsid w:val="005F040F"/>
    <w:rsid w:val="005F2310"/>
    <w:rsid w:val="005F2C42"/>
    <w:rsid w:val="005F30B8"/>
    <w:rsid w:val="005F3D1D"/>
    <w:rsid w:val="006043FC"/>
    <w:rsid w:val="00604E27"/>
    <w:rsid w:val="006050CF"/>
    <w:rsid w:val="00611E87"/>
    <w:rsid w:val="00612B9D"/>
    <w:rsid w:val="00615847"/>
    <w:rsid w:val="006239F4"/>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5898"/>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0561"/>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CDE"/>
    <w:rsid w:val="00724362"/>
    <w:rsid w:val="00727780"/>
    <w:rsid w:val="00733B10"/>
    <w:rsid w:val="00736411"/>
    <w:rsid w:val="0073792C"/>
    <w:rsid w:val="007418F4"/>
    <w:rsid w:val="007473A3"/>
    <w:rsid w:val="00754069"/>
    <w:rsid w:val="007667DF"/>
    <w:rsid w:val="0077080B"/>
    <w:rsid w:val="00772008"/>
    <w:rsid w:val="00773AC9"/>
    <w:rsid w:val="00781D68"/>
    <w:rsid w:val="00787070"/>
    <w:rsid w:val="007906FD"/>
    <w:rsid w:val="007950E0"/>
    <w:rsid w:val="00797197"/>
    <w:rsid w:val="007972A7"/>
    <w:rsid w:val="00797476"/>
    <w:rsid w:val="007A2BA2"/>
    <w:rsid w:val="007A3872"/>
    <w:rsid w:val="007A6245"/>
    <w:rsid w:val="007B1DB2"/>
    <w:rsid w:val="007B375B"/>
    <w:rsid w:val="007B412A"/>
    <w:rsid w:val="007B635E"/>
    <w:rsid w:val="007B7724"/>
    <w:rsid w:val="007B7CDC"/>
    <w:rsid w:val="007C05EE"/>
    <w:rsid w:val="007C2577"/>
    <w:rsid w:val="007C74B4"/>
    <w:rsid w:val="007E3412"/>
    <w:rsid w:val="007E75E1"/>
    <w:rsid w:val="007F393D"/>
    <w:rsid w:val="008029AF"/>
    <w:rsid w:val="00802FFA"/>
    <w:rsid w:val="008102E5"/>
    <w:rsid w:val="008111B4"/>
    <w:rsid w:val="008133F0"/>
    <w:rsid w:val="00815880"/>
    <w:rsid w:val="00815E67"/>
    <w:rsid w:val="0082322C"/>
    <w:rsid w:val="00823942"/>
    <w:rsid w:val="00827FFD"/>
    <w:rsid w:val="0083074C"/>
    <w:rsid w:val="00854535"/>
    <w:rsid w:val="00856EB3"/>
    <w:rsid w:val="00863C96"/>
    <w:rsid w:val="00864A72"/>
    <w:rsid w:val="0087246C"/>
    <w:rsid w:val="00873473"/>
    <w:rsid w:val="00873E9F"/>
    <w:rsid w:val="00874047"/>
    <w:rsid w:val="008778CB"/>
    <w:rsid w:val="00877E18"/>
    <w:rsid w:val="00881545"/>
    <w:rsid w:val="00883204"/>
    <w:rsid w:val="00883A3E"/>
    <w:rsid w:val="0089148D"/>
    <w:rsid w:val="00891E0D"/>
    <w:rsid w:val="0089361E"/>
    <w:rsid w:val="008A0F36"/>
    <w:rsid w:val="008A3860"/>
    <w:rsid w:val="008B2543"/>
    <w:rsid w:val="008B4B6E"/>
    <w:rsid w:val="008D4B3C"/>
    <w:rsid w:val="008D7063"/>
    <w:rsid w:val="008D7401"/>
    <w:rsid w:val="00903DF6"/>
    <w:rsid w:val="00905E71"/>
    <w:rsid w:val="00916009"/>
    <w:rsid w:val="00920561"/>
    <w:rsid w:val="00921CF6"/>
    <w:rsid w:val="00922E9E"/>
    <w:rsid w:val="00924EF0"/>
    <w:rsid w:val="00934D7B"/>
    <w:rsid w:val="00947180"/>
    <w:rsid w:val="0095061F"/>
    <w:rsid w:val="009567BE"/>
    <w:rsid w:val="009676FA"/>
    <w:rsid w:val="009679E0"/>
    <w:rsid w:val="00972DE5"/>
    <w:rsid w:val="0097552B"/>
    <w:rsid w:val="00977632"/>
    <w:rsid w:val="00982A8E"/>
    <w:rsid w:val="00982B7A"/>
    <w:rsid w:val="00987DB4"/>
    <w:rsid w:val="0099029D"/>
    <w:rsid w:val="00996204"/>
    <w:rsid w:val="009970B1"/>
    <w:rsid w:val="009A26CB"/>
    <w:rsid w:val="009A2BC2"/>
    <w:rsid w:val="009A2D37"/>
    <w:rsid w:val="009A7587"/>
    <w:rsid w:val="009B0A69"/>
    <w:rsid w:val="009B7555"/>
    <w:rsid w:val="009C2474"/>
    <w:rsid w:val="009C7082"/>
    <w:rsid w:val="009D0006"/>
    <w:rsid w:val="009D068C"/>
    <w:rsid w:val="009E1704"/>
    <w:rsid w:val="009E42CA"/>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2DB4"/>
    <w:rsid w:val="00A609AF"/>
    <w:rsid w:val="00A618E1"/>
    <w:rsid w:val="00A629B9"/>
    <w:rsid w:val="00A64E78"/>
    <w:rsid w:val="00A70C20"/>
    <w:rsid w:val="00A74292"/>
    <w:rsid w:val="00A74A13"/>
    <w:rsid w:val="00A776DE"/>
    <w:rsid w:val="00A80640"/>
    <w:rsid w:val="00A879EB"/>
    <w:rsid w:val="00A87FFD"/>
    <w:rsid w:val="00A97038"/>
    <w:rsid w:val="00AA3C15"/>
    <w:rsid w:val="00AA6330"/>
    <w:rsid w:val="00AB6CBE"/>
    <w:rsid w:val="00AB6D9A"/>
    <w:rsid w:val="00AC7501"/>
    <w:rsid w:val="00AD453F"/>
    <w:rsid w:val="00AD748B"/>
    <w:rsid w:val="00AE4865"/>
    <w:rsid w:val="00AF0F5E"/>
    <w:rsid w:val="00AF50EE"/>
    <w:rsid w:val="00B0591D"/>
    <w:rsid w:val="00B11391"/>
    <w:rsid w:val="00B13402"/>
    <w:rsid w:val="00B14BC2"/>
    <w:rsid w:val="00B15B04"/>
    <w:rsid w:val="00B17024"/>
    <w:rsid w:val="00B17CD2"/>
    <w:rsid w:val="00B213D2"/>
    <w:rsid w:val="00B22801"/>
    <w:rsid w:val="00B23610"/>
    <w:rsid w:val="00B248BA"/>
    <w:rsid w:val="00B24B56"/>
    <w:rsid w:val="00B30E07"/>
    <w:rsid w:val="00B34ADD"/>
    <w:rsid w:val="00B52FF5"/>
    <w:rsid w:val="00B5498B"/>
    <w:rsid w:val="00B57219"/>
    <w:rsid w:val="00B620A8"/>
    <w:rsid w:val="00B658A3"/>
    <w:rsid w:val="00B71C07"/>
    <w:rsid w:val="00B720A3"/>
    <w:rsid w:val="00B746A8"/>
    <w:rsid w:val="00B7664D"/>
    <w:rsid w:val="00B80307"/>
    <w:rsid w:val="00B80989"/>
    <w:rsid w:val="00B81E1B"/>
    <w:rsid w:val="00B9109B"/>
    <w:rsid w:val="00B927AE"/>
    <w:rsid w:val="00B93721"/>
    <w:rsid w:val="00B937B1"/>
    <w:rsid w:val="00B95AC0"/>
    <w:rsid w:val="00BA453C"/>
    <w:rsid w:val="00BA4E02"/>
    <w:rsid w:val="00BB2045"/>
    <w:rsid w:val="00BB2A6D"/>
    <w:rsid w:val="00BB37CB"/>
    <w:rsid w:val="00BB4189"/>
    <w:rsid w:val="00BC19F7"/>
    <w:rsid w:val="00BC41ED"/>
    <w:rsid w:val="00BD009E"/>
    <w:rsid w:val="00BD024A"/>
    <w:rsid w:val="00BD0EF8"/>
    <w:rsid w:val="00BD6B27"/>
    <w:rsid w:val="00BD7A8C"/>
    <w:rsid w:val="00BE2126"/>
    <w:rsid w:val="00BE3B17"/>
    <w:rsid w:val="00BE5EE0"/>
    <w:rsid w:val="00BF51AB"/>
    <w:rsid w:val="00BF716B"/>
    <w:rsid w:val="00BF7233"/>
    <w:rsid w:val="00C00301"/>
    <w:rsid w:val="00C02AA2"/>
    <w:rsid w:val="00C04C95"/>
    <w:rsid w:val="00C12613"/>
    <w:rsid w:val="00C16DEF"/>
    <w:rsid w:val="00C24695"/>
    <w:rsid w:val="00C2492F"/>
    <w:rsid w:val="00C3744A"/>
    <w:rsid w:val="00C4002A"/>
    <w:rsid w:val="00C42340"/>
    <w:rsid w:val="00C46912"/>
    <w:rsid w:val="00C57028"/>
    <w:rsid w:val="00C612A8"/>
    <w:rsid w:val="00C6321A"/>
    <w:rsid w:val="00C67631"/>
    <w:rsid w:val="00C709C6"/>
    <w:rsid w:val="00C729D7"/>
    <w:rsid w:val="00C83354"/>
    <w:rsid w:val="00C84004"/>
    <w:rsid w:val="00C843F6"/>
    <w:rsid w:val="00C84507"/>
    <w:rsid w:val="00C84AED"/>
    <w:rsid w:val="00C862C7"/>
    <w:rsid w:val="00C87F67"/>
    <w:rsid w:val="00C97BF2"/>
    <w:rsid w:val="00CA3254"/>
    <w:rsid w:val="00CA514D"/>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57068"/>
    <w:rsid w:val="00D60DAD"/>
    <w:rsid w:val="00D65506"/>
    <w:rsid w:val="00D66DA1"/>
    <w:rsid w:val="00D7629D"/>
    <w:rsid w:val="00D773CF"/>
    <w:rsid w:val="00D83563"/>
    <w:rsid w:val="00D8448F"/>
    <w:rsid w:val="00DA64B6"/>
    <w:rsid w:val="00DB3BC0"/>
    <w:rsid w:val="00DB5C9D"/>
    <w:rsid w:val="00DC0045"/>
    <w:rsid w:val="00DC0693"/>
    <w:rsid w:val="00DD02E6"/>
    <w:rsid w:val="00DD25D0"/>
    <w:rsid w:val="00DF665B"/>
    <w:rsid w:val="00DF7375"/>
    <w:rsid w:val="00E0152A"/>
    <w:rsid w:val="00E03394"/>
    <w:rsid w:val="00E066E5"/>
    <w:rsid w:val="00E154F5"/>
    <w:rsid w:val="00E22F03"/>
    <w:rsid w:val="00E233C1"/>
    <w:rsid w:val="00E34A66"/>
    <w:rsid w:val="00E415C1"/>
    <w:rsid w:val="00E46466"/>
    <w:rsid w:val="00E5121D"/>
    <w:rsid w:val="00E51404"/>
    <w:rsid w:val="00E574C9"/>
    <w:rsid w:val="00E610DE"/>
    <w:rsid w:val="00E65A33"/>
    <w:rsid w:val="00E66167"/>
    <w:rsid w:val="00E71F2F"/>
    <w:rsid w:val="00E7303E"/>
    <w:rsid w:val="00E77786"/>
    <w:rsid w:val="00E806FB"/>
    <w:rsid w:val="00E84B63"/>
    <w:rsid w:val="00E92A1A"/>
    <w:rsid w:val="00EB00C1"/>
    <w:rsid w:val="00EB1C2D"/>
    <w:rsid w:val="00EC1810"/>
    <w:rsid w:val="00EC3FCC"/>
    <w:rsid w:val="00ED32FF"/>
    <w:rsid w:val="00EE090C"/>
    <w:rsid w:val="00EF039B"/>
    <w:rsid w:val="00EF4933"/>
    <w:rsid w:val="00EF5044"/>
    <w:rsid w:val="00EF6A2E"/>
    <w:rsid w:val="00F01956"/>
    <w:rsid w:val="00F116CE"/>
    <w:rsid w:val="00F176DE"/>
    <w:rsid w:val="00F21C47"/>
    <w:rsid w:val="00F234ED"/>
    <w:rsid w:val="00F244E2"/>
    <w:rsid w:val="00F340DE"/>
    <w:rsid w:val="00F353B7"/>
    <w:rsid w:val="00F43542"/>
    <w:rsid w:val="00F44BAB"/>
    <w:rsid w:val="00F527CB"/>
    <w:rsid w:val="00F52986"/>
    <w:rsid w:val="00F562AA"/>
    <w:rsid w:val="00F66975"/>
    <w:rsid w:val="00F7105A"/>
    <w:rsid w:val="00F712EB"/>
    <w:rsid w:val="00F72BE7"/>
    <w:rsid w:val="00F7710E"/>
    <w:rsid w:val="00F77676"/>
    <w:rsid w:val="00F77F7E"/>
    <w:rsid w:val="00F80B26"/>
    <w:rsid w:val="00F8197C"/>
    <w:rsid w:val="00F82B4E"/>
    <w:rsid w:val="00F87559"/>
    <w:rsid w:val="00F96D71"/>
    <w:rsid w:val="00F97C9E"/>
    <w:rsid w:val="00FA1A39"/>
    <w:rsid w:val="00FA20DE"/>
    <w:rsid w:val="00FA4EE8"/>
    <w:rsid w:val="00FB12CA"/>
    <w:rsid w:val="00FB36EC"/>
    <w:rsid w:val="00FB4E1B"/>
    <w:rsid w:val="00FB677C"/>
    <w:rsid w:val="00FC0291"/>
    <w:rsid w:val="00FC1C92"/>
    <w:rsid w:val="00FC5353"/>
    <w:rsid w:val="00FC73E9"/>
    <w:rsid w:val="00FD333B"/>
    <w:rsid w:val="00FD689C"/>
    <w:rsid w:val="00FD705C"/>
    <w:rsid w:val="00FD7490"/>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3136">
      <w:bodyDiv w:val="1"/>
      <w:marLeft w:val="0"/>
      <w:marRight w:val="0"/>
      <w:marTop w:val="0"/>
      <w:marBottom w:val="0"/>
      <w:divBdr>
        <w:top w:val="none" w:sz="0" w:space="0" w:color="auto"/>
        <w:left w:val="none" w:sz="0" w:space="0" w:color="auto"/>
        <w:bottom w:val="none" w:sz="0" w:space="0" w:color="auto"/>
        <w:right w:val="none" w:sz="0" w:space="0" w:color="auto"/>
      </w:divBdr>
      <w:divsChild>
        <w:div w:id="37516410">
          <w:marLeft w:val="0"/>
          <w:marRight w:val="0"/>
          <w:marTop w:val="0"/>
          <w:marBottom w:val="0"/>
          <w:divBdr>
            <w:top w:val="none" w:sz="0" w:space="0" w:color="auto"/>
            <w:left w:val="none" w:sz="0" w:space="0" w:color="auto"/>
            <w:bottom w:val="none" w:sz="0" w:space="0" w:color="auto"/>
            <w:right w:val="none" w:sz="0" w:space="0" w:color="auto"/>
          </w:divBdr>
          <w:divsChild>
            <w:div w:id="955796355">
              <w:marLeft w:val="-225"/>
              <w:marRight w:val="-225"/>
              <w:marTop w:val="0"/>
              <w:marBottom w:val="0"/>
              <w:divBdr>
                <w:top w:val="none" w:sz="0" w:space="0" w:color="auto"/>
                <w:left w:val="none" w:sz="0" w:space="0" w:color="auto"/>
                <w:bottom w:val="none" w:sz="0" w:space="0" w:color="auto"/>
                <w:right w:val="none" w:sz="0" w:space="0" w:color="auto"/>
              </w:divBdr>
              <w:divsChild>
                <w:div w:id="708992865">
                  <w:marLeft w:val="0"/>
                  <w:marRight w:val="0"/>
                  <w:marTop w:val="0"/>
                  <w:marBottom w:val="0"/>
                  <w:divBdr>
                    <w:top w:val="none" w:sz="0" w:space="0" w:color="auto"/>
                    <w:left w:val="none" w:sz="0" w:space="0" w:color="auto"/>
                    <w:bottom w:val="none" w:sz="0" w:space="0" w:color="auto"/>
                    <w:right w:val="none" w:sz="0" w:space="0" w:color="auto"/>
                  </w:divBdr>
                  <w:divsChild>
                    <w:div w:id="11627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B36A9-BBFC-4E89-9998-43107D89BE27}"/>
</file>

<file path=customXml/itemProps2.xml><?xml version="1.0" encoding="utf-8"?>
<ds:datastoreItem xmlns:ds="http://schemas.openxmlformats.org/officeDocument/2006/customXml" ds:itemID="{5329187A-EDC5-4D37-B181-D4F8D1467815}">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115C6464-3C6A-40BF-BE42-B827BFF29257}">
  <ds:schemaRefs>
    <ds:schemaRef ds:uri="http://schemas.microsoft.com/sharepoint/v3/contenttype/forms"/>
  </ds:schemaRefs>
</ds:datastoreItem>
</file>

<file path=customXml/itemProps4.xml><?xml version="1.0" encoding="utf-8"?>
<ds:datastoreItem xmlns:ds="http://schemas.openxmlformats.org/officeDocument/2006/customXml" ds:itemID="{7443AC08-31D0-40A5-AF78-DCE0D9692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21E5B6-00B3-47CA-8ECF-21670EB4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7</cp:revision>
  <cp:lastPrinted>2015-09-09T08:37:00Z</cp:lastPrinted>
  <dcterms:created xsi:type="dcterms:W3CDTF">2018-02-20T08:36:00Z</dcterms:created>
  <dcterms:modified xsi:type="dcterms:W3CDTF">2018-07-10T12:42:00Z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588d78ec-5ded-467b-b198-a854d7965743</vt:lpwstr>
  </property>
  <property fmtid="{D5CDD505-2E9C-101B-9397-08002B2CF9AE}" pid="4" name="Order">
    <vt:r8>63400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