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4675BCA2" w:rsidR="009A2D37" w:rsidRPr="009E42CA" w:rsidRDefault="00415056" w:rsidP="009E42CA">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EB00C1">
        <w:rPr>
          <w:rFonts w:ascii="Arial" w:hAnsi="Arial" w:cs="Arial"/>
        </w:rPr>
        <w:t>0</w:t>
      </w:r>
      <w:r w:rsidR="00DC0045">
        <w:rPr>
          <w:rFonts w:ascii="Arial" w:hAnsi="Arial" w:cs="Arial"/>
        </w:rPr>
        <w:t>75</w:t>
      </w:r>
      <w:r w:rsidR="005F30B8">
        <w:rPr>
          <w:rFonts w:ascii="Arial" w:hAnsi="Arial" w:cs="Arial"/>
        </w:rPr>
        <w:t xml:space="preserve"> (CB</w:t>
      </w:r>
      <w:r w:rsidR="00B71C07">
        <w:rPr>
          <w:rFonts w:ascii="Arial" w:hAnsi="Arial" w:cs="Arial"/>
        </w:rPr>
        <w:t>90</w:t>
      </w:r>
      <w:r w:rsidR="00DC0045">
        <w:rPr>
          <w:rFonts w:ascii="Arial" w:hAnsi="Arial" w:cs="Arial"/>
        </w:rPr>
        <w:t>75</w:t>
      </w:r>
      <w:r w:rsidR="007C05EE">
        <w:rPr>
          <w:rFonts w:ascii="Arial" w:hAnsi="Arial" w:cs="Arial"/>
        </w:rPr>
        <w:t>)</w:t>
      </w:r>
      <w:r w:rsidR="00F353B7">
        <w:rPr>
          <w:rFonts w:ascii="Arial" w:hAnsi="Arial" w:cs="Arial"/>
        </w:rPr>
        <w:t xml:space="preserve"> </w:t>
      </w:r>
      <w:r w:rsidR="00DC0045">
        <w:rPr>
          <w:rFonts w:ascii="Arial" w:hAnsi="Arial" w:cs="Arial"/>
        </w:rPr>
        <w:t>I</w:t>
      </w:r>
      <w:r w:rsidR="00DC0045" w:rsidRPr="00DC0045">
        <w:rPr>
          <w:rFonts w:ascii="Arial" w:hAnsi="Arial" w:cs="Arial"/>
        </w:rPr>
        <w:t>nternational Financial Markets and Instruments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49A6D926" w:rsidR="009A2D37" w:rsidRPr="00CB34E8" w:rsidRDefault="0016528D" w:rsidP="00CB34E8">
      <w:pPr>
        <w:spacing w:after="120" w:line="240" w:lineRule="auto"/>
        <w:ind w:left="567" w:right="260"/>
        <w:rPr>
          <w:rFonts w:ascii="Arial" w:hAnsi="Arial" w:cs="Arial"/>
        </w:rPr>
      </w:pPr>
      <w:r>
        <w:rPr>
          <w:rFonts w:ascii="Arial" w:hAnsi="Arial" w:cs="Arial"/>
        </w:rPr>
        <w:t>15 credits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964394F" w:rsidR="009A2D37" w:rsidRDefault="00DC0045" w:rsidP="005F0105">
      <w:pPr>
        <w:pStyle w:val="ListParagraph"/>
        <w:spacing w:after="0"/>
        <w:ind w:left="567"/>
        <w:rPr>
          <w:rFonts w:ascii="Arial" w:hAnsi="Arial" w:cs="Arial"/>
        </w:rPr>
      </w:pPr>
      <w:r>
        <w:rPr>
          <w:rFonts w:ascii="Arial" w:hAnsi="Arial" w:cs="Arial"/>
        </w:rPr>
        <w:t xml:space="preserve">Autumn </w:t>
      </w:r>
    </w:p>
    <w:p w14:paraId="5B5CC55A" w14:textId="77777777" w:rsidR="005F0105" w:rsidRPr="005F0105" w:rsidRDefault="005F0105" w:rsidP="005F0105">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743900A0" w:rsidR="007C2577" w:rsidRPr="00B71C07" w:rsidRDefault="006239F4" w:rsidP="008A3860">
      <w:pPr>
        <w:spacing w:after="120" w:line="240" w:lineRule="auto"/>
        <w:ind w:right="260" w:firstLine="567"/>
        <w:rPr>
          <w:rFonts w:ascii="Arial" w:hAnsi="Arial" w:cs="Arial"/>
          <w:iCs/>
        </w:rPr>
      </w:pPr>
      <w:r>
        <w:rPr>
          <w:rFonts w:ascii="Arial" w:hAnsi="Arial" w:cs="Arial"/>
          <w:iCs/>
        </w:rPr>
        <w:t xml:space="preserve">MSc </w:t>
      </w:r>
      <w:r w:rsidR="0016528D">
        <w:rPr>
          <w:rFonts w:ascii="Arial" w:hAnsi="Arial" w:cs="Arial"/>
          <w:iCs/>
        </w:rPr>
        <w:t>Finance</w:t>
      </w:r>
      <w:r w:rsidR="003A495F">
        <w:rPr>
          <w:rFonts w:ascii="Arial" w:hAnsi="Arial" w:cs="Arial"/>
          <w:iCs/>
        </w:rPr>
        <w:t xml:space="preserve"> (Finance and Management); MSc Finance (International Accounting)</w:t>
      </w:r>
    </w:p>
    <w:p w14:paraId="671AB754" w14:textId="6A74C35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99C61C" w14:textId="3DC6074A" w:rsidR="00DC0045" w:rsidRPr="00DC0045" w:rsidRDefault="00DC0045" w:rsidP="00DC0045">
      <w:pPr>
        <w:spacing w:after="0" w:line="240" w:lineRule="auto"/>
        <w:ind w:left="567" w:right="260"/>
        <w:rPr>
          <w:rFonts w:ascii="Arial" w:hAnsi="Arial" w:cs="Arial"/>
        </w:rPr>
      </w:pPr>
      <w:r>
        <w:rPr>
          <w:rFonts w:ascii="Arial" w:hAnsi="Arial" w:cs="Arial"/>
        </w:rPr>
        <w:t xml:space="preserve">8.1 </w:t>
      </w:r>
      <w:r w:rsidRPr="00DC0045">
        <w:rPr>
          <w:rFonts w:ascii="Arial" w:hAnsi="Arial" w:cs="Arial"/>
        </w:rPr>
        <w:t>Understand how exchanges and other financial markets operate</w:t>
      </w:r>
      <w:r>
        <w:rPr>
          <w:rFonts w:ascii="Arial" w:hAnsi="Arial" w:cs="Arial"/>
        </w:rPr>
        <w:t>.</w:t>
      </w:r>
    </w:p>
    <w:p w14:paraId="7B520F96" w14:textId="3A90A3FA" w:rsidR="00DC0045" w:rsidRPr="00DC0045" w:rsidRDefault="00DC0045" w:rsidP="00DC0045">
      <w:pPr>
        <w:spacing w:after="0" w:line="240" w:lineRule="auto"/>
        <w:ind w:left="567" w:right="260"/>
        <w:rPr>
          <w:rFonts w:ascii="Arial" w:hAnsi="Arial" w:cs="Arial"/>
        </w:rPr>
      </w:pPr>
      <w:r>
        <w:rPr>
          <w:rFonts w:ascii="Arial" w:hAnsi="Arial" w:cs="Arial"/>
        </w:rPr>
        <w:t xml:space="preserve">8.2 </w:t>
      </w:r>
      <w:r w:rsidRPr="00DC0045">
        <w:rPr>
          <w:rFonts w:ascii="Arial" w:hAnsi="Arial" w:cs="Arial"/>
        </w:rPr>
        <w:t>Compare the range of financial instruments being offered through the financial markets and for what purpose</w:t>
      </w:r>
      <w:r>
        <w:rPr>
          <w:rFonts w:ascii="Arial" w:hAnsi="Arial" w:cs="Arial"/>
        </w:rPr>
        <w:t>.</w:t>
      </w:r>
    </w:p>
    <w:p w14:paraId="162CF185" w14:textId="53331CFE" w:rsidR="00DC0045" w:rsidRPr="00DC0045" w:rsidRDefault="00DC0045" w:rsidP="00DC0045">
      <w:pPr>
        <w:spacing w:after="0" w:line="240" w:lineRule="auto"/>
        <w:ind w:left="567" w:right="260"/>
        <w:rPr>
          <w:rFonts w:ascii="Arial" w:hAnsi="Arial" w:cs="Arial"/>
        </w:rPr>
      </w:pPr>
      <w:r>
        <w:rPr>
          <w:rFonts w:ascii="Arial" w:hAnsi="Arial" w:cs="Arial"/>
        </w:rPr>
        <w:t xml:space="preserve">8.3 </w:t>
      </w:r>
      <w:r w:rsidRPr="00DC0045">
        <w:rPr>
          <w:rFonts w:ascii="Arial" w:hAnsi="Arial" w:cs="Arial"/>
        </w:rPr>
        <w:t>Critically discuss the differences between financial markets in different countries</w:t>
      </w:r>
      <w:r>
        <w:rPr>
          <w:rFonts w:ascii="Arial" w:hAnsi="Arial" w:cs="Arial"/>
        </w:rPr>
        <w:t>.</w:t>
      </w:r>
    </w:p>
    <w:p w14:paraId="553A30E4" w14:textId="52DC1547" w:rsidR="00DC0045" w:rsidRPr="00DC0045" w:rsidRDefault="00DC0045" w:rsidP="00DC0045">
      <w:pPr>
        <w:spacing w:after="0" w:line="240" w:lineRule="auto"/>
        <w:ind w:left="567" w:right="260"/>
        <w:rPr>
          <w:rFonts w:ascii="Arial" w:hAnsi="Arial" w:cs="Arial"/>
        </w:rPr>
      </w:pPr>
      <w:r>
        <w:rPr>
          <w:rFonts w:ascii="Arial" w:hAnsi="Arial" w:cs="Arial"/>
        </w:rPr>
        <w:t xml:space="preserve">8.4 </w:t>
      </w:r>
      <w:r w:rsidRPr="00DC0045">
        <w:rPr>
          <w:rFonts w:ascii="Arial" w:hAnsi="Arial" w:cs="Arial"/>
        </w:rPr>
        <w:t>Understand the constraints of similar financial instruments in different countries</w:t>
      </w:r>
      <w:r>
        <w:rPr>
          <w:rFonts w:ascii="Arial" w:hAnsi="Arial" w:cs="Arial"/>
        </w:rPr>
        <w:t>.</w:t>
      </w:r>
    </w:p>
    <w:p w14:paraId="34726FCC" w14:textId="74CFDF2C" w:rsidR="00DC0045" w:rsidRPr="00DC0045" w:rsidRDefault="00DC0045" w:rsidP="00DC0045">
      <w:pPr>
        <w:spacing w:after="0" w:line="240" w:lineRule="auto"/>
        <w:ind w:left="567" w:right="260"/>
        <w:rPr>
          <w:rFonts w:ascii="Arial" w:hAnsi="Arial" w:cs="Arial"/>
        </w:rPr>
      </w:pPr>
      <w:r>
        <w:rPr>
          <w:rFonts w:ascii="Arial" w:hAnsi="Arial" w:cs="Arial"/>
        </w:rPr>
        <w:t xml:space="preserve">8.5 </w:t>
      </w:r>
      <w:r w:rsidRPr="00DC0045">
        <w:rPr>
          <w:rFonts w:ascii="Arial" w:hAnsi="Arial" w:cs="Arial"/>
        </w:rPr>
        <w:t xml:space="preserve">Select the appropriate financial instrument for the needs of </w:t>
      </w:r>
      <w:r>
        <w:rPr>
          <w:rFonts w:ascii="Arial" w:hAnsi="Arial" w:cs="Arial"/>
        </w:rPr>
        <w:t>a bank or multinational company.</w:t>
      </w:r>
    </w:p>
    <w:p w14:paraId="1C75EF77" w14:textId="36B8B075" w:rsidR="00DC0045" w:rsidRPr="00DC0045" w:rsidRDefault="00DC0045" w:rsidP="00DC0045">
      <w:pPr>
        <w:spacing w:after="0" w:line="240" w:lineRule="auto"/>
        <w:ind w:left="567" w:right="260"/>
        <w:rPr>
          <w:rFonts w:ascii="Arial" w:hAnsi="Arial" w:cs="Arial"/>
        </w:rPr>
      </w:pPr>
      <w:r>
        <w:rPr>
          <w:rFonts w:ascii="Arial" w:hAnsi="Arial" w:cs="Arial"/>
        </w:rPr>
        <w:t xml:space="preserve">8.6 </w:t>
      </w:r>
      <w:r w:rsidRPr="00DC0045">
        <w:rPr>
          <w:rFonts w:ascii="Arial" w:hAnsi="Arial" w:cs="Arial"/>
        </w:rPr>
        <w:t>Propose solutions for identification of the advantages and disadvantages associated with particular financial instruments from a managerial perspective</w:t>
      </w:r>
      <w:r>
        <w:rPr>
          <w:rFonts w:ascii="Arial" w:hAnsi="Arial" w:cs="Arial"/>
        </w:rPr>
        <w:t>.</w:t>
      </w:r>
    </w:p>
    <w:p w14:paraId="3DFAE0D7" w14:textId="77777777" w:rsidR="00916009" w:rsidRPr="0016528D" w:rsidRDefault="00916009" w:rsidP="00916009">
      <w:pPr>
        <w:spacing w:after="0" w:line="240" w:lineRule="auto"/>
        <w:ind w:left="567" w:right="260"/>
        <w:rPr>
          <w:rFonts w:ascii="Arial" w:hAnsi="Arial" w:cs="Arial"/>
        </w:rPr>
      </w:pPr>
    </w:p>
    <w:p w14:paraId="0F260B2D" w14:textId="182C982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163279" w14:textId="70C1C657" w:rsidR="00DC0045" w:rsidRPr="00DC0045" w:rsidRDefault="00DC0045" w:rsidP="00DC0045">
      <w:pPr>
        <w:spacing w:after="0" w:line="240" w:lineRule="auto"/>
        <w:ind w:left="567" w:right="260"/>
        <w:rPr>
          <w:rFonts w:ascii="Arial" w:hAnsi="Arial" w:cs="Arial"/>
        </w:rPr>
      </w:pPr>
      <w:r>
        <w:rPr>
          <w:rFonts w:ascii="Arial" w:hAnsi="Arial" w:cs="Arial"/>
        </w:rPr>
        <w:t xml:space="preserve">9.1 </w:t>
      </w:r>
      <w:r w:rsidRPr="00DC0045">
        <w:rPr>
          <w:rFonts w:ascii="Arial" w:hAnsi="Arial" w:cs="Arial"/>
        </w:rPr>
        <w:t>S</w:t>
      </w:r>
      <w:r>
        <w:rPr>
          <w:rFonts w:ascii="Arial" w:hAnsi="Arial" w:cs="Arial"/>
        </w:rPr>
        <w:t>olve complex financial problems.</w:t>
      </w:r>
    </w:p>
    <w:p w14:paraId="759B1575" w14:textId="2231D33A" w:rsidR="00DC0045" w:rsidRPr="00DC0045" w:rsidRDefault="00DC0045" w:rsidP="00DC0045">
      <w:pPr>
        <w:spacing w:after="0" w:line="240" w:lineRule="auto"/>
        <w:ind w:left="567" w:right="260"/>
        <w:rPr>
          <w:rFonts w:ascii="Arial" w:hAnsi="Arial" w:cs="Arial"/>
        </w:rPr>
      </w:pPr>
      <w:r>
        <w:rPr>
          <w:rFonts w:ascii="Arial" w:hAnsi="Arial" w:cs="Arial"/>
        </w:rPr>
        <w:t>9.2 Demonstrate analytical skills.</w:t>
      </w:r>
    </w:p>
    <w:p w14:paraId="599330F9" w14:textId="7B119817" w:rsidR="00DC0045" w:rsidRPr="00DC0045" w:rsidRDefault="00DC0045" w:rsidP="00DC0045">
      <w:pPr>
        <w:spacing w:after="0" w:line="240" w:lineRule="auto"/>
        <w:ind w:left="567" w:right="260"/>
        <w:rPr>
          <w:rFonts w:ascii="Arial" w:hAnsi="Arial" w:cs="Arial"/>
        </w:rPr>
      </w:pPr>
      <w:r>
        <w:rPr>
          <w:rFonts w:ascii="Arial" w:hAnsi="Arial" w:cs="Arial"/>
        </w:rPr>
        <w:t xml:space="preserve">9.3 </w:t>
      </w:r>
      <w:r w:rsidRPr="00DC0045">
        <w:rPr>
          <w:rFonts w:ascii="Arial" w:hAnsi="Arial" w:cs="Arial"/>
        </w:rPr>
        <w:t>Plan work and study independently and make use of the relevant resources in a way which reflects best current practices and anticipated future practice</w:t>
      </w:r>
      <w:r>
        <w:rPr>
          <w:rFonts w:ascii="Arial" w:hAnsi="Arial" w:cs="Arial"/>
        </w:rPr>
        <w:t>.</w:t>
      </w:r>
    </w:p>
    <w:p w14:paraId="7ECAA9E1" w14:textId="3C6CAEB5" w:rsidR="00DC0045" w:rsidRPr="00DC0045" w:rsidRDefault="00DC0045" w:rsidP="00DC0045">
      <w:pPr>
        <w:spacing w:after="0" w:line="240" w:lineRule="auto"/>
        <w:ind w:left="567" w:right="260"/>
        <w:rPr>
          <w:rFonts w:ascii="Arial" w:hAnsi="Arial" w:cs="Arial"/>
        </w:rPr>
      </w:pPr>
      <w:r>
        <w:rPr>
          <w:rFonts w:ascii="Arial" w:hAnsi="Arial" w:cs="Arial"/>
        </w:rPr>
        <w:t xml:space="preserve">9.4 </w:t>
      </w:r>
      <w:r w:rsidRPr="00DC0045">
        <w:rPr>
          <w:rFonts w:ascii="Arial" w:hAnsi="Arial" w:cs="Arial"/>
        </w:rPr>
        <w:t>Demonstrate numeracy, quantitat</w:t>
      </w:r>
      <w:r>
        <w:rPr>
          <w:rFonts w:ascii="Arial" w:hAnsi="Arial" w:cs="Arial"/>
        </w:rPr>
        <w:t>ive and academic writing skills.</w:t>
      </w:r>
    </w:p>
    <w:p w14:paraId="01D575CC" w14:textId="09EAA3C4" w:rsidR="00DC0045" w:rsidRPr="00DC0045" w:rsidRDefault="00DC0045" w:rsidP="00DC0045">
      <w:pPr>
        <w:spacing w:after="0" w:line="240" w:lineRule="auto"/>
        <w:ind w:left="567" w:right="260"/>
        <w:rPr>
          <w:rFonts w:ascii="Arial" w:hAnsi="Arial" w:cs="Arial"/>
        </w:rPr>
      </w:pPr>
      <w:r>
        <w:rPr>
          <w:rFonts w:ascii="Arial" w:hAnsi="Arial" w:cs="Arial"/>
        </w:rPr>
        <w:t xml:space="preserve">9.5 </w:t>
      </w:r>
      <w:r w:rsidRPr="00DC0045">
        <w:rPr>
          <w:rFonts w:ascii="Arial" w:hAnsi="Arial" w:cs="Arial"/>
        </w:rPr>
        <w:t>Communicate effectively using appropriate media</w:t>
      </w:r>
      <w:r>
        <w:rPr>
          <w:rFonts w:ascii="Arial" w:hAnsi="Arial" w:cs="Arial"/>
        </w:rPr>
        <w:t>.</w:t>
      </w:r>
    </w:p>
    <w:p w14:paraId="3DC4C0DE" w14:textId="77777777" w:rsidR="00916009" w:rsidRPr="00916009" w:rsidRDefault="00916009" w:rsidP="00916009">
      <w:pPr>
        <w:spacing w:after="0" w:line="240" w:lineRule="auto"/>
        <w:ind w:left="567" w:right="260"/>
        <w:rPr>
          <w:rFonts w:ascii="Arial" w:hAnsi="Arial" w:cs="Arial"/>
        </w:rPr>
      </w:pPr>
    </w:p>
    <w:p w14:paraId="1EBB1517" w14:textId="285D9C2E"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12F982" w14:textId="77777777" w:rsidR="00DC0045" w:rsidRPr="00DC0045" w:rsidRDefault="00DC0045" w:rsidP="00DC0045">
      <w:pPr>
        <w:spacing w:before="60" w:after="60" w:line="240" w:lineRule="auto"/>
        <w:ind w:left="567" w:right="-330"/>
        <w:rPr>
          <w:rFonts w:ascii="Arial" w:hAnsi="Arial" w:cs="Arial"/>
          <w:iCs/>
        </w:rPr>
      </w:pPr>
      <w:r w:rsidRPr="00EA10E0">
        <w:rPr>
          <w:rFonts w:ascii="Arial" w:hAnsi="Arial" w:cs="Arial"/>
          <w:iCs/>
        </w:rPr>
        <w:t>Indicative topics are:</w:t>
      </w:r>
    </w:p>
    <w:p w14:paraId="24427DC7" w14:textId="6D0798DE" w:rsidR="00DC0045" w:rsidRPr="00DC0045" w:rsidRDefault="00DC0045" w:rsidP="00DC0045">
      <w:pPr>
        <w:pStyle w:val="ListParagraph"/>
        <w:numPr>
          <w:ilvl w:val="1"/>
          <w:numId w:val="29"/>
        </w:numPr>
        <w:spacing w:before="60" w:after="60" w:line="240" w:lineRule="auto"/>
        <w:ind w:right="-330"/>
        <w:rPr>
          <w:rFonts w:ascii="Arial" w:hAnsi="Arial" w:cs="Arial"/>
          <w:iCs/>
        </w:rPr>
      </w:pPr>
      <w:r w:rsidRPr="00DC0045">
        <w:rPr>
          <w:rFonts w:ascii="Arial" w:hAnsi="Arial" w:cs="Arial"/>
          <w:iCs/>
        </w:rPr>
        <w:t>Financial markets and their role for economic activity</w:t>
      </w:r>
    </w:p>
    <w:p w14:paraId="25DFFB95" w14:textId="5634E87B" w:rsidR="00DC0045" w:rsidRPr="00DC0045" w:rsidRDefault="00DC0045" w:rsidP="00DC0045">
      <w:pPr>
        <w:pStyle w:val="ListParagraph"/>
        <w:numPr>
          <w:ilvl w:val="1"/>
          <w:numId w:val="29"/>
        </w:numPr>
        <w:spacing w:before="60" w:after="60" w:line="240" w:lineRule="auto"/>
        <w:ind w:right="-330"/>
        <w:rPr>
          <w:rFonts w:ascii="Arial" w:hAnsi="Arial" w:cs="Arial"/>
          <w:iCs/>
        </w:rPr>
      </w:pPr>
      <w:r w:rsidRPr="00DC0045">
        <w:rPr>
          <w:rFonts w:ascii="Arial" w:hAnsi="Arial" w:cs="Arial"/>
          <w:iCs/>
        </w:rPr>
        <w:t xml:space="preserve">Historical overview of financial markets </w:t>
      </w:r>
    </w:p>
    <w:p w14:paraId="1CC35720" w14:textId="297B135B" w:rsidR="00DC0045" w:rsidRPr="00DC0045" w:rsidRDefault="00DC0045" w:rsidP="00DC0045">
      <w:pPr>
        <w:pStyle w:val="ListParagraph"/>
        <w:numPr>
          <w:ilvl w:val="1"/>
          <w:numId w:val="29"/>
        </w:numPr>
        <w:spacing w:before="60" w:after="60" w:line="240" w:lineRule="auto"/>
        <w:ind w:right="-330"/>
        <w:rPr>
          <w:rFonts w:ascii="Arial" w:hAnsi="Arial" w:cs="Arial"/>
          <w:iCs/>
        </w:rPr>
      </w:pPr>
      <w:r w:rsidRPr="00DC0045">
        <w:rPr>
          <w:rFonts w:ascii="Arial" w:hAnsi="Arial" w:cs="Arial"/>
          <w:iCs/>
        </w:rPr>
        <w:t>Financial markets in US, UK, Europe and Japan</w:t>
      </w:r>
    </w:p>
    <w:p w14:paraId="0CF231DB" w14:textId="761D96B0" w:rsidR="00DC0045" w:rsidRPr="00DC0045" w:rsidRDefault="00DC0045" w:rsidP="00DC0045">
      <w:pPr>
        <w:pStyle w:val="ListParagraph"/>
        <w:numPr>
          <w:ilvl w:val="1"/>
          <w:numId w:val="29"/>
        </w:numPr>
        <w:spacing w:before="60" w:after="60" w:line="240" w:lineRule="auto"/>
        <w:ind w:right="-330"/>
        <w:rPr>
          <w:rFonts w:ascii="Arial" w:hAnsi="Arial" w:cs="Arial"/>
          <w:iCs/>
        </w:rPr>
      </w:pPr>
      <w:r w:rsidRPr="00DC0045">
        <w:rPr>
          <w:rFonts w:ascii="Arial" w:hAnsi="Arial" w:cs="Arial"/>
          <w:iCs/>
        </w:rPr>
        <w:t>Emerging financial markets (BRICS)</w:t>
      </w:r>
    </w:p>
    <w:p w14:paraId="426F601F" w14:textId="53DA8F2F" w:rsidR="00DC0045" w:rsidRPr="00DC0045" w:rsidRDefault="00DC0045" w:rsidP="00DC0045">
      <w:pPr>
        <w:pStyle w:val="ListParagraph"/>
        <w:numPr>
          <w:ilvl w:val="1"/>
          <w:numId w:val="29"/>
        </w:numPr>
        <w:spacing w:before="60" w:after="60" w:line="240" w:lineRule="auto"/>
        <w:ind w:right="-330"/>
        <w:rPr>
          <w:rFonts w:ascii="Arial" w:hAnsi="Arial" w:cs="Arial"/>
          <w:iCs/>
        </w:rPr>
      </w:pPr>
      <w:r w:rsidRPr="00DC0045">
        <w:rPr>
          <w:rFonts w:ascii="Arial" w:hAnsi="Arial" w:cs="Arial"/>
          <w:iCs/>
        </w:rPr>
        <w:t>Equity</w:t>
      </w:r>
    </w:p>
    <w:p w14:paraId="45C75CA1" w14:textId="5E5FF623" w:rsidR="00DC0045" w:rsidRPr="00DC0045" w:rsidRDefault="00DC0045" w:rsidP="00DC0045">
      <w:pPr>
        <w:pStyle w:val="ListParagraph"/>
        <w:numPr>
          <w:ilvl w:val="1"/>
          <w:numId w:val="29"/>
        </w:numPr>
        <w:spacing w:before="60" w:after="60" w:line="240" w:lineRule="auto"/>
        <w:ind w:right="-330"/>
        <w:rPr>
          <w:rFonts w:ascii="Arial" w:hAnsi="Arial" w:cs="Arial"/>
          <w:iCs/>
        </w:rPr>
      </w:pPr>
      <w:r w:rsidRPr="00DC0045">
        <w:rPr>
          <w:rFonts w:ascii="Arial" w:hAnsi="Arial" w:cs="Arial"/>
          <w:iCs/>
        </w:rPr>
        <w:t xml:space="preserve">Bonds </w:t>
      </w:r>
    </w:p>
    <w:p w14:paraId="0C395E63" w14:textId="4776202D" w:rsidR="00DC0045" w:rsidRPr="00DC0045" w:rsidRDefault="00DC0045" w:rsidP="00DC0045">
      <w:pPr>
        <w:pStyle w:val="ListParagraph"/>
        <w:numPr>
          <w:ilvl w:val="1"/>
          <w:numId w:val="29"/>
        </w:numPr>
        <w:spacing w:before="60" w:after="60" w:line="240" w:lineRule="auto"/>
        <w:ind w:right="-330"/>
        <w:rPr>
          <w:rFonts w:ascii="Arial" w:hAnsi="Arial" w:cs="Arial"/>
          <w:iCs/>
        </w:rPr>
      </w:pPr>
      <w:r w:rsidRPr="00DC0045">
        <w:rPr>
          <w:rFonts w:ascii="Arial" w:hAnsi="Arial" w:cs="Arial"/>
          <w:iCs/>
        </w:rPr>
        <w:t>Derivatives</w:t>
      </w:r>
    </w:p>
    <w:p w14:paraId="0FE6C3E6" w14:textId="4B5A3347" w:rsidR="00DC0045" w:rsidRPr="00DC0045" w:rsidRDefault="00DC0045" w:rsidP="00DC0045">
      <w:pPr>
        <w:pStyle w:val="ListParagraph"/>
        <w:numPr>
          <w:ilvl w:val="1"/>
          <w:numId w:val="29"/>
        </w:numPr>
        <w:spacing w:before="60" w:after="60" w:line="240" w:lineRule="auto"/>
        <w:ind w:right="-330"/>
        <w:rPr>
          <w:rFonts w:ascii="Arial" w:hAnsi="Arial" w:cs="Arial"/>
          <w:iCs/>
        </w:rPr>
      </w:pPr>
      <w:r w:rsidRPr="00DC0045">
        <w:rPr>
          <w:rFonts w:ascii="Arial" w:hAnsi="Arial" w:cs="Arial"/>
          <w:iCs/>
        </w:rPr>
        <w:t>Alternative Investments</w:t>
      </w:r>
    </w:p>
    <w:p w14:paraId="22F6106B" w14:textId="49604D88" w:rsidR="00DC0045" w:rsidRPr="00DC0045" w:rsidRDefault="00DC0045" w:rsidP="00DC0045">
      <w:pPr>
        <w:pStyle w:val="ListParagraph"/>
        <w:numPr>
          <w:ilvl w:val="1"/>
          <w:numId w:val="29"/>
        </w:numPr>
        <w:spacing w:before="60" w:after="60" w:line="240" w:lineRule="auto"/>
        <w:ind w:right="-330"/>
        <w:rPr>
          <w:rFonts w:ascii="Arial" w:hAnsi="Arial" w:cs="Arial"/>
          <w:iCs/>
        </w:rPr>
      </w:pPr>
      <w:r w:rsidRPr="00DC0045">
        <w:rPr>
          <w:rFonts w:ascii="Arial" w:hAnsi="Arial" w:cs="Arial"/>
          <w:iCs/>
        </w:rPr>
        <w:t>Credit Markets</w:t>
      </w:r>
    </w:p>
    <w:p w14:paraId="54E0A5BF" w14:textId="5F7DCB23" w:rsidR="00DC0045" w:rsidRPr="00DC0045" w:rsidRDefault="00DC0045" w:rsidP="00DC0045">
      <w:pPr>
        <w:pStyle w:val="ListParagraph"/>
        <w:numPr>
          <w:ilvl w:val="1"/>
          <w:numId w:val="29"/>
        </w:numPr>
        <w:spacing w:before="60" w:after="60" w:line="240" w:lineRule="auto"/>
        <w:ind w:right="-330"/>
        <w:rPr>
          <w:rFonts w:ascii="Arial" w:hAnsi="Arial" w:cs="Arial"/>
          <w:iCs/>
        </w:rPr>
      </w:pPr>
      <w:r w:rsidRPr="00DC0045">
        <w:rPr>
          <w:rFonts w:ascii="Arial" w:hAnsi="Arial" w:cs="Arial"/>
          <w:iCs/>
        </w:rPr>
        <w:t xml:space="preserve">Asset Backed Securities and securitization </w:t>
      </w:r>
    </w:p>
    <w:p w14:paraId="4943782A" w14:textId="6BAB9115" w:rsidR="00DC0045" w:rsidRPr="00DC0045" w:rsidRDefault="00DC0045" w:rsidP="00DC0045">
      <w:pPr>
        <w:pStyle w:val="ListParagraph"/>
        <w:numPr>
          <w:ilvl w:val="1"/>
          <w:numId w:val="29"/>
        </w:numPr>
        <w:spacing w:before="60" w:after="60" w:line="240" w:lineRule="auto"/>
        <w:ind w:right="-330"/>
        <w:rPr>
          <w:rFonts w:ascii="Arial" w:hAnsi="Arial" w:cs="Arial"/>
          <w:iCs/>
        </w:rPr>
      </w:pPr>
      <w:r w:rsidRPr="00DC0045">
        <w:rPr>
          <w:rFonts w:ascii="Arial" w:hAnsi="Arial" w:cs="Arial"/>
          <w:iCs/>
        </w:rPr>
        <w:t>Energy markets (oil, gas, CO2, weather, electricity)</w:t>
      </w:r>
    </w:p>
    <w:p w14:paraId="48526A0C" w14:textId="00F4E239" w:rsidR="00423AC5" w:rsidRPr="00DC0045" w:rsidRDefault="00DC0045" w:rsidP="00DC0045">
      <w:pPr>
        <w:pStyle w:val="ListParagraph"/>
        <w:numPr>
          <w:ilvl w:val="1"/>
          <w:numId w:val="29"/>
        </w:numPr>
        <w:spacing w:before="60" w:after="60" w:line="240" w:lineRule="auto"/>
        <w:ind w:right="-330"/>
        <w:rPr>
          <w:rFonts w:ascii="Arial" w:hAnsi="Arial" w:cs="Arial"/>
          <w:i/>
          <w:iCs/>
          <w:sz w:val="20"/>
          <w:szCs w:val="20"/>
        </w:rPr>
      </w:pPr>
      <w:r w:rsidRPr="00DC0045">
        <w:rPr>
          <w:rFonts w:ascii="Arial" w:hAnsi="Arial" w:cs="Arial"/>
          <w:iCs/>
        </w:rPr>
        <w:lastRenderedPageBreak/>
        <w:t>Exchange rate markets</w:t>
      </w:r>
      <w:r w:rsidR="00916009" w:rsidRPr="00DC0045">
        <w:rPr>
          <w:rFonts w:ascii="Arial" w:hAnsi="Arial" w:cs="Arial"/>
          <w:iCs/>
        </w:rPr>
        <w:br/>
      </w:r>
    </w:p>
    <w:p w14:paraId="7701B145" w14:textId="64FB736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10E70F" w14:textId="445F3968" w:rsidR="00DC0045" w:rsidRPr="00DC0045" w:rsidRDefault="00DC0045" w:rsidP="00DC0045">
      <w:pPr>
        <w:spacing w:after="0" w:line="240" w:lineRule="auto"/>
        <w:ind w:left="567" w:right="260"/>
        <w:jc w:val="both"/>
        <w:rPr>
          <w:rFonts w:ascii="Arial" w:hAnsi="Arial" w:cs="Arial"/>
        </w:rPr>
      </w:pPr>
      <w:r w:rsidRPr="00DC0045">
        <w:rPr>
          <w:rFonts w:ascii="Arial" w:hAnsi="Arial" w:cs="Arial"/>
        </w:rPr>
        <w:t>Chacko,</w:t>
      </w:r>
      <w:r w:rsidR="00EA10E0">
        <w:rPr>
          <w:rFonts w:ascii="Arial" w:hAnsi="Arial" w:cs="Arial"/>
        </w:rPr>
        <w:t xml:space="preserve"> G.</w:t>
      </w:r>
      <w:r w:rsidRPr="00DC0045">
        <w:rPr>
          <w:rFonts w:ascii="Arial" w:hAnsi="Arial" w:cs="Arial"/>
        </w:rPr>
        <w:t xml:space="preserve"> Dessain,</w:t>
      </w:r>
      <w:r w:rsidR="00EA10E0">
        <w:rPr>
          <w:rFonts w:ascii="Arial" w:hAnsi="Arial" w:cs="Arial"/>
        </w:rPr>
        <w:t xml:space="preserve"> V.</w:t>
      </w:r>
      <w:r w:rsidRPr="00DC0045">
        <w:rPr>
          <w:rFonts w:ascii="Arial" w:hAnsi="Arial" w:cs="Arial"/>
        </w:rPr>
        <w:t xml:space="preserve"> </w:t>
      </w:r>
      <w:r w:rsidR="00EA10E0">
        <w:rPr>
          <w:rFonts w:ascii="Arial" w:hAnsi="Arial" w:cs="Arial"/>
        </w:rPr>
        <w:t>H</w:t>
      </w:r>
      <w:r w:rsidRPr="00DC0045">
        <w:rPr>
          <w:rFonts w:ascii="Arial" w:hAnsi="Arial" w:cs="Arial"/>
        </w:rPr>
        <w:t>echt,</w:t>
      </w:r>
      <w:r w:rsidR="00EA10E0">
        <w:rPr>
          <w:rFonts w:ascii="Arial" w:hAnsi="Arial" w:cs="Arial"/>
        </w:rPr>
        <w:t xml:space="preserve"> P. and </w:t>
      </w:r>
      <w:r w:rsidRPr="00DC0045">
        <w:rPr>
          <w:rFonts w:ascii="Arial" w:hAnsi="Arial" w:cs="Arial"/>
        </w:rPr>
        <w:t>Sjoman</w:t>
      </w:r>
      <w:r w:rsidR="00EA10E0">
        <w:rPr>
          <w:rFonts w:ascii="Arial" w:hAnsi="Arial" w:cs="Arial"/>
        </w:rPr>
        <w:t xml:space="preserve">, A. </w:t>
      </w:r>
      <w:r w:rsidRPr="00DC0045">
        <w:rPr>
          <w:rFonts w:ascii="Arial" w:hAnsi="Arial" w:cs="Arial"/>
        </w:rPr>
        <w:t>(2006), Financial Instruments and Markets:</w:t>
      </w:r>
      <w:r>
        <w:rPr>
          <w:rFonts w:ascii="Arial" w:hAnsi="Arial" w:cs="Arial"/>
        </w:rPr>
        <w:t xml:space="preserve"> A Casebook. Singapore: Wiley.</w:t>
      </w:r>
    </w:p>
    <w:p w14:paraId="13B53EA1" w14:textId="368566E7" w:rsidR="00DC0045" w:rsidRDefault="00DC0045" w:rsidP="00DC0045">
      <w:pPr>
        <w:spacing w:after="0" w:line="240" w:lineRule="auto"/>
        <w:ind w:left="567" w:right="260"/>
        <w:jc w:val="both"/>
        <w:rPr>
          <w:rFonts w:ascii="Arial" w:hAnsi="Arial" w:cs="Arial"/>
        </w:rPr>
      </w:pPr>
      <w:r w:rsidRPr="00DC0045">
        <w:rPr>
          <w:rFonts w:ascii="Arial" w:hAnsi="Arial" w:cs="Arial"/>
        </w:rPr>
        <w:t>Melicher</w:t>
      </w:r>
      <w:r w:rsidR="00EA10E0">
        <w:rPr>
          <w:rFonts w:ascii="Arial" w:hAnsi="Arial" w:cs="Arial"/>
        </w:rPr>
        <w:t>, R.W.</w:t>
      </w:r>
      <w:r w:rsidRPr="00DC0045">
        <w:rPr>
          <w:rFonts w:ascii="Arial" w:hAnsi="Arial" w:cs="Arial"/>
        </w:rPr>
        <w:t xml:space="preserve"> and Norton</w:t>
      </w:r>
      <w:r w:rsidR="00EA10E0">
        <w:rPr>
          <w:rFonts w:ascii="Arial" w:hAnsi="Arial" w:cs="Arial"/>
        </w:rPr>
        <w:t>, E.A.</w:t>
      </w:r>
      <w:r w:rsidRPr="00DC0045">
        <w:rPr>
          <w:rFonts w:ascii="Arial" w:hAnsi="Arial" w:cs="Arial"/>
        </w:rPr>
        <w:t xml:space="preserve"> (2011), Introduction to Finance: Markets, Investments, and Financial Management.</w:t>
      </w:r>
      <w:r>
        <w:rPr>
          <w:rFonts w:ascii="Arial" w:hAnsi="Arial" w:cs="Arial"/>
        </w:rPr>
        <w:t xml:space="preserve">  14th edn.  Singapore: Wiley. </w:t>
      </w:r>
    </w:p>
    <w:p w14:paraId="3DA4D7BB" w14:textId="03F683F8" w:rsidR="007E75E1" w:rsidRPr="007E75E1" w:rsidRDefault="00DC0045" w:rsidP="00DC0045">
      <w:pPr>
        <w:spacing w:after="0" w:line="240" w:lineRule="auto"/>
        <w:ind w:left="567" w:right="260"/>
        <w:jc w:val="both"/>
        <w:rPr>
          <w:rFonts w:ascii="Arial" w:hAnsi="Arial" w:cs="Arial"/>
        </w:rPr>
      </w:pPr>
      <w:r w:rsidRPr="00DC0045">
        <w:rPr>
          <w:rFonts w:ascii="Arial" w:hAnsi="Arial" w:cs="Arial"/>
        </w:rPr>
        <w:tab/>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45A68CA"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3A495F">
        <w:rPr>
          <w:rFonts w:ascii="Arial" w:hAnsi="Arial" w:cs="Arial"/>
          <w:iCs/>
        </w:rPr>
        <w:t>37</w:t>
      </w:r>
    </w:p>
    <w:p w14:paraId="0AB4FB84" w14:textId="7B72E7D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3A495F">
        <w:rPr>
          <w:rFonts w:ascii="Arial" w:hAnsi="Arial" w:cs="Arial"/>
          <w:iCs/>
        </w:rPr>
        <w:t>113</w:t>
      </w:r>
    </w:p>
    <w:p w14:paraId="5C21BC2F" w14:textId="418B7B2D"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E75E1">
        <w:rPr>
          <w:rFonts w:ascii="Arial" w:hAnsi="Arial" w:cs="Arial"/>
          <w:iCs/>
        </w:rPr>
        <w:t xml:space="preserve"> 1</w:t>
      </w:r>
      <w:r w:rsidR="00773AC9">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AC41" w14:textId="02344659" w:rsidR="00C84AED" w:rsidRPr="00CA02C1" w:rsidRDefault="0012366A" w:rsidP="005A437C">
      <w:pPr>
        <w:spacing w:after="120" w:line="240" w:lineRule="auto"/>
        <w:ind w:right="260" w:firstLine="567"/>
        <w:jc w:val="both"/>
        <w:rPr>
          <w:rFonts w:ascii="Arial" w:hAnsi="Arial" w:cs="Arial"/>
          <w:iCs/>
        </w:rPr>
      </w:pPr>
      <w:r>
        <w:rPr>
          <w:rFonts w:ascii="Arial" w:hAnsi="Arial" w:cs="Arial"/>
          <w:iCs/>
        </w:rPr>
        <w:t>Individual essay</w:t>
      </w:r>
      <w:r w:rsidRPr="00CA02C1">
        <w:rPr>
          <w:rFonts w:ascii="Arial" w:hAnsi="Arial" w:cs="Arial"/>
          <w:iCs/>
        </w:rPr>
        <w:t xml:space="preserve"> </w:t>
      </w:r>
      <w:r w:rsidR="00DC0045" w:rsidRPr="00CA02C1">
        <w:rPr>
          <w:rFonts w:ascii="Arial" w:hAnsi="Arial" w:cs="Arial"/>
          <w:iCs/>
        </w:rPr>
        <w:t>(25</w:t>
      </w:r>
      <w:r w:rsidR="00C00301" w:rsidRPr="00CA02C1">
        <w:rPr>
          <w:rFonts w:ascii="Arial" w:hAnsi="Arial" w:cs="Arial"/>
          <w:iCs/>
        </w:rPr>
        <w:t>00 words)</w:t>
      </w:r>
      <w:r w:rsidR="00916009" w:rsidRPr="00CA02C1">
        <w:rPr>
          <w:rFonts w:ascii="Arial" w:hAnsi="Arial" w:cs="Arial"/>
          <w:iCs/>
        </w:rPr>
        <w:t xml:space="preserve"> (3</w:t>
      </w:r>
      <w:r w:rsidR="00B71C07" w:rsidRPr="00CA02C1">
        <w:rPr>
          <w:rFonts w:ascii="Arial" w:hAnsi="Arial" w:cs="Arial"/>
          <w:iCs/>
        </w:rPr>
        <w:t>0%)</w:t>
      </w:r>
    </w:p>
    <w:p w14:paraId="7FFD7CE9" w14:textId="7F1551A0" w:rsidR="007E75E1" w:rsidRPr="00CA02C1" w:rsidRDefault="007E75E1" w:rsidP="005A437C">
      <w:pPr>
        <w:spacing w:after="120" w:line="240" w:lineRule="auto"/>
        <w:ind w:right="260" w:firstLine="567"/>
        <w:jc w:val="both"/>
        <w:rPr>
          <w:rFonts w:ascii="Arial" w:hAnsi="Arial" w:cs="Arial"/>
          <w:iCs/>
        </w:rPr>
      </w:pPr>
      <w:r w:rsidRPr="00CA02C1">
        <w:rPr>
          <w:rFonts w:ascii="Arial" w:hAnsi="Arial" w:cs="Arial"/>
          <w:iCs/>
        </w:rPr>
        <w:t>Examination, 2 hour</w:t>
      </w:r>
      <w:r w:rsidR="00916009" w:rsidRPr="00CA02C1">
        <w:rPr>
          <w:rFonts w:ascii="Arial" w:hAnsi="Arial" w:cs="Arial"/>
          <w:iCs/>
        </w:rPr>
        <w:t xml:space="preserve"> (7</w:t>
      </w:r>
      <w:r w:rsidRPr="00CA02C1">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717BF6E1" w:rsidR="0023070F" w:rsidRPr="00C00301" w:rsidRDefault="00486F32" w:rsidP="00C00301">
      <w:pPr>
        <w:spacing w:after="120"/>
        <w:ind w:left="567" w:hanging="567"/>
        <w:rPr>
          <w:rFonts w:ascii="Arial" w:hAnsi="Arial" w:cs="Arial"/>
          <w:iCs/>
        </w:rPr>
      </w:pPr>
      <w:r>
        <w:rPr>
          <w:rFonts w:ascii="Arial" w:hAnsi="Arial" w:cs="Arial"/>
          <w:iCs/>
        </w:rPr>
        <w:tab/>
      </w:r>
      <w:r w:rsidR="00916009" w:rsidRPr="00916009">
        <w:rPr>
          <w:rFonts w:ascii="Arial" w:hAnsi="Arial" w:cs="Arial"/>
          <w:iCs/>
        </w:rPr>
        <w:t>Like for like</w:t>
      </w:r>
    </w:p>
    <w:p w14:paraId="45DC6BF7" w14:textId="77777777" w:rsidR="00274ED7" w:rsidRPr="00CA02C1" w:rsidRDefault="006F3F8B" w:rsidP="00696FF5">
      <w:pPr>
        <w:numPr>
          <w:ilvl w:val="0"/>
          <w:numId w:val="1"/>
        </w:numPr>
        <w:spacing w:after="120" w:line="240" w:lineRule="auto"/>
        <w:ind w:left="567" w:right="261" w:hanging="567"/>
        <w:jc w:val="both"/>
        <w:rPr>
          <w:rFonts w:ascii="Arial" w:hAnsi="Arial" w:cs="Arial"/>
          <w:b/>
          <w:iCs/>
        </w:rPr>
      </w:pPr>
      <w:r w:rsidRPr="00CA02C1">
        <w:rPr>
          <w:rFonts w:ascii="Arial" w:hAnsi="Arial" w:cs="Arial"/>
          <w:b/>
          <w:iCs/>
        </w:rPr>
        <w:t xml:space="preserve">Map of </w:t>
      </w:r>
      <w:r w:rsidR="00883204" w:rsidRPr="00CA02C1">
        <w:rPr>
          <w:rFonts w:ascii="Arial" w:hAnsi="Arial" w:cs="Arial"/>
          <w:b/>
          <w:iCs/>
        </w:rPr>
        <w:t xml:space="preserve">module learning outcomes </w:t>
      </w:r>
      <w:r w:rsidR="00B30E07" w:rsidRPr="00CA02C1">
        <w:rPr>
          <w:rFonts w:ascii="Arial" w:hAnsi="Arial" w:cs="Arial"/>
          <w:b/>
          <w:iCs/>
        </w:rPr>
        <w:t>(sections 8 &amp; 9)</w:t>
      </w:r>
      <w:r w:rsidR="00883204" w:rsidRPr="00CA02C1">
        <w:rPr>
          <w:rFonts w:ascii="Arial" w:hAnsi="Arial" w:cs="Arial"/>
          <w:b/>
          <w:iCs/>
        </w:rPr>
        <w:t xml:space="preserve"> to l</w:t>
      </w:r>
      <w:r w:rsidRPr="00CA02C1">
        <w:rPr>
          <w:rFonts w:ascii="Arial" w:hAnsi="Arial" w:cs="Arial"/>
          <w:b/>
          <w:iCs/>
        </w:rPr>
        <w:t>earning</w:t>
      </w:r>
      <w:r w:rsidR="00B30E07" w:rsidRPr="00CA02C1">
        <w:rPr>
          <w:rFonts w:ascii="Arial" w:hAnsi="Arial" w:cs="Arial"/>
          <w:b/>
          <w:iCs/>
        </w:rPr>
        <w:t xml:space="preserve"> and </w:t>
      </w:r>
      <w:r w:rsidR="00883204" w:rsidRPr="00CA02C1">
        <w:rPr>
          <w:rFonts w:ascii="Arial" w:hAnsi="Arial" w:cs="Arial"/>
          <w:b/>
          <w:iCs/>
        </w:rPr>
        <w:t>teaching m</w:t>
      </w:r>
      <w:r w:rsidR="00B30E07" w:rsidRPr="00CA02C1">
        <w:rPr>
          <w:rFonts w:ascii="Arial" w:hAnsi="Arial" w:cs="Arial"/>
          <w:b/>
          <w:iCs/>
        </w:rPr>
        <w:t>ethods (section12</w:t>
      </w:r>
      <w:r w:rsidRPr="00CA02C1">
        <w:rPr>
          <w:rFonts w:ascii="Arial" w:hAnsi="Arial" w:cs="Arial"/>
          <w:b/>
          <w:iCs/>
        </w:rPr>
        <w:t>) and m</w:t>
      </w:r>
      <w:r w:rsidR="00883204" w:rsidRPr="00CA02C1">
        <w:rPr>
          <w:rFonts w:ascii="Arial" w:hAnsi="Arial" w:cs="Arial"/>
          <w:b/>
          <w:iCs/>
        </w:rPr>
        <w:t>ethods of a</w:t>
      </w:r>
      <w:r w:rsidR="00B30E07" w:rsidRPr="00CA02C1">
        <w:rPr>
          <w:rFonts w:ascii="Arial" w:hAnsi="Arial" w:cs="Arial"/>
          <w:b/>
          <w:iCs/>
        </w:rPr>
        <w:t>ssessment (section 13</w:t>
      </w:r>
      <w:r w:rsidR="00EF4933" w:rsidRPr="00CA02C1">
        <w:rPr>
          <w:rFonts w:ascii="Arial" w:hAnsi="Arial" w:cs="Arial"/>
          <w:b/>
          <w:iCs/>
        </w:rPr>
        <w:t>)</w:t>
      </w:r>
    </w:p>
    <w:tbl>
      <w:tblPr>
        <w:tblStyle w:val="TableGrid"/>
        <w:tblW w:w="5000" w:type="pct"/>
        <w:tblLook w:val="04A0" w:firstRow="1" w:lastRow="0" w:firstColumn="1" w:lastColumn="0" w:noHBand="0" w:noVBand="1"/>
      </w:tblPr>
      <w:tblGrid>
        <w:gridCol w:w="2301"/>
        <w:gridCol w:w="745"/>
        <w:gridCol w:w="758"/>
        <w:gridCol w:w="744"/>
        <w:gridCol w:w="744"/>
        <w:gridCol w:w="740"/>
        <w:gridCol w:w="740"/>
        <w:gridCol w:w="740"/>
        <w:gridCol w:w="740"/>
        <w:gridCol w:w="736"/>
        <w:gridCol w:w="736"/>
        <w:gridCol w:w="732"/>
      </w:tblGrid>
      <w:tr w:rsidR="00DC0045" w:rsidRPr="00302082" w14:paraId="0E06F96E" w14:textId="7D46C7A2" w:rsidTr="003A495F">
        <w:tc>
          <w:tcPr>
            <w:tcW w:w="1100" w:type="pct"/>
            <w:shd w:val="clear" w:color="auto" w:fill="D9D9D9" w:themeFill="background1" w:themeFillShade="D9"/>
          </w:tcPr>
          <w:p w14:paraId="51BA2A9D" w14:textId="77777777" w:rsidR="00DC0045" w:rsidRPr="00302082" w:rsidRDefault="00DC0045" w:rsidP="009C2029">
            <w:pPr>
              <w:spacing w:after="120"/>
              <w:ind w:left="33"/>
              <w:rPr>
                <w:rFonts w:ascii="Arial" w:hAnsi="Arial" w:cs="Arial"/>
                <w:b/>
              </w:rPr>
            </w:pPr>
            <w:r w:rsidRPr="00302082">
              <w:rPr>
                <w:rFonts w:ascii="Arial" w:hAnsi="Arial" w:cs="Arial"/>
                <w:b/>
              </w:rPr>
              <w:t>Module learning outcome</w:t>
            </w:r>
          </w:p>
        </w:tc>
        <w:tc>
          <w:tcPr>
            <w:tcW w:w="356" w:type="pct"/>
          </w:tcPr>
          <w:p w14:paraId="4EE687A7" w14:textId="77777777" w:rsidR="00DC0045" w:rsidRPr="00302082" w:rsidRDefault="00DC0045" w:rsidP="009C2029">
            <w:pPr>
              <w:spacing w:after="120"/>
              <w:rPr>
                <w:rFonts w:ascii="Arial" w:hAnsi="Arial" w:cs="Arial"/>
                <w:i/>
              </w:rPr>
            </w:pPr>
            <w:r w:rsidRPr="00302082">
              <w:rPr>
                <w:rFonts w:ascii="Arial" w:hAnsi="Arial" w:cs="Arial"/>
                <w:i/>
              </w:rPr>
              <w:t>8.1</w:t>
            </w:r>
          </w:p>
        </w:tc>
        <w:tc>
          <w:tcPr>
            <w:tcW w:w="362" w:type="pct"/>
          </w:tcPr>
          <w:p w14:paraId="7CEEE3B6" w14:textId="77777777" w:rsidR="00DC0045" w:rsidRPr="00302082" w:rsidRDefault="00DC0045" w:rsidP="009C2029">
            <w:pPr>
              <w:spacing w:after="120"/>
              <w:rPr>
                <w:rFonts w:ascii="Arial" w:hAnsi="Arial" w:cs="Arial"/>
                <w:i/>
              </w:rPr>
            </w:pPr>
            <w:r w:rsidRPr="00302082">
              <w:rPr>
                <w:rFonts w:ascii="Arial" w:hAnsi="Arial" w:cs="Arial"/>
                <w:i/>
              </w:rPr>
              <w:t>8.2</w:t>
            </w:r>
          </w:p>
        </w:tc>
        <w:tc>
          <w:tcPr>
            <w:tcW w:w="356" w:type="pct"/>
          </w:tcPr>
          <w:p w14:paraId="73A2B958" w14:textId="77777777" w:rsidR="00DC0045" w:rsidRPr="00302082" w:rsidRDefault="00DC0045" w:rsidP="009C2029">
            <w:pPr>
              <w:spacing w:after="120"/>
              <w:rPr>
                <w:rFonts w:ascii="Arial" w:hAnsi="Arial" w:cs="Arial"/>
                <w:i/>
              </w:rPr>
            </w:pPr>
            <w:r w:rsidRPr="00302082">
              <w:rPr>
                <w:rFonts w:ascii="Arial" w:hAnsi="Arial" w:cs="Arial"/>
                <w:i/>
              </w:rPr>
              <w:t>8.3</w:t>
            </w:r>
          </w:p>
        </w:tc>
        <w:tc>
          <w:tcPr>
            <w:tcW w:w="356" w:type="pct"/>
          </w:tcPr>
          <w:p w14:paraId="44AD6B77" w14:textId="77777777" w:rsidR="00DC0045" w:rsidRPr="00302082" w:rsidRDefault="00DC0045" w:rsidP="009C2029">
            <w:pPr>
              <w:spacing w:after="120"/>
              <w:rPr>
                <w:rFonts w:ascii="Arial" w:hAnsi="Arial" w:cs="Arial"/>
                <w:i/>
              </w:rPr>
            </w:pPr>
            <w:r w:rsidRPr="00302082">
              <w:rPr>
                <w:rFonts w:ascii="Arial" w:hAnsi="Arial" w:cs="Arial"/>
                <w:i/>
              </w:rPr>
              <w:t>8.4</w:t>
            </w:r>
          </w:p>
        </w:tc>
        <w:tc>
          <w:tcPr>
            <w:tcW w:w="354" w:type="pct"/>
          </w:tcPr>
          <w:p w14:paraId="4C008FDE" w14:textId="77777777" w:rsidR="00DC0045" w:rsidRPr="00302082" w:rsidRDefault="00DC0045" w:rsidP="009C2029">
            <w:pPr>
              <w:spacing w:after="120"/>
              <w:rPr>
                <w:rFonts w:ascii="Arial" w:hAnsi="Arial" w:cs="Arial"/>
                <w:i/>
              </w:rPr>
            </w:pPr>
            <w:r w:rsidRPr="00302082">
              <w:rPr>
                <w:rFonts w:ascii="Arial" w:hAnsi="Arial" w:cs="Arial"/>
                <w:i/>
              </w:rPr>
              <w:t>8.5</w:t>
            </w:r>
          </w:p>
        </w:tc>
        <w:tc>
          <w:tcPr>
            <w:tcW w:w="354" w:type="pct"/>
          </w:tcPr>
          <w:p w14:paraId="243222B2" w14:textId="5BA9351B" w:rsidR="00DC0045" w:rsidRPr="00302082" w:rsidRDefault="00DC0045" w:rsidP="009C2029">
            <w:pPr>
              <w:spacing w:after="120"/>
              <w:rPr>
                <w:rFonts w:ascii="Arial" w:hAnsi="Arial" w:cs="Arial"/>
                <w:i/>
              </w:rPr>
            </w:pPr>
            <w:r>
              <w:rPr>
                <w:rFonts w:ascii="Arial" w:hAnsi="Arial" w:cs="Arial"/>
                <w:i/>
              </w:rPr>
              <w:t>8.6</w:t>
            </w:r>
          </w:p>
        </w:tc>
        <w:tc>
          <w:tcPr>
            <w:tcW w:w="354" w:type="pct"/>
          </w:tcPr>
          <w:p w14:paraId="1B2F5063" w14:textId="2330DA44" w:rsidR="00DC0045" w:rsidRPr="00302082" w:rsidRDefault="00DC0045" w:rsidP="009C2029">
            <w:pPr>
              <w:spacing w:after="120"/>
              <w:rPr>
                <w:rFonts w:ascii="Arial" w:hAnsi="Arial" w:cs="Arial"/>
                <w:i/>
              </w:rPr>
            </w:pPr>
            <w:r w:rsidRPr="00302082">
              <w:rPr>
                <w:rFonts w:ascii="Arial" w:hAnsi="Arial" w:cs="Arial"/>
                <w:i/>
              </w:rPr>
              <w:t>9.1</w:t>
            </w:r>
          </w:p>
        </w:tc>
        <w:tc>
          <w:tcPr>
            <w:tcW w:w="354" w:type="pct"/>
          </w:tcPr>
          <w:p w14:paraId="012B96D2" w14:textId="77777777" w:rsidR="00DC0045" w:rsidRPr="00302082" w:rsidRDefault="00DC0045" w:rsidP="009C2029">
            <w:pPr>
              <w:spacing w:after="120"/>
              <w:rPr>
                <w:rFonts w:ascii="Arial" w:hAnsi="Arial" w:cs="Arial"/>
                <w:i/>
              </w:rPr>
            </w:pPr>
            <w:r w:rsidRPr="00302082">
              <w:rPr>
                <w:rFonts w:ascii="Arial" w:hAnsi="Arial" w:cs="Arial"/>
                <w:i/>
              </w:rPr>
              <w:t>9.2</w:t>
            </w:r>
          </w:p>
        </w:tc>
        <w:tc>
          <w:tcPr>
            <w:tcW w:w="352" w:type="pct"/>
          </w:tcPr>
          <w:p w14:paraId="0045BA41" w14:textId="77777777" w:rsidR="00DC0045" w:rsidRPr="00302082" w:rsidRDefault="00DC0045" w:rsidP="009C2029">
            <w:pPr>
              <w:spacing w:after="120"/>
              <w:rPr>
                <w:rFonts w:ascii="Arial" w:hAnsi="Arial" w:cs="Arial"/>
                <w:i/>
              </w:rPr>
            </w:pPr>
            <w:r w:rsidRPr="00302082">
              <w:rPr>
                <w:rFonts w:ascii="Arial" w:hAnsi="Arial" w:cs="Arial"/>
                <w:i/>
              </w:rPr>
              <w:t>9.3</w:t>
            </w:r>
          </w:p>
        </w:tc>
        <w:tc>
          <w:tcPr>
            <w:tcW w:w="352" w:type="pct"/>
          </w:tcPr>
          <w:p w14:paraId="322264F7" w14:textId="3D422848" w:rsidR="00DC0045" w:rsidRPr="00302082" w:rsidRDefault="00DC0045" w:rsidP="009C2029">
            <w:pPr>
              <w:spacing w:after="120"/>
              <w:rPr>
                <w:rFonts w:ascii="Arial" w:hAnsi="Arial" w:cs="Arial"/>
                <w:i/>
              </w:rPr>
            </w:pPr>
            <w:r>
              <w:rPr>
                <w:rFonts w:ascii="Arial" w:hAnsi="Arial" w:cs="Arial"/>
                <w:i/>
              </w:rPr>
              <w:t>9.4</w:t>
            </w:r>
          </w:p>
        </w:tc>
        <w:tc>
          <w:tcPr>
            <w:tcW w:w="351" w:type="pct"/>
          </w:tcPr>
          <w:p w14:paraId="1F658C36" w14:textId="635C141D" w:rsidR="00DC0045" w:rsidRDefault="00DC0045" w:rsidP="009C2029">
            <w:pPr>
              <w:spacing w:after="120"/>
              <w:rPr>
                <w:rFonts w:ascii="Arial" w:hAnsi="Arial" w:cs="Arial"/>
                <w:i/>
              </w:rPr>
            </w:pPr>
            <w:r>
              <w:rPr>
                <w:rFonts w:ascii="Arial" w:hAnsi="Arial" w:cs="Arial"/>
                <w:i/>
              </w:rPr>
              <w:t>9.5</w:t>
            </w:r>
          </w:p>
        </w:tc>
      </w:tr>
      <w:tr w:rsidR="00DC0045" w:rsidRPr="00302082" w14:paraId="183C16FD" w14:textId="15C0BEEC" w:rsidTr="003A495F">
        <w:tc>
          <w:tcPr>
            <w:tcW w:w="1100" w:type="pct"/>
            <w:shd w:val="clear" w:color="auto" w:fill="D9D9D9" w:themeFill="background1" w:themeFillShade="D9"/>
          </w:tcPr>
          <w:p w14:paraId="3C9B9736" w14:textId="77777777" w:rsidR="00DC0045" w:rsidRPr="00302082" w:rsidRDefault="00DC0045" w:rsidP="009C2029">
            <w:pPr>
              <w:spacing w:after="120"/>
              <w:rPr>
                <w:rFonts w:ascii="Arial" w:hAnsi="Arial" w:cs="Arial"/>
                <w:b/>
              </w:rPr>
            </w:pPr>
            <w:r w:rsidRPr="00302082">
              <w:rPr>
                <w:rFonts w:ascii="Arial" w:hAnsi="Arial" w:cs="Arial"/>
                <w:b/>
              </w:rPr>
              <w:t>Learning/ teaching method</w:t>
            </w:r>
          </w:p>
        </w:tc>
        <w:tc>
          <w:tcPr>
            <w:tcW w:w="356" w:type="pct"/>
          </w:tcPr>
          <w:p w14:paraId="296F89D6" w14:textId="77777777" w:rsidR="00DC0045" w:rsidRPr="00302082" w:rsidRDefault="00DC0045" w:rsidP="009C2029">
            <w:pPr>
              <w:spacing w:after="120"/>
              <w:rPr>
                <w:rFonts w:ascii="Arial" w:hAnsi="Arial" w:cs="Arial"/>
                <w:b/>
              </w:rPr>
            </w:pPr>
          </w:p>
        </w:tc>
        <w:tc>
          <w:tcPr>
            <w:tcW w:w="362" w:type="pct"/>
          </w:tcPr>
          <w:p w14:paraId="3707965B" w14:textId="77777777" w:rsidR="00DC0045" w:rsidRPr="00302082" w:rsidRDefault="00DC0045" w:rsidP="009C2029">
            <w:pPr>
              <w:spacing w:after="120"/>
              <w:rPr>
                <w:rFonts w:ascii="Arial" w:hAnsi="Arial" w:cs="Arial"/>
                <w:b/>
              </w:rPr>
            </w:pPr>
          </w:p>
        </w:tc>
        <w:tc>
          <w:tcPr>
            <w:tcW w:w="356" w:type="pct"/>
          </w:tcPr>
          <w:p w14:paraId="39200311" w14:textId="77777777" w:rsidR="00DC0045" w:rsidRPr="00302082" w:rsidRDefault="00DC0045" w:rsidP="009C2029">
            <w:pPr>
              <w:spacing w:after="120"/>
              <w:rPr>
                <w:rFonts w:ascii="Arial" w:hAnsi="Arial" w:cs="Arial"/>
                <w:b/>
              </w:rPr>
            </w:pPr>
          </w:p>
        </w:tc>
        <w:tc>
          <w:tcPr>
            <w:tcW w:w="356" w:type="pct"/>
          </w:tcPr>
          <w:p w14:paraId="1C226D22" w14:textId="77777777" w:rsidR="00DC0045" w:rsidRPr="00302082" w:rsidRDefault="00DC0045" w:rsidP="009C2029">
            <w:pPr>
              <w:spacing w:after="120"/>
              <w:rPr>
                <w:rFonts w:ascii="Arial" w:hAnsi="Arial" w:cs="Arial"/>
                <w:b/>
              </w:rPr>
            </w:pPr>
          </w:p>
        </w:tc>
        <w:tc>
          <w:tcPr>
            <w:tcW w:w="354" w:type="pct"/>
          </w:tcPr>
          <w:p w14:paraId="6FC16F8A" w14:textId="77777777" w:rsidR="00DC0045" w:rsidRPr="00302082" w:rsidRDefault="00DC0045" w:rsidP="009C2029">
            <w:pPr>
              <w:spacing w:after="120"/>
              <w:rPr>
                <w:rFonts w:ascii="Arial" w:hAnsi="Arial" w:cs="Arial"/>
                <w:b/>
              </w:rPr>
            </w:pPr>
          </w:p>
        </w:tc>
        <w:tc>
          <w:tcPr>
            <w:tcW w:w="354" w:type="pct"/>
          </w:tcPr>
          <w:p w14:paraId="1DC900BC" w14:textId="77777777" w:rsidR="00DC0045" w:rsidRPr="00302082" w:rsidRDefault="00DC0045" w:rsidP="009C2029">
            <w:pPr>
              <w:spacing w:after="120"/>
              <w:rPr>
                <w:rFonts w:ascii="Arial" w:hAnsi="Arial" w:cs="Arial"/>
                <w:b/>
              </w:rPr>
            </w:pPr>
          </w:p>
        </w:tc>
        <w:tc>
          <w:tcPr>
            <w:tcW w:w="354" w:type="pct"/>
          </w:tcPr>
          <w:p w14:paraId="539E61C4" w14:textId="3269BEC9" w:rsidR="00DC0045" w:rsidRPr="00302082" w:rsidRDefault="00DC0045" w:rsidP="009C2029">
            <w:pPr>
              <w:spacing w:after="120"/>
              <w:rPr>
                <w:rFonts w:ascii="Arial" w:hAnsi="Arial" w:cs="Arial"/>
                <w:b/>
              </w:rPr>
            </w:pPr>
          </w:p>
        </w:tc>
        <w:tc>
          <w:tcPr>
            <w:tcW w:w="354" w:type="pct"/>
          </w:tcPr>
          <w:p w14:paraId="7E1980AE" w14:textId="77777777" w:rsidR="00DC0045" w:rsidRPr="00302082" w:rsidRDefault="00DC0045" w:rsidP="009C2029">
            <w:pPr>
              <w:spacing w:after="120"/>
              <w:rPr>
                <w:rFonts w:ascii="Arial" w:hAnsi="Arial" w:cs="Arial"/>
                <w:b/>
              </w:rPr>
            </w:pPr>
          </w:p>
        </w:tc>
        <w:tc>
          <w:tcPr>
            <w:tcW w:w="352" w:type="pct"/>
          </w:tcPr>
          <w:p w14:paraId="336A834E" w14:textId="77777777" w:rsidR="00DC0045" w:rsidRPr="00302082" w:rsidRDefault="00DC0045" w:rsidP="009C2029">
            <w:pPr>
              <w:spacing w:after="120"/>
              <w:rPr>
                <w:rFonts w:ascii="Arial" w:hAnsi="Arial" w:cs="Arial"/>
                <w:b/>
              </w:rPr>
            </w:pPr>
          </w:p>
        </w:tc>
        <w:tc>
          <w:tcPr>
            <w:tcW w:w="352" w:type="pct"/>
          </w:tcPr>
          <w:p w14:paraId="40A0372D" w14:textId="77777777" w:rsidR="00DC0045" w:rsidRPr="00302082" w:rsidRDefault="00DC0045" w:rsidP="009C2029">
            <w:pPr>
              <w:spacing w:after="120"/>
              <w:rPr>
                <w:rFonts w:ascii="Arial" w:hAnsi="Arial" w:cs="Arial"/>
                <w:b/>
              </w:rPr>
            </w:pPr>
          </w:p>
        </w:tc>
        <w:tc>
          <w:tcPr>
            <w:tcW w:w="351" w:type="pct"/>
          </w:tcPr>
          <w:p w14:paraId="1E692C44" w14:textId="77777777" w:rsidR="00DC0045" w:rsidRPr="00302082" w:rsidRDefault="00DC0045" w:rsidP="009C2029">
            <w:pPr>
              <w:spacing w:after="120"/>
              <w:rPr>
                <w:rFonts w:ascii="Arial" w:hAnsi="Arial" w:cs="Arial"/>
                <w:b/>
              </w:rPr>
            </w:pPr>
          </w:p>
        </w:tc>
      </w:tr>
      <w:tr w:rsidR="00DC0045" w:rsidRPr="00302082" w14:paraId="6E4576ED" w14:textId="43D3FFF3" w:rsidTr="003A495F">
        <w:tc>
          <w:tcPr>
            <w:tcW w:w="1100" w:type="pct"/>
          </w:tcPr>
          <w:p w14:paraId="544A9E9B" w14:textId="7DB32862" w:rsidR="00DC0045" w:rsidRPr="0085757D" w:rsidRDefault="00DC0045" w:rsidP="009C2029">
            <w:pPr>
              <w:spacing w:after="120"/>
              <w:rPr>
                <w:rFonts w:ascii="Arial" w:hAnsi="Arial" w:cs="Arial"/>
              </w:rPr>
            </w:pPr>
            <w:r>
              <w:rPr>
                <w:rFonts w:ascii="Arial" w:hAnsi="Arial" w:cs="Arial"/>
              </w:rPr>
              <w:t>Private Study</w:t>
            </w:r>
          </w:p>
        </w:tc>
        <w:tc>
          <w:tcPr>
            <w:tcW w:w="356" w:type="pct"/>
          </w:tcPr>
          <w:p w14:paraId="7CD16DE6" w14:textId="3E5070BE" w:rsidR="00DC0045" w:rsidRPr="00302082" w:rsidRDefault="00DC0045" w:rsidP="009C2029">
            <w:pPr>
              <w:spacing w:after="120"/>
              <w:rPr>
                <w:rFonts w:ascii="Arial" w:hAnsi="Arial" w:cs="Arial"/>
                <w:b/>
              </w:rPr>
            </w:pPr>
            <w:r>
              <w:rPr>
                <w:rFonts w:ascii="Arial" w:hAnsi="Arial" w:cs="Arial"/>
                <w:b/>
              </w:rPr>
              <w:t>X</w:t>
            </w:r>
          </w:p>
        </w:tc>
        <w:tc>
          <w:tcPr>
            <w:tcW w:w="362" w:type="pct"/>
          </w:tcPr>
          <w:p w14:paraId="09721542" w14:textId="1270ECF9" w:rsidR="00DC0045" w:rsidRPr="00302082" w:rsidRDefault="00DC0045" w:rsidP="009C2029">
            <w:pPr>
              <w:spacing w:after="120"/>
              <w:rPr>
                <w:rFonts w:ascii="Arial" w:hAnsi="Arial" w:cs="Arial"/>
                <w:b/>
              </w:rPr>
            </w:pPr>
            <w:r>
              <w:rPr>
                <w:rFonts w:ascii="Arial" w:hAnsi="Arial" w:cs="Arial"/>
                <w:b/>
              </w:rPr>
              <w:t>X</w:t>
            </w:r>
          </w:p>
        </w:tc>
        <w:tc>
          <w:tcPr>
            <w:tcW w:w="356" w:type="pct"/>
          </w:tcPr>
          <w:p w14:paraId="78A62C76" w14:textId="094B5872" w:rsidR="00DC0045" w:rsidRPr="00302082" w:rsidRDefault="00DC0045" w:rsidP="009C2029">
            <w:pPr>
              <w:spacing w:after="120"/>
              <w:rPr>
                <w:rFonts w:ascii="Arial" w:hAnsi="Arial" w:cs="Arial"/>
                <w:b/>
              </w:rPr>
            </w:pPr>
            <w:r>
              <w:rPr>
                <w:rFonts w:ascii="Arial" w:hAnsi="Arial" w:cs="Arial"/>
                <w:b/>
              </w:rPr>
              <w:t>X</w:t>
            </w:r>
          </w:p>
        </w:tc>
        <w:tc>
          <w:tcPr>
            <w:tcW w:w="356" w:type="pct"/>
          </w:tcPr>
          <w:p w14:paraId="1A04A082" w14:textId="638766CC" w:rsidR="00DC0045" w:rsidRPr="00302082" w:rsidRDefault="00DC0045" w:rsidP="009C2029">
            <w:pPr>
              <w:spacing w:after="120"/>
              <w:rPr>
                <w:rFonts w:ascii="Arial" w:hAnsi="Arial" w:cs="Arial"/>
                <w:b/>
              </w:rPr>
            </w:pPr>
            <w:r>
              <w:rPr>
                <w:rFonts w:ascii="Arial" w:hAnsi="Arial" w:cs="Arial"/>
                <w:b/>
              </w:rPr>
              <w:t>X</w:t>
            </w:r>
          </w:p>
        </w:tc>
        <w:tc>
          <w:tcPr>
            <w:tcW w:w="354" w:type="pct"/>
          </w:tcPr>
          <w:p w14:paraId="3E8E5599" w14:textId="0D82B9BF" w:rsidR="00DC0045" w:rsidRPr="00302082" w:rsidRDefault="00DC0045" w:rsidP="009C2029">
            <w:pPr>
              <w:spacing w:after="120"/>
              <w:rPr>
                <w:rFonts w:ascii="Arial" w:hAnsi="Arial" w:cs="Arial"/>
                <w:b/>
              </w:rPr>
            </w:pPr>
            <w:r>
              <w:rPr>
                <w:rFonts w:ascii="Arial" w:hAnsi="Arial" w:cs="Arial"/>
                <w:b/>
              </w:rPr>
              <w:t>X</w:t>
            </w:r>
          </w:p>
        </w:tc>
        <w:tc>
          <w:tcPr>
            <w:tcW w:w="354" w:type="pct"/>
          </w:tcPr>
          <w:p w14:paraId="53D16AE0" w14:textId="6D57FDAD" w:rsidR="00DC0045" w:rsidRPr="00302082" w:rsidRDefault="00DC0045" w:rsidP="009C2029">
            <w:pPr>
              <w:spacing w:after="120"/>
              <w:rPr>
                <w:rFonts w:ascii="Arial" w:hAnsi="Arial" w:cs="Arial"/>
                <w:b/>
              </w:rPr>
            </w:pPr>
            <w:r>
              <w:rPr>
                <w:rFonts w:ascii="Arial" w:hAnsi="Arial" w:cs="Arial"/>
                <w:b/>
              </w:rPr>
              <w:t>X</w:t>
            </w:r>
          </w:p>
        </w:tc>
        <w:tc>
          <w:tcPr>
            <w:tcW w:w="354" w:type="pct"/>
          </w:tcPr>
          <w:p w14:paraId="61454A24" w14:textId="723F9F8D" w:rsidR="00DC0045" w:rsidRPr="00302082" w:rsidRDefault="00DC0045" w:rsidP="009C2029">
            <w:pPr>
              <w:spacing w:after="120"/>
              <w:rPr>
                <w:rFonts w:ascii="Arial" w:hAnsi="Arial" w:cs="Arial"/>
                <w:b/>
              </w:rPr>
            </w:pPr>
            <w:r>
              <w:rPr>
                <w:rFonts w:ascii="Arial" w:hAnsi="Arial" w:cs="Arial"/>
                <w:b/>
              </w:rPr>
              <w:t>X</w:t>
            </w:r>
          </w:p>
        </w:tc>
        <w:tc>
          <w:tcPr>
            <w:tcW w:w="354" w:type="pct"/>
          </w:tcPr>
          <w:p w14:paraId="3A3A37D9" w14:textId="37C6EA71" w:rsidR="00DC0045" w:rsidRPr="00302082" w:rsidRDefault="00DC0045" w:rsidP="009C2029">
            <w:pPr>
              <w:spacing w:after="120"/>
              <w:rPr>
                <w:rFonts w:ascii="Arial" w:hAnsi="Arial" w:cs="Arial"/>
                <w:b/>
              </w:rPr>
            </w:pPr>
            <w:r>
              <w:rPr>
                <w:rFonts w:ascii="Arial" w:hAnsi="Arial" w:cs="Arial"/>
                <w:b/>
              </w:rPr>
              <w:t>X</w:t>
            </w:r>
          </w:p>
        </w:tc>
        <w:tc>
          <w:tcPr>
            <w:tcW w:w="352" w:type="pct"/>
          </w:tcPr>
          <w:p w14:paraId="667D4178" w14:textId="6D8C0BC0" w:rsidR="00DC0045" w:rsidRPr="00302082" w:rsidRDefault="00DC0045" w:rsidP="009C2029">
            <w:pPr>
              <w:spacing w:after="120"/>
              <w:rPr>
                <w:rFonts w:ascii="Arial" w:hAnsi="Arial" w:cs="Arial"/>
                <w:b/>
              </w:rPr>
            </w:pPr>
            <w:r>
              <w:rPr>
                <w:rFonts w:ascii="Arial" w:hAnsi="Arial" w:cs="Arial"/>
                <w:b/>
              </w:rPr>
              <w:t>X</w:t>
            </w:r>
          </w:p>
        </w:tc>
        <w:tc>
          <w:tcPr>
            <w:tcW w:w="352" w:type="pct"/>
          </w:tcPr>
          <w:p w14:paraId="6892F0D5" w14:textId="72E401FD" w:rsidR="00DC0045" w:rsidRDefault="00DC0045" w:rsidP="009C2029">
            <w:pPr>
              <w:spacing w:after="120"/>
              <w:rPr>
                <w:rFonts w:ascii="Arial" w:hAnsi="Arial" w:cs="Arial"/>
                <w:b/>
              </w:rPr>
            </w:pPr>
            <w:r>
              <w:rPr>
                <w:rFonts w:ascii="Arial" w:hAnsi="Arial" w:cs="Arial"/>
                <w:b/>
              </w:rPr>
              <w:t>X</w:t>
            </w:r>
          </w:p>
        </w:tc>
        <w:tc>
          <w:tcPr>
            <w:tcW w:w="351" w:type="pct"/>
          </w:tcPr>
          <w:p w14:paraId="370EDF8D" w14:textId="5DF1EA32" w:rsidR="00DC0045" w:rsidRDefault="00DC0045" w:rsidP="009C2029">
            <w:pPr>
              <w:spacing w:after="120"/>
              <w:rPr>
                <w:rFonts w:ascii="Arial" w:hAnsi="Arial" w:cs="Arial"/>
                <w:b/>
              </w:rPr>
            </w:pPr>
            <w:r>
              <w:rPr>
                <w:rFonts w:ascii="Arial" w:hAnsi="Arial" w:cs="Arial"/>
                <w:b/>
              </w:rPr>
              <w:t>X</w:t>
            </w:r>
          </w:p>
        </w:tc>
      </w:tr>
      <w:tr w:rsidR="00DC0045" w:rsidRPr="00302082" w14:paraId="54447D34" w14:textId="50A2E8A2" w:rsidTr="003A495F">
        <w:tc>
          <w:tcPr>
            <w:tcW w:w="1100" w:type="pct"/>
          </w:tcPr>
          <w:p w14:paraId="79F0563C" w14:textId="5DCCB9A4" w:rsidR="00DC0045" w:rsidRPr="0085757D" w:rsidRDefault="00DC0045" w:rsidP="00DC0045">
            <w:pPr>
              <w:spacing w:after="120"/>
              <w:rPr>
                <w:rFonts w:ascii="Arial" w:hAnsi="Arial" w:cs="Arial"/>
              </w:rPr>
            </w:pPr>
            <w:r>
              <w:rPr>
                <w:rFonts w:ascii="Arial" w:hAnsi="Arial" w:cs="Arial"/>
              </w:rPr>
              <w:t xml:space="preserve">Lectures </w:t>
            </w:r>
          </w:p>
        </w:tc>
        <w:tc>
          <w:tcPr>
            <w:tcW w:w="356" w:type="pct"/>
          </w:tcPr>
          <w:p w14:paraId="0A54BBC1" w14:textId="1863177B" w:rsidR="00DC0045" w:rsidRPr="00302082" w:rsidRDefault="00DC0045" w:rsidP="00DC0045">
            <w:pPr>
              <w:spacing w:after="120"/>
              <w:rPr>
                <w:rFonts w:ascii="Arial" w:hAnsi="Arial" w:cs="Arial"/>
                <w:b/>
              </w:rPr>
            </w:pPr>
            <w:r>
              <w:rPr>
                <w:rFonts w:ascii="Arial" w:hAnsi="Arial" w:cs="Arial"/>
                <w:b/>
              </w:rPr>
              <w:t>X</w:t>
            </w:r>
          </w:p>
        </w:tc>
        <w:tc>
          <w:tcPr>
            <w:tcW w:w="362" w:type="pct"/>
          </w:tcPr>
          <w:p w14:paraId="6FB3921C" w14:textId="2C887AC3" w:rsidR="00DC0045" w:rsidRPr="00302082" w:rsidRDefault="00DC0045" w:rsidP="00DC0045">
            <w:pPr>
              <w:spacing w:after="120"/>
              <w:rPr>
                <w:rFonts w:ascii="Arial" w:hAnsi="Arial" w:cs="Arial"/>
                <w:b/>
              </w:rPr>
            </w:pPr>
            <w:r>
              <w:rPr>
                <w:rFonts w:ascii="Arial" w:hAnsi="Arial" w:cs="Arial"/>
                <w:b/>
              </w:rPr>
              <w:t>X</w:t>
            </w:r>
          </w:p>
        </w:tc>
        <w:tc>
          <w:tcPr>
            <w:tcW w:w="356" w:type="pct"/>
          </w:tcPr>
          <w:p w14:paraId="56F92273" w14:textId="0ADA63B5" w:rsidR="00DC0045" w:rsidRPr="00302082" w:rsidRDefault="00DC0045" w:rsidP="00DC0045">
            <w:pPr>
              <w:spacing w:after="120"/>
              <w:rPr>
                <w:rFonts w:ascii="Arial" w:hAnsi="Arial" w:cs="Arial"/>
                <w:b/>
              </w:rPr>
            </w:pPr>
            <w:r>
              <w:rPr>
                <w:rFonts w:ascii="Arial" w:hAnsi="Arial" w:cs="Arial"/>
                <w:b/>
              </w:rPr>
              <w:t>X</w:t>
            </w:r>
          </w:p>
        </w:tc>
        <w:tc>
          <w:tcPr>
            <w:tcW w:w="356" w:type="pct"/>
          </w:tcPr>
          <w:p w14:paraId="2EAB6D5F" w14:textId="772FDA90" w:rsidR="00DC0045" w:rsidRPr="00302082" w:rsidRDefault="00DC0045" w:rsidP="00DC0045">
            <w:pPr>
              <w:spacing w:after="120"/>
              <w:rPr>
                <w:rFonts w:ascii="Arial" w:hAnsi="Arial" w:cs="Arial"/>
                <w:b/>
              </w:rPr>
            </w:pPr>
            <w:r>
              <w:rPr>
                <w:rFonts w:ascii="Arial" w:hAnsi="Arial" w:cs="Arial"/>
                <w:b/>
              </w:rPr>
              <w:t>X</w:t>
            </w:r>
          </w:p>
        </w:tc>
        <w:tc>
          <w:tcPr>
            <w:tcW w:w="354" w:type="pct"/>
          </w:tcPr>
          <w:p w14:paraId="018F95F4" w14:textId="01E0AEEB" w:rsidR="00DC0045" w:rsidRPr="00302082" w:rsidRDefault="00DC0045" w:rsidP="00DC0045">
            <w:pPr>
              <w:spacing w:after="120"/>
              <w:rPr>
                <w:rFonts w:ascii="Arial" w:hAnsi="Arial" w:cs="Arial"/>
                <w:b/>
              </w:rPr>
            </w:pPr>
            <w:r>
              <w:rPr>
                <w:rFonts w:ascii="Arial" w:hAnsi="Arial" w:cs="Arial"/>
                <w:b/>
              </w:rPr>
              <w:t>X</w:t>
            </w:r>
          </w:p>
        </w:tc>
        <w:tc>
          <w:tcPr>
            <w:tcW w:w="354" w:type="pct"/>
          </w:tcPr>
          <w:p w14:paraId="5F2BEC88" w14:textId="23A3105D" w:rsidR="00DC0045" w:rsidRPr="00302082" w:rsidRDefault="00DC0045" w:rsidP="00DC0045">
            <w:pPr>
              <w:spacing w:after="120"/>
              <w:rPr>
                <w:rFonts w:ascii="Arial" w:hAnsi="Arial" w:cs="Arial"/>
                <w:b/>
              </w:rPr>
            </w:pPr>
            <w:r>
              <w:rPr>
                <w:rFonts w:ascii="Arial" w:hAnsi="Arial" w:cs="Arial"/>
                <w:b/>
              </w:rPr>
              <w:t>X</w:t>
            </w:r>
          </w:p>
        </w:tc>
        <w:tc>
          <w:tcPr>
            <w:tcW w:w="354" w:type="pct"/>
          </w:tcPr>
          <w:p w14:paraId="3302739B" w14:textId="41B792F5" w:rsidR="00DC0045" w:rsidRPr="00302082" w:rsidRDefault="00DC0045" w:rsidP="00DC0045">
            <w:pPr>
              <w:spacing w:after="120"/>
              <w:rPr>
                <w:rFonts w:ascii="Arial" w:hAnsi="Arial" w:cs="Arial"/>
                <w:b/>
              </w:rPr>
            </w:pPr>
            <w:r>
              <w:rPr>
                <w:rFonts w:ascii="Arial" w:hAnsi="Arial" w:cs="Arial"/>
                <w:b/>
              </w:rPr>
              <w:t>X</w:t>
            </w:r>
          </w:p>
        </w:tc>
        <w:tc>
          <w:tcPr>
            <w:tcW w:w="354" w:type="pct"/>
          </w:tcPr>
          <w:p w14:paraId="0019CF2A" w14:textId="3A8DA34F" w:rsidR="00DC0045" w:rsidRPr="00302082" w:rsidRDefault="00DC0045" w:rsidP="00DC0045">
            <w:pPr>
              <w:spacing w:after="120"/>
              <w:rPr>
                <w:rFonts w:ascii="Arial" w:hAnsi="Arial" w:cs="Arial"/>
                <w:b/>
              </w:rPr>
            </w:pPr>
            <w:r>
              <w:rPr>
                <w:rFonts w:ascii="Arial" w:hAnsi="Arial" w:cs="Arial"/>
                <w:b/>
              </w:rPr>
              <w:t>X</w:t>
            </w:r>
          </w:p>
        </w:tc>
        <w:tc>
          <w:tcPr>
            <w:tcW w:w="352" w:type="pct"/>
          </w:tcPr>
          <w:p w14:paraId="792D272A" w14:textId="66BEF386" w:rsidR="00DC0045" w:rsidRPr="00302082" w:rsidRDefault="00DC0045" w:rsidP="00DC0045">
            <w:pPr>
              <w:spacing w:after="120"/>
              <w:rPr>
                <w:rFonts w:ascii="Arial" w:hAnsi="Arial" w:cs="Arial"/>
                <w:b/>
              </w:rPr>
            </w:pPr>
            <w:r>
              <w:rPr>
                <w:rFonts w:ascii="Arial" w:hAnsi="Arial" w:cs="Arial"/>
                <w:b/>
              </w:rPr>
              <w:t>X</w:t>
            </w:r>
          </w:p>
        </w:tc>
        <w:tc>
          <w:tcPr>
            <w:tcW w:w="352" w:type="pct"/>
          </w:tcPr>
          <w:p w14:paraId="497250FE" w14:textId="4691561D" w:rsidR="00DC0045" w:rsidRDefault="00DC0045" w:rsidP="00DC0045">
            <w:pPr>
              <w:spacing w:after="120"/>
              <w:rPr>
                <w:rFonts w:ascii="Arial" w:hAnsi="Arial" w:cs="Arial"/>
                <w:b/>
              </w:rPr>
            </w:pPr>
            <w:r>
              <w:rPr>
                <w:rFonts w:ascii="Arial" w:hAnsi="Arial" w:cs="Arial"/>
                <w:b/>
              </w:rPr>
              <w:t>X</w:t>
            </w:r>
          </w:p>
        </w:tc>
        <w:tc>
          <w:tcPr>
            <w:tcW w:w="351" w:type="pct"/>
          </w:tcPr>
          <w:p w14:paraId="14C36279" w14:textId="50A168BB" w:rsidR="00DC0045" w:rsidRDefault="00DC0045" w:rsidP="00DC0045">
            <w:pPr>
              <w:spacing w:after="120"/>
              <w:rPr>
                <w:rFonts w:ascii="Arial" w:hAnsi="Arial" w:cs="Arial"/>
                <w:b/>
              </w:rPr>
            </w:pPr>
            <w:r>
              <w:rPr>
                <w:rFonts w:ascii="Arial" w:hAnsi="Arial" w:cs="Arial"/>
                <w:b/>
              </w:rPr>
              <w:t>X</w:t>
            </w:r>
          </w:p>
        </w:tc>
      </w:tr>
      <w:tr w:rsidR="00DC0045" w:rsidRPr="00302082" w14:paraId="44E56112" w14:textId="26A58AB5" w:rsidTr="003A495F">
        <w:tc>
          <w:tcPr>
            <w:tcW w:w="1100" w:type="pct"/>
          </w:tcPr>
          <w:p w14:paraId="349C351D" w14:textId="1DEE5E11" w:rsidR="00DC0045" w:rsidRDefault="00DC0045" w:rsidP="00DC0045">
            <w:pPr>
              <w:spacing w:after="120"/>
              <w:rPr>
                <w:rFonts w:ascii="Arial" w:hAnsi="Arial" w:cs="Arial"/>
              </w:rPr>
            </w:pPr>
            <w:r>
              <w:rPr>
                <w:rFonts w:ascii="Arial" w:hAnsi="Arial" w:cs="Arial"/>
              </w:rPr>
              <w:t>Seminars</w:t>
            </w:r>
          </w:p>
        </w:tc>
        <w:tc>
          <w:tcPr>
            <w:tcW w:w="356" w:type="pct"/>
          </w:tcPr>
          <w:p w14:paraId="67AE7BFD" w14:textId="5B3BB1BD" w:rsidR="00DC0045" w:rsidRPr="00302082" w:rsidRDefault="00DC0045" w:rsidP="00DC0045">
            <w:pPr>
              <w:spacing w:after="120"/>
              <w:rPr>
                <w:rFonts w:ascii="Arial" w:hAnsi="Arial" w:cs="Arial"/>
                <w:b/>
              </w:rPr>
            </w:pPr>
            <w:r>
              <w:rPr>
                <w:rFonts w:ascii="Arial" w:hAnsi="Arial" w:cs="Arial"/>
                <w:b/>
              </w:rPr>
              <w:t>X</w:t>
            </w:r>
          </w:p>
        </w:tc>
        <w:tc>
          <w:tcPr>
            <w:tcW w:w="362" w:type="pct"/>
          </w:tcPr>
          <w:p w14:paraId="2BD78CAD" w14:textId="1C1E7767" w:rsidR="00DC0045" w:rsidRPr="00302082" w:rsidRDefault="00DC0045" w:rsidP="00DC0045">
            <w:pPr>
              <w:spacing w:after="120"/>
              <w:rPr>
                <w:rFonts w:ascii="Arial" w:hAnsi="Arial" w:cs="Arial"/>
                <w:b/>
              </w:rPr>
            </w:pPr>
            <w:r>
              <w:rPr>
                <w:rFonts w:ascii="Arial" w:hAnsi="Arial" w:cs="Arial"/>
                <w:b/>
              </w:rPr>
              <w:t>X</w:t>
            </w:r>
          </w:p>
        </w:tc>
        <w:tc>
          <w:tcPr>
            <w:tcW w:w="356" w:type="pct"/>
          </w:tcPr>
          <w:p w14:paraId="073C94AE" w14:textId="57D778CB" w:rsidR="00DC0045" w:rsidRPr="00302082" w:rsidRDefault="00DC0045" w:rsidP="00DC0045">
            <w:pPr>
              <w:spacing w:after="120"/>
              <w:rPr>
                <w:rFonts w:ascii="Arial" w:hAnsi="Arial" w:cs="Arial"/>
                <w:b/>
              </w:rPr>
            </w:pPr>
            <w:r>
              <w:rPr>
                <w:rFonts w:ascii="Arial" w:hAnsi="Arial" w:cs="Arial"/>
                <w:b/>
              </w:rPr>
              <w:t>X</w:t>
            </w:r>
          </w:p>
        </w:tc>
        <w:tc>
          <w:tcPr>
            <w:tcW w:w="356" w:type="pct"/>
          </w:tcPr>
          <w:p w14:paraId="3A2083CB" w14:textId="0041DD71" w:rsidR="00DC0045" w:rsidRPr="00302082" w:rsidRDefault="00DC0045" w:rsidP="00DC0045">
            <w:pPr>
              <w:spacing w:after="120"/>
              <w:rPr>
                <w:rFonts w:ascii="Arial" w:hAnsi="Arial" w:cs="Arial"/>
                <w:b/>
              </w:rPr>
            </w:pPr>
            <w:r>
              <w:rPr>
                <w:rFonts w:ascii="Arial" w:hAnsi="Arial" w:cs="Arial"/>
                <w:b/>
              </w:rPr>
              <w:t>X</w:t>
            </w:r>
          </w:p>
        </w:tc>
        <w:tc>
          <w:tcPr>
            <w:tcW w:w="354" w:type="pct"/>
          </w:tcPr>
          <w:p w14:paraId="0C6CDF83" w14:textId="79D8D56B" w:rsidR="00DC0045" w:rsidRPr="00302082" w:rsidRDefault="00DC0045" w:rsidP="00DC0045">
            <w:pPr>
              <w:spacing w:after="120"/>
              <w:rPr>
                <w:rFonts w:ascii="Arial" w:hAnsi="Arial" w:cs="Arial"/>
                <w:b/>
              </w:rPr>
            </w:pPr>
            <w:r>
              <w:rPr>
                <w:rFonts w:ascii="Arial" w:hAnsi="Arial" w:cs="Arial"/>
                <w:b/>
              </w:rPr>
              <w:t>X</w:t>
            </w:r>
          </w:p>
        </w:tc>
        <w:tc>
          <w:tcPr>
            <w:tcW w:w="354" w:type="pct"/>
          </w:tcPr>
          <w:p w14:paraId="20D96F98" w14:textId="0E8071DF" w:rsidR="00DC0045" w:rsidRPr="00302082" w:rsidRDefault="00DC0045" w:rsidP="00DC0045">
            <w:pPr>
              <w:spacing w:after="120"/>
              <w:rPr>
                <w:rFonts w:ascii="Arial" w:hAnsi="Arial" w:cs="Arial"/>
                <w:b/>
              </w:rPr>
            </w:pPr>
            <w:r>
              <w:rPr>
                <w:rFonts w:ascii="Arial" w:hAnsi="Arial" w:cs="Arial"/>
                <w:b/>
              </w:rPr>
              <w:t>X</w:t>
            </w:r>
          </w:p>
        </w:tc>
        <w:tc>
          <w:tcPr>
            <w:tcW w:w="354" w:type="pct"/>
          </w:tcPr>
          <w:p w14:paraId="47C7531F" w14:textId="709D2D95" w:rsidR="00DC0045" w:rsidRPr="00302082" w:rsidRDefault="00DC0045" w:rsidP="00DC0045">
            <w:pPr>
              <w:spacing w:after="120"/>
              <w:rPr>
                <w:rFonts w:ascii="Arial" w:hAnsi="Arial" w:cs="Arial"/>
                <w:b/>
              </w:rPr>
            </w:pPr>
            <w:r>
              <w:rPr>
                <w:rFonts w:ascii="Arial" w:hAnsi="Arial" w:cs="Arial"/>
                <w:b/>
              </w:rPr>
              <w:t>X</w:t>
            </w:r>
          </w:p>
        </w:tc>
        <w:tc>
          <w:tcPr>
            <w:tcW w:w="354" w:type="pct"/>
          </w:tcPr>
          <w:p w14:paraId="44CC9E62" w14:textId="58EAA876" w:rsidR="00DC0045" w:rsidRPr="00302082" w:rsidRDefault="00DC0045" w:rsidP="00DC0045">
            <w:pPr>
              <w:spacing w:after="120"/>
              <w:rPr>
                <w:rFonts w:ascii="Arial" w:hAnsi="Arial" w:cs="Arial"/>
                <w:b/>
              </w:rPr>
            </w:pPr>
            <w:r>
              <w:rPr>
                <w:rFonts w:ascii="Arial" w:hAnsi="Arial" w:cs="Arial"/>
                <w:b/>
              </w:rPr>
              <w:t>X</w:t>
            </w:r>
          </w:p>
        </w:tc>
        <w:tc>
          <w:tcPr>
            <w:tcW w:w="352" w:type="pct"/>
          </w:tcPr>
          <w:p w14:paraId="78E4F26F" w14:textId="3D4D901B" w:rsidR="00DC0045" w:rsidRPr="00302082" w:rsidRDefault="00DC0045" w:rsidP="00DC0045">
            <w:pPr>
              <w:spacing w:after="120"/>
              <w:rPr>
                <w:rFonts w:ascii="Arial" w:hAnsi="Arial" w:cs="Arial"/>
                <w:b/>
              </w:rPr>
            </w:pPr>
            <w:r>
              <w:rPr>
                <w:rFonts w:ascii="Arial" w:hAnsi="Arial" w:cs="Arial"/>
                <w:b/>
              </w:rPr>
              <w:t>X</w:t>
            </w:r>
          </w:p>
        </w:tc>
        <w:tc>
          <w:tcPr>
            <w:tcW w:w="352" w:type="pct"/>
          </w:tcPr>
          <w:p w14:paraId="02358E8E" w14:textId="639E4275" w:rsidR="00DC0045" w:rsidRDefault="00DC0045" w:rsidP="00DC0045">
            <w:pPr>
              <w:spacing w:after="120"/>
              <w:rPr>
                <w:rFonts w:ascii="Arial" w:hAnsi="Arial" w:cs="Arial"/>
                <w:b/>
              </w:rPr>
            </w:pPr>
            <w:r>
              <w:rPr>
                <w:rFonts w:ascii="Arial" w:hAnsi="Arial" w:cs="Arial"/>
                <w:b/>
              </w:rPr>
              <w:t>X</w:t>
            </w:r>
          </w:p>
        </w:tc>
        <w:tc>
          <w:tcPr>
            <w:tcW w:w="351" w:type="pct"/>
          </w:tcPr>
          <w:p w14:paraId="37C717EC" w14:textId="49687CDD" w:rsidR="00DC0045" w:rsidRDefault="00DC0045" w:rsidP="00DC0045">
            <w:pPr>
              <w:spacing w:after="120"/>
              <w:rPr>
                <w:rFonts w:ascii="Arial" w:hAnsi="Arial" w:cs="Arial"/>
                <w:b/>
              </w:rPr>
            </w:pPr>
            <w:r>
              <w:rPr>
                <w:rFonts w:ascii="Arial" w:hAnsi="Arial" w:cs="Arial"/>
                <w:b/>
              </w:rPr>
              <w:t>X</w:t>
            </w:r>
          </w:p>
        </w:tc>
      </w:tr>
      <w:tr w:rsidR="003A495F" w:rsidRPr="00302082" w14:paraId="70A61F70" w14:textId="77777777" w:rsidTr="003A495F">
        <w:tc>
          <w:tcPr>
            <w:tcW w:w="1100" w:type="pct"/>
          </w:tcPr>
          <w:p w14:paraId="7EC0032D" w14:textId="301107EB" w:rsidR="003A495F" w:rsidRDefault="003A495F" w:rsidP="003A495F">
            <w:pPr>
              <w:spacing w:after="120"/>
              <w:rPr>
                <w:rFonts w:ascii="Arial" w:hAnsi="Arial" w:cs="Arial"/>
              </w:rPr>
            </w:pPr>
            <w:r>
              <w:rPr>
                <w:rFonts w:ascii="Arial" w:hAnsi="Arial" w:cs="Arial"/>
              </w:rPr>
              <w:t>Revision session</w:t>
            </w:r>
          </w:p>
        </w:tc>
        <w:tc>
          <w:tcPr>
            <w:tcW w:w="356" w:type="pct"/>
          </w:tcPr>
          <w:p w14:paraId="2746DB19" w14:textId="441234E1" w:rsidR="003A495F" w:rsidRDefault="003A495F" w:rsidP="003A495F">
            <w:pPr>
              <w:spacing w:after="120"/>
              <w:rPr>
                <w:rFonts w:ascii="Arial" w:hAnsi="Arial" w:cs="Arial"/>
                <w:b/>
              </w:rPr>
            </w:pPr>
            <w:r>
              <w:rPr>
                <w:rFonts w:ascii="Arial" w:hAnsi="Arial" w:cs="Arial"/>
                <w:b/>
              </w:rPr>
              <w:t>X</w:t>
            </w:r>
          </w:p>
        </w:tc>
        <w:tc>
          <w:tcPr>
            <w:tcW w:w="362" w:type="pct"/>
          </w:tcPr>
          <w:p w14:paraId="64500A66" w14:textId="098378BA" w:rsidR="003A495F" w:rsidRDefault="003A495F" w:rsidP="003A495F">
            <w:pPr>
              <w:spacing w:after="120"/>
              <w:rPr>
                <w:rFonts w:ascii="Arial" w:hAnsi="Arial" w:cs="Arial"/>
                <w:b/>
              </w:rPr>
            </w:pPr>
            <w:r>
              <w:rPr>
                <w:rFonts w:ascii="Arial" w:hAnsi="Arial" w:cs="Arial"/>
                <w:b/>
              </w:rPr>
              <w:t>X</w:t>
            </w:r>
          </w:p>
        </w:tc>
        <w:tc>
          <w:tcPr>
            <w:tcW w:w="356" w:type="pct"/>
          </w:tcPr>
          <w:p w14:paraId="6DABCD5C" w14:textId="13BB3B02" w:rsidR="003A495F" w:rsidRDefault="003A495F" w:rsidP="003A495F">
            <w:pPr>
              <w:spacing w:after="120"/>
              <w:rPr>
                <w:rFonts w:ascii="Arial" w:hAnsi="Arial" w:cs="Arial"/>
                <w:b/>
              </w:rPr>
            </w:pPr>
            <w:r>
              <w:rPr>
                <w:rFonts w:ascii="Arial" w:hAnsi="Arial" w:cs="Arial"/>
                <w:b/>
              </w:rPr>
              <w:t>X</w:t>
            </w:r>
          </w:p>
        </w:tc>
        <w:tc>
          <w:tcPr>
            <w:tcW w:w="356" w:type="pct"/>
          </w:tcPr>
          <w:p w14:paraId="72F2283F" w14:textId="10D3817D" w:rsidR="003A495F" w:rsidRDefault="003A495F" w:rsidP="003A495F">
            <w:pPr>
              <w:spacing w:after="120"/>
              <w:rPr>
                <w:rFonts w:ascii="Arial" w:hAnsi="Arial" w:cs="Arial"/>
                <w:b/>
              </w:rPr>
            </w:pPr>
            <w:r>
              <w:rPr>
                <w:rFonts w:ascii="Arial" w:hAnsi="Arial" w:cs="Arial"/>
                <w:b/>
              </w:rPr>
              <w:t>X</w:t>
            </w:r>
          </w:p>
        </w:tc>
        <w:tc>
          <w:tcPr>
            <w:tcW w:w="354" w:type="pct"/>
          </w:tcPr>
          <w:p w14:paraId="4EFEF365" w14:textId="1D1B5002" w:rsidR="003A495F" w:rsidRDefault="003A495F" w:rsidP="003A495F">
            <w:pPr>
              <w:spacing w:after="120"/>
              <w:rPr>
                <w:rFonts w:ascii="Arial" w:hAnsi="Arial" w:cs="Arial"/>
                <w:b/>
              </w:rPr>
            </w:pPr>
            <w:r>
              <w:rPr>
                <w:rFonts w:ascii="Arial" w:hAnsi="Arial" w:cs="Arial"/>
                <w:b/>
              </w:rPr>
              <w:t>X</w:t>
            </w:r>
          </w:p>
        </w:tc>
        <w:tc>
          <w:tcPr>
            <w:tcW w:w="354" w:type="pct"/>
          </w:tcPr>
          <w:p w14:paraId="25CC42EF" w14:textId="3BD92E06" w:rsidR="003A495F" w:rsidRDefault="003A495F" w:rsidP="003A495F">
            <w:pPr>
              <w:spacing w:after="120"/>
              <w:rPr>
                <w:rFonts w:ascii="Arial" w:hAnsi="Arial" w:cs="Arial"/>
                <w:b/>
              </w:rPr>
            </w:pPr>
            <w:r>
              <w:rPr>
                <w:rFonts w:ascii="Arial" w:hAnsi="Arial" w:cs="Arial"/>
                <w:b/>
              </w:rPr>
              <w:t>X</w:t>
            </w:r>
          </w:p>
        </w:tc>
        <w:tc>
          <w:tcPr>
            <w:tcW w:w="354" w:type="pct"/>
          </w:tcPr>
          <w:p w14:paraId="28308B1D" w14:textId="15C77918" w:rsidR="003A495F" w:rsidRDefault="003A495F" w:rsidP="003A495F">
            <w:pPr>
              <w:spacing w:after="120"/>
              <w:rPr>
                <w:rFonts w:ascii="Arial" w:hAnsi="Arial" w:cs="Arial"/>
                <w:b/>
              </w:rPr>
            </w:pPr>
            <w:r>
              <w:rPr>
                <w:rFonts w:ascii="Arial" w:hAnsi="Arial" w:cs="Arial"/>
                <w:b/>
              </w:rPr>
              <w:t>X</w:t>
            </w:r>
          </w:p>
        </w:tc>
        <w:tc>
          <w:tcPr>
            <w:tcW w:w="354" w:type="pct"/>
          </w:tcPr>
          <w:p w14:paraId="6955AB87" w14:textId="207D4A30" w:rsidR="003A495F" w:rsidRDefault="003A495F" w:rsidP="003A495F">
            <w:pPr>
              <w:spacing w:after="120"/>
              <w:rPr>
                <w:rFonts w:ascii="Arial" w:hAnsi="Arial" w:cs="Arial"/>
                <w:b/>
              </w:rPr>
            </w:pPr>
            <w:r>
              <w:rPr>
                <w:rFonts w:ascii="Arial" w:hAnsi="Arial" w:cs="Arial"/>
                <w:b/>
              </w:rPr>
              <w:t>X</w:t>
            </w:r>
          </w:p>
        </w:tc>
        <w:tc>
          <w:tcPr>
            <w:tcW w:w="352" w:type="pct"/>
          </w:tcPr>
          <w:p w14:paraId="16A24BA3" w14:textId="0193DD52" w:rsidR="003A495F" w:rsidRDefault="003A495F" w:rsidP="003A495F">
            <w:pPr>
              <w:spacing w:after="120"/>
              <w:rPr>
                <w:rFonts w:ascii="Arial" w:hAnsi="Arial" w:cs="Arial"/>
                <w:b/>
              </w:rPr>
            </w:pPr>
            <w:r>
              <w:rPr>
                <w:rFonts w:ascii="Arial" w:hAnsi="Arial" w:cs="Arial"/>
                <w:b/>
              </w:rPr>
              <w:t>X</w:t>
            </w:r>
          </w:p>
        </w:tc>
        <w:tc>
          <w:tcPr>
            <w:tcW w:w="352" w:type="pct"/>
          </w:tcPr>
          <w:p w14:paraId="6B3C6DC6" w14:textId="209E4A03" w:rsidR="003A495F" w:rsidRDefault="003A495F" w:rsidP="003A495F">
            <w:pPr>
              <w:spacing w:after="120"/>
              <w:rPr>
                <w:rFonts w:ascii="Arial" w:hAnsi="Arial" w:cs="Arial"/>
                <w:b/>
              </w:rPr>
            </w:pPr>
            <w:r>
              <w:rPr>
                <w:rFonts w:ascii="Arial" w:hAnsi="Arial" w:cs="Arial"/>
                <w:b/>
              </w:rPr>
              <w:t>X</w:t>
            </w:r>
          </w:p>
        </w:tc>
        <w:tc>
          <w:tcPr>
            <w:tcW w:w="351" w:type="pct"/>
          </w:tcPr>
          <w:p w14:paraId="084C42AA" w14:textId="738A29E8" w:rsidR="003A495F" w:rsidRDefault="003A495F" w:rsidP="003A495F">
            <w:pPr>
              <w:spacing w:after="120"/>
              <w:rPr>
                <w:rFonts w:ascii="Arial" w:hAnsi="Arial" w:cs="Arial"/>
                <w:b/>
              </w:rPr>
            </w:pPr>
            <w:r>
              <w:rPr>
                <w:rFonts w:ascii="Arial" w:hAnsi="Arial" w:cs="Arial"/>
                <w:b/>
              </w:rPr>
              <w:t>X</w:t>
            </w:r>
          </w:p>
        </w:tc>
      </w:tr>
      <w:tr w:rsidR="003A495F" w:rsidRPr="00302082" w14:paraId="51DBA515" w14:textId="6BED8E3A" w:rsidTr="003A495F">
        <w:tc>
          <w:tcPr>
            <w:tcW w:w="1100" w:type="pct"/>
            <w:shd w:val="clear" w:color="auto" w:fill="D9D9D9" w:themeFill="background1" w:themeFillShade="D9"/>
          </w:tcPr>
          <w:p w14:paraId="65DC6F46" w14:textId="77777777" w:rsidR="003A495F" w:rsidRPr="00302082" w:rsidRDefault="003A495F" w:rsidP="003A495F">
            <w:pPr>
              <w:spacing w:after="120"/>
              <w:rPr>
                <w:rFonts w:ascii="Arial" w:hAnsi="Arial" w:cs="Arial"/>
                <w:b/>
              </w:rPr>
            </w:pPr>
            <w:r w:rsidRPr="00302082">
              <w:rPr>
                <w:rFonts w:ascii="Arial" w:hAnsi="Arial" w:cs="Arial"/>
                <w:b/>
              </w:rPr>
              <w:t>Assessment method</w:t>
            </w:r>
          </w:p>
        </w:tc>
        <w:tc>
          <w:tcPr>
            <w:tcW w:w="356" w:type="pct"/>
          </w:tcPr>
          <w:p w14:paraId="72E3A657" w14:textId="77777777" w:rsidR="003A495F" w:rsidRPr="00302082" w:rsidRDefault="003A495F" w:rsidP="003A495F">
            <w:pPr>
              <w:spacing w:after="120"/>
              <w:rPr>
                <w:rFonts w:ascii="Arial" w:hAnsi="Arial" w:cs="Arial"/>
                <w:b/>
              </w:rPr>
            </w:pPr>
          </w:p>
        </w:tc>
        <w:tc>
          <w:tcPr>
            <w:tcW w:w="362" w:type="pct"/>
          </w:tcPr>
          <w:p w14:paraId="22713E56" w14:textId="77777777" w:rsidR="003A495F" w:rsidRPr="00302082" w:rsidRDefault="003A495F" w:rsidP="003A495F">
            <w:pPr>
              <w:spacing w:after="120"/>
              <w:rPr>
                <w:rFonts w:ascii="Arial" w:hAnsi="Arial" w:cs="Arial"/>
                <w:b/>
              </w:rPr>
            </w:pPr>
          </w:p>
        </w:tc>
        <w:tc>
          <w:tcPr>
            <w:tcW w:w="356" w:type="pct"/>
          </w:tcPr>
          <w:p w14:paraId="6D711DEA" w14:textId="77777777" w:rsidR="003A495F" w:rsidRPr="00302082" w:rsidRDefault="003A495F" w:rsidP="003A495F">
            <w:pPr>
              <w:spacing w:after="120"/>
              <w:rPr>
                <w:rFonts w:ascii="Arial" w:hAnsi="Arial" w:cs="Arial"/>
                <w:b/>
              </w:rPr>
            </w:pPr>
          </w:p>
        </w:tc>
        <w:tc>
          <w:tcPr>
            <w:tcW w:w="356" w:type="pct"/>
          </w:tcPr>
          <w:p w14:paraId="27958E73" w14:textId="77777777" w:rsidR="003A495F" w:rsidRPr="00302082" w:rsidRDefault="003A495F" w:rsidP="003A495F">
            <w:pPr>
              <w:spacing w:after="120"/>
              <w:rPr>
                <w:rFonts w:ascii="Arial" w:hAnsi="Arial" w:cs="Arial"/>
                <w:b/>
              </w:rPr>
            </w:pPr>
          </w:p>
        </w:tc>
        <w:tc>
          <w:tcPr>
            <w:tcW w:w="354" w:type="pct"/>
          </w:tcPr>
          <w:p w14:paraId="2F868FBF" w14:textId="77777777" w:rsidR="003A495F" w:rsidRPr="00302082" w:rsidRDefault="003A495F" w:rsidP="003A495F">
            <w:pPr>
              <w:spacing w:after="120"/>
              <w:rPr>
                <w:rFonts w:ascii="Arial" w:hAnsi="Arial" w:cs="Arial"/>
                <w:b/>
              </w:rPr>
            </w:pPr>
          </w:p>
        </w:tc>
        <w:tc>
          <w:tcPr>
            <w:tcW w:w="354" w:type="pct"/>
          </w:tcPr>
          <w:p w14:paraId="600B1DBA" w14:textId="77777777" w:rsidR="003A495F" w:rsidRPr="00302082" w:rsidRDefault="003A495F" w:rsidP="003A495F">
            <w:pPr>
              <w:spacing w:after="120"/>
              <w:rPr>
                <w:rFonts w:ascii="Arial" w:hAnsi="Arial" w:cs="Arial"/>
                <w:b/>
              </w:rPr>
            </w:pPr>
          </w:p>
        </w:tc>
        <w:tc>
          <w:tcPr>
            <w:tcW w:w="354" w:type="pct"/>
          </w:tcPr>
          <w:p w14:paraId="75D51299" w14:textId="509ADC88" w:rsidR="003A495F" w:rsidRPr="00302082" w:rsidRDefault="003A495F" w:rsidP="003A495F">
            <w:pPr>
              <w:spacing w:after="120"/>
              <w:rPr>
                <w:rFonts w:ascii="Arial" w:hAnsi="Arial" w:cs="Arial"/>
                <w:b/>
              </w:rPr>
            </w:pPr>
          </w:p>
        </w:tc>
        <w:tc>
          <w:tcPr>
            <w:tcW w:w="354" w:type="pct"/>
          </w:tcPr>
          <w:p w14:paraId="0A377A43" w14:textId="77777777" w:rsidR="003A495F" w:rsidRPr="00302082" w:rsidRDefault="003A495F" w:rsidP="003A495F">
            <w:pPr>
              <w:spacing w:after="120"/>
              <w:rPr>
                <w:rFonts w:ascii="Arial" w:hAnsi="Arial" w:cs="Arial"/>
                <w:b/>
              </w:rPr>
            </w:pPr>
          </w:p>
        </w:tc>
        <w:tc>
          <w:tcPr>
            <w:tcW w:w="352" w:type="pct"/>
          </w:tcPr>
          <w:p w14:paraId="0D5A076D" w14:textId="77777777" w:rsidR="003A495F" w:rsidRPr="00302082" w:rsidRDefault="003A495F" w:rsidP="003A495F">
            <w:pPr>
              <w:spacing w:after="120"/>
              <w:rPr>
                <w:rFonts w:ascii="Arial" w:hAnsi="Arial" w:cs="Arial"/>
                <w:b/>
              </w:rPr>
            </w:pPr>
          </w:p>
        </w:tc>
        <w:tc>
          <w:tcPr>
            <w:tcW w:w="352" w:type="pct"/>
          </w:tcPr>
          <w:p w14:paraId="197DF058" w14:textId="77777777" w:rsidR="003A495F" w:rsidRPr="00302082" w:rsidRDefault="003A495F" w:rsidP="003A495F">
            <w:pPr>
              <w:spacing w:after="120"/>
              <w:rPr>
                <w:rFonts w:ascii="Arial" w:hAnsi="Arial" w:cs="Arial"/>
                <w:b/>
              </w:rPr>
            </w:pPr>
          </w:p>
        </w:tc>
        <w:tc>
          <w:tcPr>
            <w:tcW w:w="351" w:type="pct"/>
          </w:tcPr>
          <w:p w14:paraId="13762A94" w14:textId="77777777" w:rsidR="003A495F" w:rsidRPr="00302082" w:rsidRDefault="003A495F" w:rsidP="003A495F">
            <w:pPr>
              <w:spacing w:after="120"/>
              <w:rPr>
                <w:rFonts w:ascii="Arial" w:hAnsi="Arial" w:cs="Arial"/>
                <w:b/>
              </w:rPr>
            </w:pPr>
          </w:p>
        </w:tc>
      </w:tr>
      <w:tr w:rsidR="003A495F" w:rsidRPr="00302082" w14:paraId="0B2D365A" w14:textId="374C2BA2" w:rsidTr="003A495F">
        <w:tc>
          <w:tcPr>
            <w:tcW w:w="1100" w:type="pct"/>
          </w:tcPr>
          <w:p w14:paraId="7258F137" w14:textId="655AEF7F" w:rsidR="003A495F" w:rsidRPr="00302082" w:rsidRDefault="003A495F" w:rsidP="003A495F">
            <w:pPr>
              <w:spacing w:after="120"/>
              <w:rPr>
                <w:rFonts w:ascii="Arial" w:hAnsi="Arial" w:cs="Arial"/>
                <w:i/>
              </w:rPr>
            </w:pPr>
            <w:r>
              <w:rPr>
                <w:rFonts w:ascii="Arial" w:hAnsi="Arial" w:cs="Arial"/>
                <w:iCs/>
              </w:rPr>
              <w:t>Essay</w:t>
            </w:r>
          </w:p>
        </w:tc>
        <w:tc>
          <w:tcPr>
            <w:tcW w:w="356" w:type="pct"/>
          </w:tcPr>
          <w:p w14:paraId="577A1600" w14:textId="5092D08C" w:rsidR="003A495F" w:rsidRPr="00302082" w:rsidRDefault="003A495F" w:rsidP="003A495F">
            <w:pPr>
              <w:spacing w:after="120"/>
              <w:rPr>
                <w:rFonts w:ascii="Arial" w:hAnsi="Arial" w:cs="Arial"/>
                <w:b/>
              </w:rPr>
            </w:pPr>
            <w:r>
              <w:rPr>
                <w:rFonts w:ascii="Arial" w:hAnsi="Arial" w:cs="Arial"/>
                <w:b/>
              </w:rPr>
              <w:t>X</w:t>
            </w:r>
          </w:p>
        </w:tc>
        <w:tc>
          <w:tcPr>
            <w:tcW w:w="362" w:type="pct"/>
          </w:tcPr>
          <w:p w14:paraId="01AACFFA" w14:textId="2B57799B" w:rsidR="003A495F" w:rsidRPr="00302082" w:rsidRDefault="003A495F" w:rsidP="003A495F">
            <w:pPr>
              <w:spacing w:after="120"/>
              <w:rPr>
                <w:rFonts w:ascii="Arial" w:hAnsi="Arial" w:cs="Arial"/>
                <w:b/>
              </w:rPr>
            </w:pPr>
            <w:r>
              <w:rPr>
                <w:rFonts w:ascii="Arial" w:hAnsi="Arial" w:cs="Arial"/>
                <w:b/>
              </w:rPr>
              <w:t>X</w:t>
            </w:r>
          </w:p>
        </w:tc>
        <w:tc>
          <w:tcPr>
            <w:tcW w:w="356" w:type="pct"/>
          </w:tcPr>
          <w:p w14:paraId="10F9525C" w14:textId="55E0F49E" w:rsidR="003A495F" w:rsidRPr="00302082" w:rsidRDefault="003A495F" w:rsidP="003A495F">
            <w:pPr>
              <w:spacing w:after="120"/>
              <w:rPr>
                <w:rFonts w:ascii="Arial" w:hAnsi="Arial" w:cs="Arial"/>
                <w:b/>
              </w:rPr>
            </w:pPr>
            <w:r>
              <w:rPr>
                <w:rFonts w:ascii="Arial" w:hAnsi="Arial" w:cs="Arial"/>
                <w:b/>
              </w:rPr>
              <w:t>X</w:t>
            </w:r>
          </w:p>
        </w:tc>
        <w:tc>
          <w:tcPr>
            <w:tcW w:w="356" w:type="pct"/>
          </w:tcPr>
          <w:p w14:paraId="47D9512A" w14:textId="32152BEA" w:rsidR="003A495F" w:rsidRPr="00302082" w:rsidRDefault="003A495F" w:rsidP="003A495F">
            <w:pPr>
              <w:spacing w:after="120"/>
              <w:rPr>
                <w:rFonts w:ascii="Arial" w:hAnsi="Arial" w:cs="Arial"/>
                <w:b/>
              </w:rPr>
            </w:pPr>
            <w:r>
              <w:rPr>
                <w:rFonts w:ascii="Arial" w:hAnsi="Arial" w:cs="Arial"/>
                <w:b/>
              </w:rPr>
              <w:t>X</w:t>
            </w:r>
          </w:p>
        </w:tc>
        <w:tc>
          <w:tcPr>
            <w:tcW w:w="354" w:type="pct"/>
          </w:tcPr>
          <w:p w14:paraId="770B9C82" w14:textId="714273AA" w:rsidR="003A495F" w:rsidRPr="00302082" w:rsidRDefault="003A495F" w:rsidP="003A495F">
            <w:pPr>
              <w:spacing w:after="120"/>
              <w:rPr>
                <w:rFonts w:ascii="Arial" w:hAnsi="Arial" w:cs="Arial"/>
                <w:b/>
              </w:rPr>
            </w:pPr>
            <w:r>
              <w:rPr>
                <w:rFonts w:ascii="Arial" w:hAnsi="Arial" w:cs="Arial"/>
                <w:b/>
              </w:rPr>
              <w:t>X</w:t>
            </w:r>
          </w:p>
        </w:tc>
        <w:tc>
          <w:tcPr>
            <w:tcW w:w="354" w:type="pct"/>
          </w:tcPr>
          <w:p w14:paraId="48A25839" w14:textId="1D5C41C9" w:rsidR="003A495F" w:rsidRPr="00302082" w:rsidRDefault="003A495F" w:rsidP="003A495F">
            <w:pPr>
              <w:spacing w:after="120"/>
              <w:rPr>
                <w:rFonts w:ascii="Arial" w:hAnsi="Arial" w:cs="Arial"/>
                <w:b/>
              </w:rPr>
            </w:pPr>
            <w:r>
              <w:rPr>
                <w:rFonts w:ascii="Arial" w:hAnsi="Arial" w:cs="Arial"/>
                <w:b/>
              </w:rPr>
              <w:t>X</w:t>
            </w:r>
          </w:p>
        </w:tc>
        <w:tc>
          <w:tcPr>
            <w:tcW w:w="354" w:type="pct"/>
          </w:tcPr>
          <w:p w14:paraId="36A93661" w14:textId="77548DC3" w:rsidR="003A495F" w:rsidRPr="00302082" w:rsidRDefault="003A495F" w:rsidP="003A495F">
            <w:pPr>
              <w:spacing w:after="120"/>
              <w:rPr>
                <w:rFonts w:ascii="Arial" w:hAnsi="Arial" w:cs="Arial"/>
                <w:b/>
              </w:rPr>
            </w:pPr>
            <w:r>
              <w:rPr>
                <w:rFonts w:ascii="Arial" w:hAnsi="Arial" w:cs="Arial"/>
                <w:b/>
              </w:rPr>
              <w:t>X</w:t>
            </w:r>
          </w:p>
        </w:tc>
        <w:tc>
          <w:tcPr>
            <w:tcW w:w="354" w:type="pct"/>
          </w:tcPr>
          <w:p w14:paraId="14980A26" w14:textId="01CF7891" w:rsidR="003A495F" w:rsidRPr="00302082" w:rsidRDefault="003A495F" w:rsidP="003A495F">
            <w:pPr>
              <w:spacing w:after="120"/>
              <w:rPr>
                <w:rFonts w:ascii="Arial" w:hAnsi="Arial" w:cs="Arial"/>
                <w:b/>
              </w:rPr>
            </w:pPr>
            <w:r>
              <w:rPr>
                <w:rFonts w:ascii="Arial" w:hAnsi="Arial" w:cs="Arial"/>
                <w:b/>
              </w:rPr>
              <w:t>X</w:t>
            </w:r>
          </w:p>
        </w:tc>
        <w:tc>
          <w:tcPr>
            <w:tcW w:w="352" w:type="pct"/>
          </w:tcPr>
          <w:p w14:paraId="27C9FE4A" w14:textId="0F50F692" w:rsidR="003A495F" w:rsidRPr="00302082" w:rsidRDefault="003A495F" w:rsidP="003A495F">
            <w:pPr>
              <w:spacing w:after="120"/>
              <w:rPr>
                <w:rFonts w:ascii="Arial" w:hAnsi="Arial" w:cs="Arial"/>
                <w:b/>
              </w:rPr>
            </w:pPr>
            <w:r>
              <w:rPr>
                <w:rFonts w:ascii="Arial" w:hAnsi="Arial" w:cs="Arial"/>
                <w:b/>
              </w:rPr>
              <w:t>X</w:t>
            </w:r>
          </w:p>
        </w:tc>
        <w:tc>
          <w:tcPr>
            <w:tcW w:w="352" w:type="pct"/>
          </w:tcPr>
          <w:p w14:paraId="5C622A64" w14:textId="300FF2BE" w:rsidR="003A495F" w:rsidRDefault="003A495F" w:rsidP="003A495F">
            <w:pPr>
              <w:spacing w:after="120"/>
              <w:rPr>
                <w:rFonts w:ascii="Arial" w:hAnsi="Arial" w:cs="Arial"/>
                <w:b/>
              </w:rPr>
            </w:pPr>
            <w:r>
              <w:rPr>
                <w:rFonts w:ascii="Arial" w:hAnsi="Arial" w:cs="Arial"/>
                <w:b/>
              </w:rPr>
              <w:t>X</w:t>
            </w:r>
          </w:p>
        </w:tc>
        <w:tc>
          <w:tcPr>
            <w:tcW w:w="351" w:type="pct"/>
          </w:tcPr>
          <w:p w14:paraId="0032C4B7" w14:textId="6EE03A3D" w:rsidR="003A495F" w:rsidRDefault="003A495F" w:rsidP="003A495F">
            <w:pPr>
              <w:spacing w:after="120"/>
              <w:rPr>
                <w:rFonts w:ascii="Arial" w:hAnsi="Arial" w:cs="Arial"/>
                <w:b/>
              </w:rPr>
            </w:pPr>
            <w:r>
              <w:rPr>
                <w:rFonts w:ascii="Arial" w:hAnsi="Arial" w:cs="Arial"/>
                <w:b/>
              </w:rPr>
              <w:t>X</w:t>
            </w:r>
          </w:p>
        </w:tc>
      </w:tr>
      <w:tr w:rsidR="003A495F" w:rsidRPr="00302082" w14:paraId="495FAE9C" w14:textId="36B1524F" w:rsidTr="003A495F">
        <w:tc>
          <w:tcPr>
            <w:tcW w:w="1100" w:type="pct"/>
          </w:tcPr>
          <w:p w14:paraId="60BCDF03" w14:textId="38171E09" w:rsidR="003A495F" w:rsidRDefault="003A495F" w:rsidP="003A495F">
            <w:pPr>
              <w:spacing w:after="120"/>
              <w:rPr>
                <w:rFonts w:ascii="Arial" w:hAnsi="Arial" w:cs="Arial"/>
                <w:iCs/>
              </w:rPr>
            </w:pPr>
            <w:r>
              <w:rPr>
                <w:rFonts w:ascii="Arial" w:hAnsi="Arial" w:cs="Arial"/>
                <w:iCs/>
              </w:rPr>
              <w:t>Exam</w:t>
            </w:r>
          </w:p>
        </w:tc>
        <w:tc>
          <w:tcPr>
            <w:tcW w:w="356" w:type="pct"/>
          </w:tcPr>
          <w:p w14:paraId="48C4546D" w14:textId="2B27207C" w:rsidR="003A495F" w:rsidRPr="00302082" w:rsidRDefault="003A495F" w:rsidP="003A495F">
            <w:pPr>
              <w:spacing w:after="120"/>
              <w:rPr>
                <w:rFonts w:ascii="Arial" w:hAnsi="Arial" w:cs="Arial"/>
                <w:b/>
              </w:rPr>
            </w:pPr>
            <w:r>
              <w:rPr>
                <w:rFonts w:ascii="Arial" w:hAnsi="Arial" w:cs="Arial"/>
                <w:b/>
              </w:rPr>
              <w:t>X</w:t>
            </w:r>
          </w:p>
        </w:tc>
        <w:tc>
          <w:tcPr>
            <w:tcW w:w="362" w:type="pct"/>
          </w:tcPr>
          <w:p w14:paraId="2EE7A760" w14:textId="1716054C" w:rsidR="003A495F" w:rsidRPr="00302082" w:rsidRDefault="003A495F" w:rsidP="003A495F">
            <w:pPr>
              <w:spacing w:after="120"/>
              <w:rPr>
                <w:rFonts w:ascii="Arial" w:hAnsi="Arial" w:cs="Arial"/>
                <w:b/>
              </w:rPr>
            </w:pPr>
            <w:r>
              <w:rPr>
                <w:rFonts w:ascii="Arial" w:hAnsi="Arial" w:cs="Arial"/>
                <w:b/>
              </w:rPr>
              <w:t>X</w:t>
            </w:r>
          </w:p>
        </w:tc>
        <w:tc>
          <w:tcPr>
            <w:tcW w:w="356" w:type="pct"/>
          </w:tcPr>
          <w:p w14:paraId="080CD62F" w14:textId="42D5FCB1" w:rsidR="003A495F" w:rsidRPr="00302082" w:rsidRDefault="003A495F" w:rsidP="003A495F">
            <w:pPr>
              <w:spacing w:after="120"/>
              <w:rPr>
                <w:rFonts w:ascii="Arial" w:hAnsi="Arial" w:cs="Arial"/>
                <w:b/>
              </w:rPr>
            </w:pPr>
            <w:r>
              <w:rPr>
                <w:rFonts w:ascii="Arial" w:hAnsi="Arial" w:cs="Arial"/>
                <w:b/>
              </w:rPr>
              <w:t>X</w:t>
            </w:r>
          </w:p>
        </w:tc>
        <w:tc>
          <w:tcPr>
            <w:tcW w:w="356" w:type="pct"/>
          </w:tcPr>
          <w:p w14:paraId="6F818769" w14:textId="264BE21A" w:rsidR="003A495F" w:rsidRPr="00302082" w:rsidRDefault="003A495F" w:rsidP="003A495F">
            <w:pPr>
              <w:spacing w:after="120"/>
              <w:rPr>
                <w:rFonts w:ascii="Arial" w:hAnsi="Arial" w:cs="Arial"/>
                <w:b/>
              </w:rPr>
            </w:pPr>
            <w:r>
              <w:rPr>
                <w:rFonts w:ascii="Arial" w:hAnsi="Arial" w:cs="Arial"/>
                <w:b/>
              </w:rPr>
              <w:t>X</w:t>
            </w:r>
          </w:p>
        </w:tc>
        <w:tc>
          <w:tcPr>
            <w:tcW w:w="354" w:type="pct"/>
          </w:tcPr>
          <w:p w14:paraId="5734CC24" w14:textId="482DC414" w:rsidR="003A495F" w:rsidRPr="00302082" w:rsidRDefault="003A495F" w:rsidP="003A495F">
            <w:pPr>
              <w:spacing w:after="120"/>
              <w:rPr>
                <w:rFonts w:ascii="Arial" w:hAnsi="Arial" w:cs="Arial"/>
                <w:b/>
              </w:rPr>
            </w:pPr>
            <w:r>
              <w:rPr>
                <w:rFonts w:ascii="Arial" w:hAnsi="Arial" w:cs="Arial"/>
                <w:b/>
              </w:rPr>
              <w:t>X</w:t>
            </w:r>
          </w:p>
        </w:tc>
        <w:tc>
          <w:tcPr>
            <w:tcW w:w="354" w:type="pct"/>
          </w:tcPr>
          <w:p w14:paraId="2BCEDA45" w14:textId="1EC81BCB" w:rsidR="003A495F" w:rsidRPr="00302082" w:rsidRDefault="003A495F" w:rsidP="003A495F">
            <w:pPr>
              <w:spacing w:after="120"/>
              <w:rPr>
                <w:rFonts w:ascii="Arial" w:hAnsi="Arial" w:cs="Arial"/>
                <w:b/>
              </w:rPr>
            </w:pPr>
            <w:r>
              <w:rPr>
                <w:rFonts w:ascii="Arial" w:hAnsi="Arial" w:cs="Arial"/>
                <w:b/>
              </w:rPr>
              <w:t>X</w:t>
            </w:r>
          </w:p>
        </w:tc>
        <w:tc>
          <w:tcPr>
            <w:tcW w:w="354" w:type="pct"/>
          </w:tcPr>
          <w:p w14:paraId="1F886ACE" w14:textId="7DDEFD21" w:rsidR="003A495F" w:rsidRPr="00302082" w:rsidRDefault="003A495F" w:rsidP="003A495F">
            <w:pPr>
              <w:spacing w:after="120"/>
              <w:rPr>
                <w:rFonts w:ascii="Arial" w:hAnsi="Arial" w:cs="Arial"/>
                <w:b/>
              </w:rPr>
            </w:pPr>
            <w:r>
              <w:rPr>
                <w:rFonts w:ascii="Arial" w:hAnsi="Arial" w:cs="Arial"/>
                <w:b/>
              </w:rPr>
              <w:t>X</w:t>
            </w:r>
          </w:p>
        </w:tc>
        <w:tc>
          <w:tcPr>
            <w:tcW w:w="354" w:type="pct"/>
          </w:tcPr>
          <w:p w14:paraId="4F761FA0" w14:textId="6EA1D8A4" w:rsidR="003A495F" w:rsidRPr="00302082" w:rsidRDefault="003A495F" w:rsidP="003A495F">
            <w:pPr>
              <w:spacing w:after="120"/>
              <w:rPr>
                <w:rFonts w:ascii="Arial" w:hAnsi="Arial" w:cs="Arial"/>
                <w:b/>
              </w:rPr>
            </w:pPr>
            <w:r>
              <w:rPr>
                <w:rFonts w:ascii="Arial" w:hAnsi="Arial" w:cs="Arial"/>
                <w:b/>
              </w:rPr>
              <w:t>X</w:t>
            </w:r>
          </w:p>
        </w:tc>
        <w:tc>
          <w:tcPr>
            <w:tcW w:w="352" w:type="pct"/>
          </w:tcPr>
          <w:p w14:paraId="01A81F36" w14:textId="5200FCF2" w:rsidR="003A495F" w:rsidRPr="00302082" w:rsidRDefault="003A495F" w:rsidP="003A495F">
            <w:pPr>
              <w:spacing w:after="120"/>
              <w:rPr>
                <w:rFonts w:ascii="Arial" w:hAnsi="Arial" w:cs="Arial"/>
                <w:b/>
              </w:rPr>
            </w:pPr>
            <w:r>
              <w:rPr>
                <w:rFonts w:ascii="Arial" w:hAnsi="Arial" w:cs="Arial"/>
                <w:b/>
              </w:rPr>
              <w:t>X</w:t>
            </w:r>
          </w:p>
        </w:tc>
        <w:tc>
          <w:tcPr>
            <w:tcW w:w="352" w:type="pct"/>
          </w:tcPr>
          <w:p w14:paraId="29C2052E" w14:textId="0AF4A303" w:rsidR="003A495F" w:rsidRDefault="003A495F" w:rsidP="003A495F">
            <w:pPr>
              <w:spacing w:after="120"/>
              <w:rPr>
                <w:rFonts w:ascii="Arial" w:hAnsi="Arial" w:cs="Arial"/>
                <w:b/>
              </w:rPr>
            </w:pPr>
            <w:r>
              <w:rPr>
                <w:rFonts w:ascii="Arial" w:hAnsi="Arial" w:cs="Arial"/>
                <w:b/>
              </w:rPr>
              <w:t>X</w:t>
            </w:r>
          </w:p>
        </w:tc>
        <w:tc>
          <w:tcPr>
            <w:tcW w:w="351" w:type="pct"/>
          </w:tcPr>
          <w:p w14:paraId="4BAF7286" w14:textId="661E6E6C" w:rsidR="003A495F" w:rsidRDefault="003A495F" w:rsidP="003A495F">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C8A672F"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37D40F23"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5DA66B" w14:textId="4777CC8D" w:rsidR="00486F32" w:rsidRPr="00486F32" w:rsidRDefault="003A495F" w:rsidP="00486F32">
      <w:pPr>
        <w:pStyle w:val="ListParagraph"/>
        <w:pBdr>
          <w:bottom w:val="single" w:sz="6" w:space="1" w:color="auto"/>
        </w:pBdr>
        <w:spacing w:after="120" w:line="240" w:lineRule="auto"/>
        <w:ind w:left="567" w:right="261"/>
        <w:rPr>
          <w:rFonts w:ascii="Arial" w:hAnsi="Arial" w:cs="Arial"/>
        </w:rPr>
      </w:pPr>
      <w:r>
        <w:rPr>
          <w:rFonts w:ascii="Arial" w:hAnsi="Arial" w:cs="Arial"/>
        </w:rPr>
        <w:t xml:space="preserve">Finance </w:t>
      </w:r>
      <w:r w:rsidRPr="003A495F">
        <w:rPr>
          <w:rFonts w:ascii="Arial" w:hAnsi="Arial" w:cs="Arial"/>
        </w:rPr>
        <w:t xml:space="preserve">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the </w:t>
      </w:r>
      <w:r>
        <w:rPr>
          <w:rFonts w:ascii="Arial" w:hAnsi="Arial" w:cs="Arial"/>
        </w:rPr>
        <w:t xml:space="preserve">financial </w:t>
      </w:r>
      <w:r w:rsidRPr="003A495F">
        <w:rPr>
          <w:rFonts w:ascii="Arial" w:hAnsi="Arial" w:cs="Arial"/>
        </w:rPr>
        <w:t>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r>
        <w:rPr>
          <w:rFonts w:ascii="Arial" w:hAnsi="Arial" w:cs="Arial"/>
        </w:rPr>
        <w:t>.</w:t>
      </w: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23AC5" w:rsidRPr="00302082" w14:paraId="4D54B516" w14:textId="77777777" w:rsidTr="00A67C38">
        <w:trPr>
          <w:trHeight w:val="305"/>
        </w:trPr>
        <w:tc>
          <w:tcPr>
            <w:tcW w:w="1526" w:type="dxa"/>
          </w:tcPr>
          <w:p w14:paraId="35D3B027" w14:textId="50111553" w:rsidR="00423AC5" w:rsidRPr="00302082" w:rsidRDefault="00423AC5" w:rsidP="00423AC5">
            <w:pPr>
              <w:spacing w:after="120"/>
              <w:ind w:right="-330"/>
              <w:rPr>
                <w:rFonts w:ascii="Arial" w:hAnsi="Arial" w:cs="Arial"/>
              </w:rPr>
            </w:pPr>
          </w:p>
        </w:tc>
        <w:tc>
          <w:tcPr>
            <w:tcW w:w="1701" w:type="dxa"/>
          </w:tcPr>
          <w:p w14:paraId="151996FF" w14:textId="021A8FF3" w:rsidR="00423AC5" w:rsidRPr="00302082" w:rsidRDefault="00423AC5" w:rsidP="00423AC5">
            <w:pPr>
              <w:spacing w:after="120"/>
              <w:ind w:right="-330"/>
              <w:rPr>
                <w:rFonts w:ascii="Arial" w:hAnsi="Arial" w:cs="Arial"/>
              </w:rPr>
            </w:pPr>
          </w:p>
        </w:tc>
        <w:tc>
          <w:tcPr>
            <w:tcW w:w="2410" w:type="dxa"/>
          </w:tcPr>
          <w:p w14:paraId="11C26B6A" w14:textId="1EE9958A" w:rsidR="00423AC5" w:rsidRPr="00302082" w:rsidRDefault="00423AC5" w:rsidP="00423AC5">
            <w:pPr>
              <w:spacing w:after="120"/>
              <w:ind w:right="-330"/>
              <w:rPr>
                <w:rFonts w:ascii="Arial" w:hAnsi="Arial" w:cs="Arial"/>
              </w:rPr>
            </w:pPr>
          </w:p>
        </w:tc>
        <w:tc>
          <w:tcPr>
            <w:tcW w:w="2448" w:type="dxa"/>
          </w:tcPr>
          <w:p w14:paraId="6A9F6C84" w14:textId="59BF6745" w:rsidR="00423AC5" w:rsidRPr="00302082" w:rsidRDefault="00423AC5" w:rsidP="00423AC5">
            <w:pPr>
              <w:spacing w:after="120"/>
              <w:ind w:right="-330"/>
              <w:rPr>
                <w:rFonts w:ascii="Arial" w:hAnsi="Arial" w:cs="Arial"/>
              </w:rPr>
            </w:pPr>
          </w:p>
        </w:tc>
        <w:tc>
          <w:tcPr>
            <w:tcW w:w="2597" w:type="dxa"/>
          </w:tcPr>
          <w:p w14:paraId="0112E7D6" w14:textId="6895E6AD" w:rsidR="00423AC5" w:rsidRPr="00302082" w:rsidRDefault="00423AC5" w:rsidP="00423AC5">
            <w:pPr>
              <w:spacing w:after="120"/>
              <w:ind w:right="-330"/>
              <w:rPr>
                <w:rFonts w:ascii="Arial" w:hAnsi="Arial" w:cs="Arial"/>
              </w:rPr>
            </w:pPr>
          </w:p>
        </w:tc>
      </w:tr>
      <w:tr w:rsidR="00423AC5" w:rsidRPr="00302082" w14:paraId="6BC33F35" w14:textId="77777777" w:rsidTr="00A67C38">
        <w:trPr>
          <w:trHeight w:val="305"/>
        </w:trPr>
        <w:tc>
          <w:tcPr>
            <w:tcW w:w="1526" w:type="dxa"/>
          </w:tcPr>
          <w:p w14:paraId="45B3FD9C" w14:textId="77777777" w:rsidR="00423AC5" w:rsidRPr="00302082" w:rsidRDefault="00423AC5" w:rsidP="00423AC5">
            <w:pPr>
              <w:spacing w:after="120"/>
              <w:ind w:right="-330"/>
              <w:rPr>
                <w:rFonts w:ascii="Arial" w:hAnsi="Arial" w:cs="Arial"/>
              </w:rPr>
            </w:pPr>
          </w:p>
        </w:tc>
        <w:tc>
          <w:tcPr>
            <w:tcW w:w="1701" w:type="dxa"/>
          </w:tcPr>
          <w:p w14:paraId="25152F34" w14:textId="77777777" w:rsidR="00423AC5" w:rsidRPr="00302082" w:rsidRDefault="00423AC5" w:rsidP="00423AC5">
            <w:pPr>
              <w:spacing w:after="120"/>
              <w:ind w:right="-330"/>
              <w:rPr>
                <w:rFonts w:ascii="Arial" w:hAnsi="Arial" w:cs="Arial"/>
              </w:rPr>
            </w:pPr>
          </w:p>
        </w:tc>
        <w:tc>
          <w:tcPr>
            <w:tcW w:w="2410" w:type="dxa"/>
          </w:tcPr>
          <w:p w14:paraId="38C09616" w14:textId="77777777" w:rsidR="00423AC5" w:rsidRPr="00302082" w:rsidRDefault="00423AC5" w:rsidP="00423AC5">
            <w:pPr>
              <w:spacing w:after="120"/>
              <w:ind w:right="-330"/>
              <w:rPr>
                <w:rFonts w:ascii="Arial" w:hAnsi="Arial" w:cs="Arial"/>
              </w:rPr>
            </w:pPr>
          </w:p>
        </w:tc>
        <w:tc>
          <w:tcPr>
            <w:tcW w:w="2448" w:type="dxa"/>
          </w:tcPr>
          <w:p w14:paraId="4F4AACAC" w14:textId="77777777" w:rsidR="00423AC5" w:rsidRPr="00302082" w:rsidRDefault="00423AC5" w:rsidP="00423AC5">
            <w:pPr>
              <w:spacing w:after="120"/>
              <w:ind w:right="-330"/>
              <w:rPr>
                <w:rFonts w:ascii="Arial" w:hAnsi="Arial" w:cs="Arial"/>
              </w:rPr>
            </w:pPr>
          </w:p>
        </w:tc>
        <w:tc>
          <w:tcPr>
            <w:tcW w:w="2597" w:type="dxa"/>
          </w:tcPr>
          <w:p w14:paraId="7ECF24C9" w14:textId="77777777" w:rsidR="00423AC5" w:rsidRPr="00302082" w:rsidRDefault="00423AC5" w:rsidP="00423AC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029E51DE" w:rsidR="008B2543" w:rsidRDefault="0019787E" w:rsidP="009A2D37">
        <w:pPr>
          <w:pStyle w:val="Footer"/>
          <w:jc w:val="center"/>
        </w:pPr>
        <w:r>
          <w:fldChar w:fldCharType="begin"/>
        </w:r>
        <w:r>
          <w:instrText xml:space="preserve"> PAGE   \* MERGEFORMAT </w:instrText>
        </w:r>
        <w:r>
          <w:fldChar w:fldCharType="separate"/>
        </w:r>
        <w:r w:rsidR="00921446">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0"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18"/>
  </w:num>
  <w:num w:numId="6">
    <w:abstractNumId w:val="16"/>
  </w:num>
  <w:num w:numId="7">
    <w:abstractNumId w:val="25"/>
  </w:num>
  <w:num w:numId="8">
    <w:abstractNumId w:val="17"/>
  </w:num>
  <w:num w:numId="9">
    <w:abstractNumId w:val="10"/>
  </w:num>
  <w:num w:numId="10">
    <w:abstractNumId w:val="19"/>
  </w:num>
  <w:num w:numId="11">
    <w:abstractNumId w:val="14"/>
  </w:num>
  <w:num w:numId="12">
    <w:abstractNumId w:val="26"/>
  </w:num>
  <w:num w:numId="13">
    <w:abstractNumId w:val="21"/>
  </w:num>
  <w:num w:numId="14">
    <w:abstractNumId w:val="13"/>
  </w:num>
  <w:num w:numId="15">
    <w:abstractNumId w:val="23"/>
  </w:num>
  <w:num w:numId="16">
    <w:abstractNumId w:val="28"/>
  </w:num>
  <w:num w:numId="17">
    <w:abstractNumId w:val="12"/>
  </w:num>
  <w:num w:numId="18">
    <w:abstractNumId w:val="27"/>
  </w:num>
  <w:num w:numId="19">
    <w:abstractNumId w:val="7"/>
  </w:num>
  <w:num w:numId="20">
    <w:abstractNumId w:val="4"/>
  </w:num>
  <w:num w:numId="21">
    <w:abstractNumId w:val="2"/>
  </w:num>
  <w:num w:numId="22">
    <w:abstractNumId w:val="15"/>
  </w:num>
  <w:num w:numId="23">
    <w:abstractNumId w:val="22"/>
  </w:num>
  <w:num w:numId="24">
    <w:abstractNumId w:val="11"/>
  </w:num>
  <w:num w:numId="25">
    <w:abstractNumId w:val="1"/>
  </w:num>
  <w:num w:numId="26">
    <w:abstractNumId w:val="5"/>
  </w:num>
  <w:num w:numId="27">
    <w:abstractNumId w:val="24"/>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2CCB"/>
    <w:rsid w:val="000E3B73"/>
    <w:rsid w:val="000F6C56"/>
    <w:rsid w:val="000F7FBF"/>
    <w:rsid w:val="00106BE5"/>
    <w:rsid w:val="00110947"/>
    <w:rsid w:val="00111906"/>
    <w:rsid w:val="00111CB3"/>
    <w:rsid w:val="00117577"/>
    <w:rsid w:val="00117793"/>
    <w:rsid w:val="001206E4"/>
    <w:rsid w:val="001214D3"/>
    <w:rsid w:val="00121BFC"/>
    <w:rsid w:val="0012366A"/>
    <w:rsid w:val="00125F84"/>
    <w:rsid w:val="0013248A"/>
    <w:rsid w:val="00134D76"/>
    <w:rsid w:val="001402AD"/>
    <w:rsid w:val="001540CE"/>
    <w:rsid w:val="0015717B"/>
    <w:rsid w:val="00157ACA"/>
    <w:rsid w:val="00160427"/>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495F"/>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86F32"/>
    <w:rsid w:val="00492DA4"/>
    <w:rsid w:val="00496AA3"/>
    <w:rsid w:val="00497C98"/>
    <w:rsid w:val="004A39D7"/>
    <w:rsid w:val="004A55FA"/>
    <w:rsid w:val="004B5D03"/>
    <w:rsid w:val="004C1EC4"/>
    <w:rsid w:val="004D035C"/>
    <w:rsid w:val="004D5E77"/>
    <w:rsid w:val="004D61AD"/>
    <w:rsid w:val="004F3C18"/>
    <w:rsid w:val="004F4328"/>
    <w:rsid w:val="004F78E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CDE"/>
    <w:rsid w:val="00724362"/>
    <w:rsid w:val="00727780"/>
    <w:rsid w:val="00736411"/>
    <w:rsid w:val="0073792C"/>
    <w:rsid w:val="007473A3"/>
    <w:rsid w:val="00754069"/>
    <w:rsid w:val="007667DF"/>
    <w:rsid w:val="0077080B"/>
    <w:rsid w:val="00773AC9"/>
    <w:rsid w:val="00781D68"/>
    <w:rsid w:val="00787070"/>
    <w:rsid w:val="007906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903DF6"/>
    <w:rsid w:val="00905E71"/>
    <w:rsid w:val="00916009"/>
    <w:rsid w:val="00920561"/>
    <w:rsid w:val="00921446"/>
    <w:rsid w:val="00921CF6"/>
    <w:rsid w:val="00922E9E"/>
    <w:rsid w:val="00924EF0"/>
    <w:rsid w:val="00934D7B"/>
    <w:rsid w:val="00947180"/>
    <w:rsid w:val="0095061F"/>
    <w:rsid w:val="009567BE"/>
    <w:rsid w:val="009676FA"/>
    <w:rsid w:val="009679E0"/>
    <w:rsid w:val="00972DE5"/>
    <w:rsid w:val="0097552B"/>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E1704"/>
    <w:rsid w:val="009E42CA"/>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C19F7"/>
    <w:rsid w:val="00BC41ED"/>
    <w:rsid w:val="00BD009E"/>
    <w:rsid w:val="00BD0EF8"/>
    <w:rsid w:val="00BD6B27"/>
    <w:rsid w:val="00BD7A8C"/>
    <w:rsid w:val="00BE2126"/>
    <w:rsid w:val="00BE3B17"/>
    <w:rsid w:val="00BE5EE0"/>
    <w:rsid w:val="00BF51AB"/>
    <w:rsid w:val="00BF716B"/>
    <w:rsid w:val="00BF7233"/>
    <w:rsid w:val="00C00301"/>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7BF2"/>
    <w:rsid w:val="00CA02C1"/>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629D"/>
    <w:rsid w:val="00D773CF"/>
    <w:rsid w:val="00D83563"/>
    <w:rsid w:val="00D8448F"/>
    <w:rsid w:val="00DA64B6"/>
    <w:rsid w:val="00DB3BC0"/>
    <w:rsid w:val="00DB5C9D"/>
    <w:rsid w:val="00DC0045"/>
    <w:rsid w:val="00DC0693"/>
    <w:rsid w:val="00DD02E6"/>
    <w:rsid w:val="00DD25D0"/>
    <w:rsid w:val="00DF665B"/>
    <w:rsid w:val="00DF7375"/>
    <w:rsid w:val="00E0152A"/>
    <w:rsid w:val="00E03394"/>
    <w:rsid w:val="00E066E5"/>
    <w:rsid w:val="00E154F5"/>
    <w:rsid w:val="00E22F03"/>
    <w:rsid w:val="00E233C1"/>
    <w:rsid w:val="00E34A66"/>
    <w:rsid w:val="00E415C1"/>
    <w:rsid w:val="00E46466"/>
    <w:rsid w:val="00E5121D"/>
    <w:rsid w:val="00E51404"/>
    <w:rsid w:val="00E574C9"/>
    <w:rsid w:val="00E610DE"/>
    <w:rsid w:val="00E65A33"/>
    <w:rsid w:val="00E66167"/>
    <w:rsid w:val="00E71F2F"/>
    <w:rsid w:val="00E7303E"/>
    <w:rsid w:val="00E77786"/>
    <w:rsid w:val="00E806FB"/>
    <w:rsid w:val="00E84B63"/>
    <w:rsid w:val="00EA10E0"/>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3450-2A1D-4FCE-9EC4-4629E3CC5C5D}">
  <ds:schemaRefs>
    <ds:schemaRef ds:uri="http://schemas.microsoft.com/sharepoint/events"/>
  </ds:schemaRefs>
</ds:datastoreItem>
</file>

<file path=customXml/itemProps2.xml><?xml version="1.0" encoding="utf-8"?>
<ds:datastoreItem xmlns:ds="http://schemas.openxmlformats.org/officeDocument/2006/customXml" ds:itemID="{6C024DAD-F7C1-4829-B18E-F0AA1DB137D6}"/>
</file>

<file path=customXml/itemProps3.xml><?xml version="1.0" encoding="utf-8"?>
<ds:datastoreItem xmlns:ds="http://schemas.openxmlformats.org/officeDocument/2006/customXml" ds:itemID="{4B236A2A-1836-45D3-B4DB-F6339FB6BF0D}">
  <ds:schemaRefs>
    <ds:schemaRef ds:uri="http://schemas.microsoft.com/sharepoint/v3/contenttype/forms"/>
  </ds:schemaRefs>
</ds:datastoreItem>
</file>

<file path=customXml/itemProps4.xml><?xml version="1.0" encoding="utf-8"?>
<ds:datastoreItem xmlns:ds="http://schemas.openxmlformats.org/officeDocument/2006/customXml" ds:itemID="{B91967CD-0E7D-4C60-9BC3-A0CB18C82B83}">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92D5E1E3-A6A9-4948-86BC-99A0003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8</cp:revision>
  <cp:lastPrinted>2015-09-09T08:37:00Z</cp:lastPrinted>
  <dcterms:created xsi:type="dcterms:W3CDTF">2018-02-19T14:35:00Z</dcterms:created>
  <dcterms:modified xsi:type="dcterms:W3CDTF">2018-07-10T12:37:00Z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1f25b30f-a352-4ae5-a634-231c06a806ee</vt:lpwstr>
  </property>
  <property fmtid="{D5CDD505-2E9C-101B-9397-08002B2CF9AE}" pid="4" name="Order">
    <vt:r8>62300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