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B64244A" w:rsidR="009A2D37" w:rsidRPr="00302082" w:rsidRDefault="00CC6C8F" w:rsidP="00696FF5">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7F64CC1E" w14:textId="3D89DDB1" w:rsidR="009A2D37" w:rsidRPr="00302082" w:rsidRDefault="004868F9" w:rsidP="008002E1">
      <w:pPr>
        <w:spacing w:after="120" w:line="240" w:lineRule="auto"/>
        <w:ind w:left="567" w:right="260"/>
        <w:jc w:val="both"/>
        <w:rPr>
          <w:rFonts w:ascii="Arial" w:hAnsi="Arial" w:cs="Arial"/>
        </w:rPr>
      </w:pPr>
      <w:r>
        <w:rPr>
          <w:rFonts w:ascii="Arial" w:hAnsi="Arial" w:cs="Arial"/>
        </w:rPr>
        <w:t>BUSN</w:t>
      </w:r>
      <w:r w:rsidR="008002E1">
        <w:rPr>
          <w:rFonts w:ascii="Arial" w:hAnsi="Arial" w:cs="Arial"/>
        </w:rPr>
        <w:t>9058</w:t>
      </w:r>
      <w:r w:rsidR="00CC6C8F">
        <w:rPr>
          <w:rFonts w:ascii="Arial" w:hAnsi="Arial" w:cs="Arial"/>
        </w:rPr>
        <w:t xml:space="preserve">: </w:t>
      </w:r>
      <w:r w:rsidR="008002E1">
        <w:rPr>
          <w:rFonts w:ascii="Arial" w:hAnsi="Arial" w:cs="Arial"/>
        </w:rPr>
        <w:t>Warehousing and Global Transportation</w:t>
      </w:r>
      <w:r w:rsidR="008002E1" w:rsidRPr="00BB7A12">
        <w:rPr>
          <w:rFonts w:ascii="Arial" w:hAnsi="Arial" w:cs="Arial"/>
        </w:rPr>
        <w:t xml:space="preserve"> Management</w:t>
      </w:r>
    </w:p>
    <w:p w14:paraId="58F7AA76" w14:textId="047CEC8A" w:rsidR="009A2D37" w:rsidRPr="00302082" w:rsidRDefault="00CC6C8F"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B2BC6CA" w:rsidR="009A2D37" w:rsidRPr="00CB34E8" w:rsidRDefault="00123E8A" w:rsidP="00CB34E8">
      <w:pPr>
        <w:spacing w:after="120" w:line="240" w:lineRule="auto"/>
        <w:ind w:left="567" w:right="260"/>
        <w:rPr>
          <w:rFonts w:ascii="Arial" w:hAnsi="Arial" w:cs="Arial"/>
        </w:rPr>
      </w:pPr>
      <w:r>
        <w:rPr>
          <w:rFonts w:ascii="Arial" w:hAnsi="Arial" w:cs="Arial"/>
        </w:rPr>
        <w:t>1</w:t>
      </w:r>
      <w:r w:rsidR="007D5FDC">
        <w:rPr>
          <w:rFonts w:ascii="Arial" w:hAnsi="Arial" w:cs="Arial"/>
        </w:rPr>
        <w:t>5</w:t>
      </w:r>
      <w:r w:rsidR="00234EA6">
        <w:rPr>
          <w:rFonts w:ascii="Arial" w:hAnsi="Arial" w:cs="Arial"/>
        </w:rPr>
        <w:t xml:space="preserve"> cre</w:t>
      </w:r>
      <w:r w:rsidR="0072075F">
        <w:rPr>
          <w:rFonts w:ascii="Arial" w:hAnsi="Arial" w:cs="Arial"/>
        </w:rPr>
        <w:t>dits (7</w:t>
      </w:r>
      <w:r w:rsidR="007D5FDC">
        <w:rPr>
          <w:rFonts w:ascii="Arial" w:hAnsi="Arial" w:cs="Arial"/>
        </w:rPr>
        <w:t>.</w:t>
      </w:r>
      <w:r w:rsidR="004F650F">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65A1EBAF" w:rsidR="005F0105" w:rsidRPr="006C1DB9" w:rsidRDefault="006C1DB9" w:rsidP="006C1DB9">
      <w:pPr>
        <w:spacing w:after="0"/>
        <w:ind w:left="567"/>
        <w:rPr>
          <w:rFonts w:ascii="Arial" w:hAnsi="Arial" w:cs="Arial"/>
        </w:rPr>
      </w:pPr>
      <w:r>
        <w:rPr>
          <w:rFonts w:ascii="Arial" w:hAnsi="Arial" w:cs="Arial"/>
        </w:rPr>
        <w:t>Spring</w:t>
      </w:r>
    </w:p>
    <w:p w14:paraId="746D587A" w14:textId="77777777" w:rsidR="007D5FDC" w:rsidRPr="005F0105" w:rsidRDefault="007D5FDC" w:rsidP="005F0105">
      <w:pPr>
        <w:pStyle w:val="ListParagraph"/>
        <w:spacing w:after="0"/>
        <w:ind w:left="567"/>
        <w:rPr>
          <w:rFonts w:ascii="Arial" w:hAnsi="Arial" w:cs="Arial"/>
        </w:rPr>
      </w:pPr>
    </w:p>
    <w:p w14:paraId="21BD3DD5" w14:textId="166B8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DFC0CA1" w14:textId="77777777" w:rsidR="00E04DB0" w:rsidRDefault="00591401" w:rsidP="009D2AEE">
      <w:pPr>
        <w:spacing w:after="120" w:line="240" w:lineRule="auto"/>
        <w:ind w:left="567" w:right="260"/>
        <w:rPr>
          <w:rFonts w:ascii="Arial" w:hAnsi="Arial" w:cs="Arial"/>
          <w:iCs/>
        </w:rPr>
      </w:pPr>
      <w:r>
        <w:rPr>
          <w:rFonts w:ascii="Arial" w:hAnsi="Arial" w:cs="Arial"/>
          <w:iCs/>
        </w:rPr>
        <w:t xml:space="preserve">BUSN9960 </w:t>
      </w:r>
      <w:r w:rsidRPr="00591401">
        <w:rPr>
          <w:rFonts w:ascii="Arial" w:hAnsi="Arial" w:cs="Arial"/>
          <w:iCs/>
        </w:rPr>
        <w:t>Introduction to Logistics and</w:t>
      </w:r>
      <w:r w:rsidR="008002E1">
        <w:rPr>
          <w:rFonts w:ascii="Arial" w:hAnsi="Arial" w:cs="Arial"/>
          <w:iCs/>
        </w:rPr>
        <w:t xml:space="preserve"> Supply Chain Management</w:t>
      </w:r>
      <w:r w:rsidRPr="00591401">
        <w:rPr>
          <w:rFonts w:ascii="Arial" w:hAnsi="Arial" w:cs="Arial"/>
          <w:iCs/>
        </w:rPr>
        <w:t xml:space="preserve">. </w:t>
      </w:r>
    </w:p>
    <w:p w14:paraId="5396EA26" w14:textId="6A640D1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CC6C8F">
        <w:rPr>
          <w:rFonts w:ascii="Arial" w:hAnsi="Arial" w:cs="Arial"/>
          <w:b/>
        </w:rPr>
        <w:t>course</w:t>
      </w:r>
      <w:r w:rsidRPr="00302082">
        <w:rPr>
          <w:rFonts w:ascii="Arial" w:hAnsi="Arial" w:cs="Arial"/>
          <w:b/>
        </w:rPr>
        <w:t>s of study to which the module contributes</w:t>
      </w:r>
    </w:p>
    <w:p w14:paraId="7A952561" w14:textId="6E913C72" w:rsidR="006C1DB9" w:rsidRPr="00D3102D" w:rsidRDefault="00123E8A" w:rsidP="00591401">
      <w:pPr>
        <w:spacing w:after="120" w:line="240" w:lineRule="auto"/>
        <w:ind w:right="260" w:firstLine="567"/>
        <w:rPr>
          <w:rFonts w:ascii="Arial" w:hAnsi="Arial" w:cs="Arial"/>
          <w:iCs/>
        </w:rPr>
      </w:pPr>
      <w:r w:rsidRPr="00123E8A">
        <w:rPr>
          <w:rFonts w:ascii="Arial" w:hAnsi="Arial" w:cs="Arial"/>
          <w:iCs/>
        </w:rPr>
        <w:t>MSc Logistics and Supply Chain Management</w:t>
      </w:r>
      <w:r>
        <w:rPr>
          <w:rFonts w:ascii="Arial" w:hAnsi="Arial" w:cs="Arial"/>
          <w:iCs/>
        </w:rPr>
        <w:t xml:space="preserve">. </w:t>
      </w:r>
    </w:p>
    <w:p w14:paraId="671AB754" w14:textId="4AF4EF9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9AA1CD" w14:textId="1BBB3427" w:rsidR="00E04DB0" w:rsidRPr="00D3054B" w:rsidRDefault="00E04DB0" w:rsidP="00E04DB0">
      <w:pPr>
        <w:pStyle w:val="ListParagraph"/>
        <w:spacing w:after="0" w:line="240" w:lineRule="auto"/>
        <w:ind w:left="567"/>
        <w:rPr>
          <w:rFonts w:ascii="Arial" w:eastAsia="Times New Roman" w:hAnsi="Arial" w:cs="Arial"/>
          <w:lang w:eastAsia="en-US"/>
        </w:rPr>
      </w:pPr>
      <w:r>
        <w:rPr>
          <w:rFonts w:ascii="Arial" w:eastAsia="Times New Roman" w:hAnsi="Arial" w:cs="Arial"/>
          <w:lang w:eastAsia="en-US"/>
        </w:rPr>
        <w:t>8.1 critically evaluate</w:t>
      </w:r>
      <w:r w:rsidRPr="00D3054B">
        <w:rPr>
          <w:rFonts w:ascii="Arial" w:eastAsia="Times New Roman" w:hAnsi="Arial" w:cs="Arial"/>
          <w:lang w:eastAsia="en-US"/>
        </w:rPr>
        <w:t xml:space="preserve"> the roles warehouses, transportation centres and the different modes of transport have on the logistic and supply chain </w:t>
      </w:r>
      <w:proofErr w:type="gramStart"/>
      <w:r w:rsidRPr="00D3054B">
        <w:rPr>
          <w:rFonts w:ascii="Arial" w:eastAsia="Times New Roman" w:hAnsi="Arial" w:cs="Arial"/>
          <w:lang w:eastAsia="en-US"/>
        </w:rPr>
        <w:t>systems</w:t>
      </w:r>
      <w:r>
        <w:rPr>
          <w:rFonts w:ascii="Arial" w:eastAsia="Times New Roman" w:hAnsi="Arial" w:cs="Arial"/>
          <w:lang w:eastAsia="en-US"/>
        </w:rPr>
        <w:t>;</w:t>
      </w:r>
      <w:proofErr w:type="gramEnd"/>
    </w:p>
    <w:p w14:paraId="0A3DF145" w14:textId="24BB4A7B" w:rsidR="00E04DB0" w:rsidRPr="00D3054B" w:rsidRDefault="00E04DB0" w:rsidP="00E04DB0">
      <w:pPr>
        <w:pStyle w:val="ListParagraph"/>
        <w:spacing w:after="0" w:line="240" w:lineRule="auto"/>
        <w:ind w:left="567"/>
        <w:rPr>
          <w:rFonts w:ascii="Arial" w:eastAsia="Times New Roman" w:hAnsi="Arial" w:cs="Arial"/>
          <w:lang w:eastAsia="en-US"/>
        </w:rPr>
      </w:pPr>
      <w:r>
        <w:rPr>
          <w:rFonts w:ascii="Arial" w:eastAsia="Times New Roman" w:hAnsi="Arial" w:cs="Arial"/>
          <w:lang w:eastAsia="en-US"/>
        </w:rPr>
        <w:t>8.2 demonstrate an in depth</w:t>
      </w:r>
      <w:r w:rsidRPr="00D3054B">
        <w:rPr>
          <w:rFonts w:ascii="Arial" w:eastAsia="Times New Roman" w:hAnsi="Arial" w:cs="Arial"/>
          <w:lang w:eastAsia="en-US"/>
        </w:rPr>
        <w:t xml:space="preserve"> understanding of the suitable quantitative approaches used in warehousing and global </w:t>
      </w:r>
      <w:proofErr w:type="gramStart"/>
      <w:r w:rsidRPr="00D3054B">
        <w:rPr>
          <w:rFonts w:ascii="Arial" w:eastAsia="Times New Roman" w:hAnsi="Arial" w:cs="Arial"/>
          <w:lang w:eastAsia="en-US"/>
        </w:rPr>
        <w:t>transportation;</w:t>
      </w:r>
      <w:proofErr w:type="gramEnd"/>
      <w:r w:rsidRPr="00D3054B">
        <w:rPr>
          <w:rFonts w:ascii="Arial" w:eastAsia="Times New Roman" w:hAnsi="Arial" w:cs="Arial"/>
          <w:lang w:eastAsia="en-US"/>
        </w:rPr>
        <w:t xml:space="preserve"> </w:t>
      </w:r>
    </w:p>
    <w:p w14:paraId="055D9599" w14:textId="4D6B542B" w:rsidR="00E04DB0" w:rsidRPr="00D3054B" w:rsidRDefault="00E04DB0" w:rsidP="00E04DB0">
      <w:pPr>
        <w:pStyle w:val="ListParagraph"/>
        <w:spacing w:after="0" w:line="240" w:lineRule="auto"/>
        <w:ind w:left="567"/>
        <w:rPr>
          <w:rFonts w:ascii="Arial" w:eastAsia="Times New Roman" w:hAnsi="Arial" w:cs="Arial"/>
          <w:lang w:eastAsia="en-US"/>
        </w:rPr>
      </w:pPr>
      <w:r>
        <w:rPr>
          <w:rFonts w:ascii="Arial" w:eastAsia="Times New Roman" w:hAnsi="Arial" w:cs="Arial"/>
          <w:lang w:eastAsia="en-US"/>
        </w:rPr>
        <w:t xml:space="preserve">8.3 </w:t>
      </w:r>
      <w:r w:rsidR="00CC6C8F">
        <w:rPr>
          <w:rFonts w:ascii="Arial" w:eastAsia="Times New Roman" w:hAnsi="Arial" w:cs="Arial"/>
          <w:lang w:eastAsia="en-US"/>
        </w:rPr>
        <w:t xml:space="preserve">critically </w:t>
      </w:r>
      <w:r>
        <w:rPr>
          <w:rFonts w:ascii="Arial" w:eastAsia="Times New Roman" w:hAnsi="Arial" w:cs="Arial"/>
          <w:lang w:eastAsia="en-US"/>
        </w:rPr>
        <w:t xml:space="preserve">evaluate </w:t>
      </w:r>
      <w:r w:rsidRPr="00D3054B">
        <w:rPr>
          <w:rFonts w:ascii="Arial" w:eastAsia="Times New Roman" w:hAnsi="Arial" w:cs="Arial"/>
          <w:lang w:eastAsia="en-US"/>
        </w:rPr>
        <w:t>the use of such methods in practice and their impact in generating a competitive advantage</w:t>
      </w:r>
      <w:r>
        <w:rPr>
          <w:rFonts w:ascii="Arial" w:eastAsia="Times New Roman" w:hAnsi="Arial" w:cs="Arial"/>
          <w:lang w:eastAsia="en-US"/>
        </w:rPr>
        <w:t>.</w:t>
      </w:r>
    </w:p>
    <w:p w14:paraId="3198A703" w14:textId="77777777" w:rsidR="00591401" w:rsidRDefault="00591401" w:rsidP="00591401">
      <w:pPr>
        <w:spacing w:after="120" w:line="240" w:lineRule="auto"/>
        <w:ind w:left="567" w:right="260"/>
        <w:rPr>
          <w:rFonts w:ascii="Arial" w:hAnsi="Arial" w:cs="Arial"/>
          <w:b/>
        </w:rPr>
      </w:pPr>
    </w:p>
    <w:p w14:paraId="155FCA93" w14:textId="2FB69D66" w:rsidR="004868F9" w:rsidRDefault="009A2D37" w:rsidP="004868F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32AE30" w14:textId="339831CE" w:rsidR="00E04DB0" w:rsidRPr="00E04DB0" w:rsidRDefault="00E04DB0" w:rsidP="00E04DB0">
      <w:pPr>
        <w:pStyle w:val="ListParagraph"/>
        <w:spacing w:after="0"/>
        <w:ind w:left="644"/>
        <w:jc w:val="both"/>
        <w:rPr>
          <w:rFonts w:ascii="Arial" w:hAnsi="Arial" w:cs="Arial"/>
        </w:rPr>
      </w:pPr>
      <w:r>
        <w:rPr>
          <w:rFonts w:ascii="Arial" w:hAnsi="Arial" w:cs="Arial"/>
        </w:rPr>
        <w:t xml:space="preserve">9.1 </w:t>
      </w:r>
      <w:r w:rsidRPr="00D3054B">
        <w:rPr>
          <w:rFonts w:ascii="Arial" w:hAnsi="Arial" w:cs="Arial"/>
        </w:rPr>
        <w:t xml:space="preserve">solve </w:t>
      </w:r>
      <w:r w:rsidR="00CC6C8F">
        <w:rPr>
          <w:rFonts w:ascii="Arial" w:hAnsi="Arial" w:cs="Arial"/>
        </w:rPr>
        <w:t xml:space="preserve">complex </w:t>
      </w:r>
      <w:r w:rsidRPr="00D3054B">
        <w:rPr>
          <w:rFonts w:ascii="Arial" w:hAnsi="Arial" w:cs="Arial"/>
        </w:rPr>
        <w:t xml:space="preserve">problems arising in warehousing and </w:t>
      </w:r>
      <w:proofErr w:type="gramStart"/>
      <w:r w:rsidRPr="00D3054B">
        <w:rPr>
          <w:rFonts w:ascii="Arial" w:hAnsi="Arial" w:cs="Arial"/>
        </w:rPr>
        <w:t>transportation</w:t>
      </w:r>
      <w:r>
        <w:rPr>
          <w:rFonts w:ascii="Arial" w:hAnsi="Arial" w:cs="Arial"/>
        </w:rPr>
        <w:t>;</w:t>
      </w:r>
      <w:proofErr w:type="gramEnd"/>
    </w:p>
    <w:p w14:paraId="7F5137E8" w14:textId="58294FF5" w:rsidR="00E04DB0" w:rsidRPr="00D3054B" w:rsidRDefault="00E04DB0" w:rsidP="00E04DB0">
      <w:pPr>
        <w:pStyle w:val="ListParagraph"/>
        <w:spacing w:after="0"/>
        <w:ind w:left="644"/>
        <w:jc w:val="both"/>
        <w:rPr>
          <w:rFonts w:ascii="Arial" w:hAnsi="Arial" w:cs="Arial"/>
        </w:rPr>
      </w:pPr>
      <w:r>
        <w:rPr>
          <w:rFonts w:ascii="Arial" w:hAnsi="Arial" w:cs="Arial"/>
        </w:rPr>
        <w:t xml:space="preserve">9.2 </w:t>
      </w:r>
      <w:r w:rsidR="00CC6C8F" w:rsidRPr="00CC6C8F">
        <w:rPr>
          <w:rFonts w:ascii="Arial" w:hAnsi="Arial" w:cs="Arial"/>
        </w:rPr>
        <w:t xml:space="preserve">communicate effectively to a variety of audiences and/or using a variety of </w:t>
      </w:r>
      <w:proofErr w:type="gramStart"/>
      <w:r w:rsidR="00CC6C8F" w:rsidRPr="00CC6C8F">
        <w:rPr>
          <w:rFonts w:ascii="Arial" w:hAnsi="Arial" w:cs="Arial"/>
        </w:rPr>
        <w:t>methods</w:t>
      </w:r>
      <w:r>
        <w:rPr>
          <w:rFonts w:ascii="Arial" w:hAnsi="Arial" w:cs="Arial"/>
        </w:rPr>
        <w:t>;</w:t>
      </w:r>
      <w:proofErr w:type="gramEnd"/>
    </w:p>
    <w:p w14:paraId="69DAC2A1" w14:textId="43ED4DBC" w:rsidR="00E04DB0" w:rsidRPr="00D3054B" w:rsidRDefault="00E04DB0" w:rsidP="00E04DB0">
      <w:pPr>
        <w:pStyle w:val="ListParagraph"/>
        <w:spacing w:after="0"/>
        <w:ind w:left="644"/>
        <w:jc w:val="both"/>
        <w:rPr>
          <w:rFonts w:ascii="Arial" w:hAnsi="Arial" w:cs="Arial"/>
        </w:rPr>
      </w:pPr>
      <w:r>
        <w:rPr>
          <w:rFonts w:ascii="Arial" w:hAnsi="Arial" w:cs="Arial"/>
        </w:rPr>
        <w:t xml:space="preserve">9.3 </w:t>
      </w:r>
      <w:r w:rsidRPr="00D3054B">
        <w:rPr>
          <w:rFonts w:ascii="Arial" w:hAnsi="Arial" w:cs="Arial"/>
        </w:rPr>
        <w:t xml:space="preserve">use computer software such as Excel solver and </w:t>
      </w:r>
      <w:r w:rsidR="003B0DBA">
        <w:rPr>
          <w:rFonts w:ascii="Arial" w:hAnsi="Arial" w:cs="Arial"/>
        </w:rPr>
        <w:t>Julia</w:t>
      </w:r>
      <w:r w:rsidR="003B0DBA" w:rsidRPr="00D3054B">
        <w:rPr>
          <w:rFonts w:ascii="Arial" w:hAnsi="Arial" w:cs="Arial"/>
        </w:rPr>
        <w:t xml:space="preserve"> </w:t>
      </w:r>
      <w:r w:rsidRPr="00D3054B">
        <w:rPr>
          <w:rFonts w:ascii="Arial" w:hAnsi="Arial" w:cs="Arial"/>
        </w:rPr>
        <w:t xml:space="preserve">for modelling </w:t>
      </w:r>
      <w:r>
        <w:rPr>
          <w:rFonts w:ascii="Arial" w:hAnsi="Arial" w:cs="Arial"/>
        </w:rPr>
        <w:t>purposes.</w:t>
      </w:r>
    </w:p>
    <w:p w14:paraId="0BC12647" w14:textId="77777777" w:rsidR="00591401" w:rsidRDefault="00591401" w:rsidP="00591401">
      <w:pPr>
        <w:spacing w:after="120" w:line="240" w:lineRule="auto"/>
        <w:ind w:left="414" w:right="260"/>
        <w:rPr>
          <w:rFonts w:ascii="Arial" w:hAnsi="Arial" w:cs="Arial"/>
          <w:b/>
        </w:rPr>
      </w:pPr>
    </w:p>
    <w:p w14:paraId="7499F0A1" w14:textId="26DE9E4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72DB035" w14:textId="77777777" w:rsidR="00E04DB0" w:rsidRPr="00E04DB0" w:rsidRDefault="00E04DB0" w:rsidP="00E04DB0">
      <w:pPr>
        <w:spacing w:after="0" w:line="240" w:lineRule="auto"/>
        <w:ind w:left="567" w:right="260"/>
        <w:jc w:val="both"/>
        <w:rPr>
          <w:rFonts w:ascii="Arial" w:hAnsi="Arial" w:cs="Arial"/>
        </w:rPr>
      </w:pPr>
      <w:r w:rsidRPr="00E04DB0">
        <w:rPr>
          <w:rFonts w:ascii="Arial" w:hAnsi="Arial" w:cs="Arial"/>
        </w:rPr>
        <w:t>The aim of this module is to enable students to critically evaluate the roles warehouses, transportation centres and the different modes of transport have on the logistic and supply chain systems. It will also provide the student with an understanding of the warehouse management such as picking strategies and warehouse layout, packaging, etc. Students will be able to appreciate the use of appropriate methods that are used in practice and their impact in generating the company competitive advantage.</w:t>
      </w:r>
    </w:p>
    <w:p w14:paraId="6ECDC282" w14:textId="77777777" w:rsidR="00E04DB0" w:rsidRPr="00E04DB0" w:rsidRDefault="00E04DB0" w:rsidP="00E04DB0">
      <w:pPr>
        <w:spacing w:after="0" w:line="240" w:lineRule="auto"/>
        <w:ind w:left="567" w:right="260"/>
        <w:jc w:val="both"/>
        <w:rPr>
          <w:rFonts w:ascii="Arial" w:hAnsi="Arial" w:cs="Arial"/>
        </w:rPr>
      </w:pPr>
    </w:p>
    <w:p w14:paraId="66ABEC96" w14:textId="3487B5F8" w:rsidR="00E04DB0" w:rsidRPr="00E04DB0" w:rsidRDefault="00FF3A97" w:rsidP="00E04DB0">
      <w:pPr>
        <w:spacing w:after="0" w:line="240" w:lineRule="auto"/>
        <w:ind w:left="567" w:right="260"/>
        <w:jc w:val="both"/>
        <w:rPr>
          <w:rFonts w:ascii="Arial" w:hAnsi="Arial" w:cs="Arial"/>
        </w:rPr>
      </w:pPr>
      <w:r>
        <w:rPr>
          <w:rFonts w:ascii="Arial" w:hAnsi="Arial" w:cs="Arial"/>
        </w:rPr>
        <w:t xml:space="preserve"> Indicative </w:t>
      </w:r>
      <w:r w:rsidR="00E04DB0" w:rsidRPr="00E04DB0">
        <w:rPr>
          <w:rFonts w:ascii="Arial" w:hAnsi="Arial" w:cs="Arial"/>
        </w:rPr>
        <w:t>topics</w:t>
      </w:r>
      <w:r>
        <w:rPr>
          <w:rFonts w:ascii="Arial" w:hAnsi="Arial" w:cs="Arial"/>
        </w:rPr>
        <w:t xml:space="preserve"> are as follows</w:t>
      </w:r>
      <w:r w:rsidR="00E04DB0" w:rsidRPr="00E04DB0">
        <w:rPr>
          <w:rFonts w:ascii="Arial" w:hAnsi="Arial" w:cs="Arial"/>
        </w:rPr>
        <w:t>:</w:t>
      </w:r>
    </w:p>
    <w:p w14:paraId="6CA01DF7" w14:textId="17791C69" w:rsidR="00E04DB0" w:rsidRPr="00FF3A97" w:rsidRDefault="00E04DB0" w:rsidP="00FF3A97">
      <w:pPr>
        <w:pStyle w:val="ListParagraph"/>
        <w:numPr>
          <w:ilvl w:val="0"/>
          <w:numId w:val="39"/>
        </w:numPr>
        <w:spacing w:after="0" w:line="240" w:lineRule="auto"/>
        <w:ind w:right="260"/>
        <w:jc w:val="both"/>
        <w:rPr>
          <w:rFonts w:ascii="Arial" w:hAnsi="Arial" w:cs="Arial"/>
        </w:rPr>
      </w:pPr>
      <w:r w:rsidRPr="00FF3A97">
        <w:rPr>
          <w:rFonts w:ascii="Arial" w:hAnsi="Arial" w:cs="Arial"/>
        </w:rPr>
        <w:t>Warehousing/Storage (the warehouse location, layout problem, storage equipment, picking strategies, packaging, labelling, etc)</w:t>
      </w:r>
    </w:p>
    <w:p w14:paraId="55AA8703" w14:textId="2B41FF27" w:rsidR="00E04DB0" w:rsidRPr="00FF3A97" w:rsidRDefault="00E04DB0" w:rsidP="00FF3A97">
      <w:pPr>
        <w:pStyle w:val="ListParagraph"/>
        <w:numPr>
          <w:ilvl w:val="0"/>
          <w:numId w:val="39"/>
        </w:numPr>
        <w:spacing w:after="0" w:line="240" w:lineRule="auto"/>
        <w:ind w:right="260"/>
        <w:jc w:val="both"/>
        <w:rPr>
          <w:rFonts w:ascii="Arial" w:hAnsi="Arial" w:cs="Arial"/>
        </w:rPr>
      </w:pPr>
      <w:r w:rsidRPr="00FF3A97">
        <w:rPr>
          <w:rFonts w:ascii="Arial" w:hAnsi="Arial" w:cs="Arial"/>
        </w:rPr>
        <w:t>Inventory management (how much you need to stock to minimise your cost and retain your competitive advantage)</w:t>
      </w:r>
    </w:p>
    <w:p w14:paraId="0A0A68B7" w14:textId="6311BE79" w:rsidR="00E04DB0" w:rsidRPr="00FF3A97" w:rsidRDefault="00E04DB0" w:rsidP="00FF3A97">
      <w:pPr>
        <w:pStyle w:val="ListParagraph"/>
        <w:numPr>
          <w:ilvl w:val="0"/>
          <w:numId w:val="39"/>
        </w:numPr>
        <w:spacing w:after="0" w:line="240" w:lineRule="auto"/>
        <w:ind w:right="260"/>
        <w:jc w:val="both"/>
        <w:rPr>
          <w:rFonts w:ascii="Arial" w:hAnsi="Arial" w:cs="Arial"/>
        </w:rPr>
      </w:pPr>
      <w:r w:rsidRPr="00FF3A97">
        <w:rPr>
          <w:rFonts w:ascii="Arial" w:hAnsi="Arial" w:cs="Arial"/>
        </w:rPr>
        <w:t>Distribution &amp; Global Transportation</w:t>
      </w:r>
    </w:p>
    <w:p w14:paraId="4C5FFA2A" w14:textId="2B730FBC" w:rsidR="00E04DB0" w:rsidRPr="00FF3A97" w:rsidRDefault="00E04DB0" w:rsidP="00FF3A97">
      <w:pPr>
        <w:pStyle w:val="ListParagraph"/>
        <w:numPr>
          <w:ilvl w:val="1"/>
          <w:numId w:val="39"/>
        </w:numPr>
        <w:spacing w:after="0" w:line="240" w:lineRule="auto"/>
        <w:ind w:right="260"/>
        <w:jc w:val="both"/>
        <w:rPr>
          <w:rFonts w:ascii="Arial" w:hAnsi="Arial" w:cs="Arial"/>
        </w:rPr>
      </w:pPr>
      <w:r w:rsidRPr="00FF3A97">
        <w:rPr>
          <w:rFonts w:ascii="Arial" w:hAnsi="Arial" w:cs="Arial"/>
        </w:rPr>
        <w:t>Global transportation and techniques adopted in practice (air, sea, railroads, trucks, motorbikes/bicycles, pipelines, others)</w:t>
      </w:r>
    </w:p>
    <w:p w14:paraId="190CF441" w14:textId="2C9D25BA" w:rsidR="00E04DB0" w:rsidRPr="00FF3A97" w:rsidRDefault="00E04DB0" w:rsidP="00FF3A97">
      <w:pPr>
        <w:pStyle w:val="ListParagraph"/>
        <w:numPr>
          <w:ilvl w:val="1"/>
          <w:numId w:val="39"/>
        </w:numPr>
        <w:spacing w:after="0" w:line="240" w:lineRule="auto"/>
        <w:ind w:right="260"/>
        <w:jc w:val="both"/>
        <w:rPr>
          <w:rFonts w:ascii="Arial" w:hAnsi="Arial" w:cs="Arial"/>
        </w:rPr>
      </w:pPr>
      <w:r w:rsidRPr="00FF3A97">
        <w:rPr>
          <w:rFonts w:ascii="Arial" w:hAnsi="Arial" w:cs="Arial"/>
        </w:rPr>
        <w:t>Transport/road technology including software and hardware (trucking devices, software used, etc)</w:t>
      </w:r>
    </w:p>
    <w:p w14:paraId="210310AC" w14:textId="2878ABBE" w:rsidR="00E04DB0" w:rsidRPr="00FF3A97" w:rsidRDefault="00E04DB0" w:rsidP="00FF3A97">
      <w:pPr>
        <w:pStyle w:val="ListParagraph"/>
        <w:numPr>
          <w:ilvl w:val="1"/>
          <w:numId w:val="39"/>
        </w:numPr>
        <w:spacing w:after="0" w:line="240" w:lineRule="auto"/>
        <w:ind w:right="260"/>
        <w:jc w:val="both"/>
        <w:rPr>
          <w:rFonts w:ascii="Arial" w:hAnsi="Arial" w:cs="Arial"/>
        </w:rPr>
      </w:pPr>
      <w:r w:rsidRPr="00FF3A97">
        <w:rPr>
          <w:rFonts w:ascii="Arial" w:hAnsi="Arial" w:cs="Arial"/>
        </w:rPr>
        <w:lastRenderedPageBreak/>
        <w:t>Transport modelling and its impact on the environment and safety.</w:t>
      </w:r>
    </w:p>
    <w:p w14:paraId="0DA34CA9" w14:textId="77777777" w:rsidR="00E04DB0" w:rsidRPr="00E04DB0" w:rsidRDefault="00E04DB0" w:rsidP="00E04DB0">
      <w:pPr>
        <w:spacing w:after="0" w:line="240" w:lineRule="auto"/>
        <w:ind w:left="567" w:right="260"/>
        <w:jc w:val="both"/>
        <w:rPr>
          <w:rFonts w:ascii="Arial" w:hAnsi="Arial" w:cs="Arial"/>
        </w:rPr>
      </w:pPr>
    </w:p>
    <w:p w14:paraId="456A4250" w14:textId="0D6BD856" w:rsidR="006C1DB9" w:rsidRDefault="00E04DB0" w:rsidP="00E04DB0">
      <w:pPr>
        <w:spacing w:after="0" w:line="240" w:lineRule="auto"/>
        <w:ind w:left="567" w:right="260"/>
        <w:jc w:val="both"/>
        <w:rPr>
          <w:rFonts w:ascii="Arial" w:hAnsi="Arial" w:cs="Arial"/>
        </w:rPr>
      </w:pPr>
      <w:r w:rsidRPr="00E04DB0">
        <w:rPr>
          <w:rFonts w:ascii="Arial" w:hAnsi="Arial" w:cs="Arial"/>
        </w:rPr>
        <w:t>The module will be subject to continual refinement to ensure the content is kept relevant to logistic industry and CILT requirements.</w:t>
      </w:r>
    </w:p>
    <w:p w14:paraId="7D570054" w14:textId="77777777" w:rsidR="00FF3A97" w:rsidRPr="00E04DB0" w:rsidRDefault="00FF3A97" w:rsidP="00E04DB0">
      <w:pPr>
        <w:spacing w:after="0" w:line="240" w:lineRule="auto"/>
        <w:ind w:left="567" w:right="260"/>
        <w:jc w:val="both"/>
        <w:rPr>
          <w:rFonts w:ascii="Arial" w:hAnsi="Arial" w:cs="Arial"/>
        </w:rPr>
      </w:pPr>
    </w:p>
    <w:p w14:paraId="7701B145" w14:textId="0F9AB72C"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p>
    <w:p w14:paraId="79DDBF80" w14:textId="77777777" w:rsidR="00B577A7" w:rsidRPr="00965175" w:rsidRDefault="00B577A7" w:rsidP="00B577A7">
      <w:pPr>
        <w:pStyle w:val="Heading2"/>
        <w:ind w:left="720"/>
        <w:rPr>
          <w:rFonts w:ascii="Arial" w:hAnsi="Arial" w:cs="Arial"/>
          <w:b/>
          <w:bCs/>
          <w:color w:val="auto"/>
          <w:sz w:val="22"/>
          <w:szCs w:val="22"/>
        </w:rPr>
      </w:pPr>
      <w:r w:rsidRPr="00965175">
        <w:rPr>
          <w:rFonts w:ascii="Arial" w:hAnsi="Arial" w:cs="Arial"/>
          <w:bCs/>
          <w:color w:val="auto"/>
          <w:sz w:val="22"/>
          <w:szCs w:val="22"/>
        </w:rPr>
        <w:t xml:space="preserve">The University is committed to ensuring that core reading materials are in accessible electronic format in line with the Kent Inclusive Practices. </w:t>
      </w:r>
    </w:p>
    <w:p w14:paraId="4B08821E" w14:textId="77777777" w:rsidR="00B577A7" w:rsidRPr="00965175" w:rsidRDefault="00B577A7" w:rsidP="00B577A7">
      <w:pPr>
        <w:pStyle w:val="Heading2"/>
        <w:ind w:left="720"/>
        <w:rPr>
          <w:rFonts w:ascii="Arial" w:hAnsi="Arial" w:cs="Arial"/>
          <w:b/>
          <w:bCs/>
          <w:sz w:val="22"/>
          <w:szCs w:val="22"/>
        </w:rPr>
      </w:pPr>
      <w:r w:rsidRPr="00965175">
        <w:rPr>
          <w:rFonts w:ascii="Arial" w:hAnsi="Arial" w:cs="Arial"/>
          <w:bCs/>
          <w:color w:val="auto"/>
          <w:sz w:val="22"/>
          <w:szCs w:val="22"/>
        </w:rPr>
        <w:t xml:space="preserve">The most up to date reading list for each module can be found on the university's </w:t>
      </w:r>
      <w:hyperlink r:id="rId11" w:history="1">
        <w:r w:rsidRPr="00965175">
          <w:rPr>
            <w:rStyle w:val="Hyperlink"/>
            <w:rFonts w:ascii="Arial" w:hAnsi="Arial" w:cs="Arial"/>
            <w:bCs/>
            <w:sz w:val="22"/>
            <w:szCs w:val="22"/>
          </w:rPr>
          <w:t>reading list pages</w:t>
        </w:r>
      </w:hyperlink>
      <w:r w:rsidRPr="00965175">
        <w:rPr>
          <w:rFonts w:ascii="Arial" w:hAnsi="Arial" w:cs="Arial"/>
          <w:bCs/>
          <w:sz w:val="22"/>
          <w:szCs w:val="22"/>
        </w:rPr>
        <w:t xml:space="preserve">. </w:t>
      </w:r>
    </w:p>
    <w:p w14:paraId="016E3911" w14:textId="77777777" w:rsidR="00123E8A" w:rsidRPr="00123E8A" w:rsidRDefault="00123E8A" w:rsidP="00123E8A">
      <w:pPr>
        <w:spacing w:after="0" w:line="240" w:lineRule="auto"/>
        <w:ind w:left="567" w:right="260"/>
        <w:jc w:val="both"/>
        <w:rPr>
          <w:rFonts w:ascii="Arial" w:hAnsi="Arial" w:cs="Arial"/>
        </w:rPr>
      </w:pPr>
    </w:p>
    <w:p w14:paraId="2E112C18" w14:textId="58EC24A9" w:rsidR="00883204" w:rsidRPr="00883204" w:rsidRDefault="00CC6C8F"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63D5589A" w14:textId="01CBF613" w:rsidR="009A2D37" w:rsidRPr="007D5FDC" w:rsidRDefault="00C57028" w:rsidP="00696FF5">
      <w:pPr>
        <w:spacing w:after="120" w:line="240" w:lineRule="auto"/>
        <w:ind w:left="567" w:right="260"/>
        <w:jc w:val="both"/>
        <w:rPr>
          <w:rFonts w:ascii="Arial" w:hAnsi="Arial" w:cs="Arial"/>
          <w:iCs/>
        </w:rPr>
      </w:pPr>
      <w:r w:rsidRPr="007D5FDC">
        <w:rPr>
          <w:rFonts w:ascii="Arial" w:hAnsi="Arial" w:cs="Arial"/>
          <w:iCs/>
        </w:rPr>
        <w:t>Total contact hours:</w:t>
      </w:r>
      <w:r w:rsidR="00873473" w:rsidRPr="007D5FDC">
        <w:rPr>
          <w:rFonts w:ascii="Arial" w:hAnsi="Arial" w:cs="Arial"/>
          <w:iCs/>
        </w:rPr>
        <w:t xml:space="preserve"> </w:t>
      </w:r>
      <w:r w:rsidR="001D2D8B">
        <w:rPr>
          <w:rFonts w:ascii="Arial" w:hAnsi="Arial" w:cs="Arial"/>
          <w:iCs/>
        </w:rPr>
        <w:t>33</w:t>
      </w:r>
    </w:p>
    <w:p w14:paraId="0AB4FB84" w14:textId="4531A996" w:rsidR="00C57028" w:rsidRPr="00873473" w:rsidRDefault="00C57028" w:rsidP="00C57028">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1D2D8B">
        <w:rPr>
          <w:rFonts w:ascii="Arial" w:hAnsi="Arial" w:cs="Arial"/>
          <w:iCs/>
        </w:rPr>
        <w:t>117</w:t>
      </w:r>
    </w:p>
    <w:p w14:paraId="5C21BC2F" w14:textId="5ACE74B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3363CD">
        <w:rPr>
          <w:rFonts w:ascii="Arial" w:hAnsi="Arial" w:cs="Arial"/>
          <w:iCs/>
        </w:rPr>
        <w:t xml:space="preserve"> 1</w:t>
      </w:r>
      <w:r w:rsidR="007D5FDC">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FE42B63" w14:textId="4AD2FFE9" w:rsidR="00987236" w:rsidRPr="00933E76" w:rsidRDefault="00B118DD" w:rsidP="00696FF5">
      <w:pPr>
        <w:spacing w:after="120" w:line="240" w:lineRule="auto"/>
        <w:ind w:left="567" w:right="260"/>
        <w:jc w:val="both"/>
        <w:rPr>
          <w:rFonts w:ascii="Arial" w:hAnsi="Arial" w:cs="Arial"/>
          <w:iCs/>
        </w:rPr>
      </w:pPr>
      <w:r>
        <w:rPr>
          <w:rFonts w:ascii="Arial" w:hAnsi="Arial" w:cs="Arial"/>
          <w:iCs/>
        </w:rPr>
        <w:t>VLE</w:t>
      </w:r>
      <w:r w:rsidR="00987236" w:rsidRPr="00933E76">
        <w:rPr>
          <w:rFonts w:ascii="Arial" w:hAnsi="Arial" w:cs="Arial"/>
          <w:iCs/>
        </w:rPr>
        <w:t xml:space="preserve"> Test (</w:t>
      </w:r>
      <w:r>
        <w:rPr>
          <w:rFonts w:ascii="Arial" w:hAnsi="Arial" w:cs="Arial"/>
          <w:iCs/>
        </w:rPr>
        <w:t>2</w:t>
      </w:r>
      <w:r w:rsidR="003B0DBA">
        <w:rPr>
          <w:rFonts w:ascii="Arial" w:hAnsi="Arial" w:cs="Arial"/>
          <w:iCs/>
        </w:rPr>
        <w:t>0</w:t>
      </w:r>
      <w:r w:rsidR="00987236" w:rsidRPr="00933E76">
        <w:rPr>
          <w:rFonts w:ascii="Arial" w:hAnsi="Arial" w:cs="Arial"/>
          <w:iCs/>
        </w:rPr>
        <w:t>%)</w:t>
      </w:r>
    </w:p>
    <w:p w14:paraId="514D3A20" w14:textId="21F7470D" w:rsidR="003E446E" w:rsidRPr="00933E76" w:rsidRDefault="002119E5" w:rsidP="003E446E">
      <w:pPr>
        <w:spacing w:after="120" w:line="240" w:lineRule="auto"/>
        <w:ind w:left="567" w:right="260"/>
        <w:jc w:val="both"/>
        <w:rPr>
          <w:rFonts w:ascii="Arial" w:hAnsi="Arial" w:cs="Arial"/>
          <w:iCs/>
        </w:rPr>
      </w:pPr>
      <w:r>
        <w:rPr>
          <w:rFonts w:ascii="Arial" w:hAnsi="Arial" w:cs="Arial"/>
          <w:iCs/>
        </w:rPr>
        <w:t>Group p</w:t>
      </w:r>
      <w:r w:rsidR="003E446E">
        <w:rPr>
          <w:rFonts w:ascii="Arial" w:hAnsi="Arial" w:cs="Arial"/>
          <w:iCs/>
        </w:rPr>
        <w:t>resentation (</w:t>
      </w:r>
      <w:r w:rsidR="003B0DBA">
        <w:rPr>
          <w:rFonts w:ascii="Arial" w:hAnsi="Arial" w:cs="Arial"/>
          <w:iCs/>
        </w:rPr>
        <w:t>20</w:t>
      </w:r>
      <w:r w:rsidR="003E446E">
        <w:rPr>
          <w:rFonts w:ascii="Arial" w:hAnsi="Arial" w:cs="Arial"/>
          <w:iCs/>
        </w:rPr>
        <w:t>%)</w:t>
      </w:r>
    </w:p>
    <w:p w14:paraId="456DABBD" w14:textId="41C68362" w:rsidR="00987236" w:rsidRPr="00933E76" w:rsidRDefault="00987236" w:rsidP="00696FF5">
      <w:pPr>
        <w:spacing w:after="120" w:line="240" w:lineRule="auto"/>
        <w:ind w:left="567" w:right="260"/>
        <w:jc w:val="both"/>
        <w:rPr>
          <w:rFonts w:ascii="Arial" w:hAnsi="Arial" w:cs="Arial"/>
          <w:iCs/>
        </w:rPr>
      </w:pPr>
      <w:r w:rsidRPr="00933E76">
        <w:rPr>
          <w:rFonts w:ascii="Arial" w:hAnsi="Arial" w:cs="Arial"/>
          <w:iCs/>
        </w:rPr>
        <w:t>Individual report (</w:t>
      </w:r>
      <w:r w:rsidR="00D34D87">
        <w:rPr>
          <w:rFonts w:ascii="Arial" w:hAnsi="Arial" w:cs="Arial"/>
          <w:iCs/>
        </w:rPr>
        <w:t>3</w:t>
      </w:r>
      <w:r w:rsidR="00D34D87" w:rsidRPr="00933E76">
        <w:rPr>
          <w:rFonts w:ascii="Arial" w:hAnsi="Arial" w:cs="Arial"/>
          <w:iCs/>
        </w:rPr>
        <w:t xml:space="preserve">000 </w:t>
      </w:r>
      <w:r w:rsidRPr="00933E76">
        <w:rPr>
          <w:rFonts w:ascii="Arial" w:hAnsi="Arial" w:cs="Arial"/>
          <w:iCs/>
        </w:rPr>
        <w:t>words) (</w:t>
      </w:r>
      <w:r w:rsidR="00B118DD">
        <w:rPr>
          <w:rFonts w:ascii="Arial" w:hAnsi="Arial" w:cs="Arial"/>
          <w:iCs/>
        </w:rPr>
        <w:t>6</w:t>
      </w:r>
      <w:r w:rsidR="009A751B">
        <w:rPr>
          <w:rFonts w:ascii="Arial" w:hAnsi="Arial" w:cs="Arial"/>
          <w:iCs/>
        </w:rPr>
        <w:t>0</w:t>
      </w:r>
      <w:r w:rsidRPr="00933E76">
        <w:rPr>
          <w:rFonts w:ascii="Arial" w:hAnsi="Arial" w:cs="Arial"/>
          <w:iCs/>
        </w:rPr>
        <w:t>%)</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67F8D8BA" w:rsidR="00C57028" w:rsidRPr="00987236" w:rsidRDefault="00987236" w:rsidP="00C57028">
      <w:pPr>
        <w:spacing w:after="120" w:line="240" w:lineRule="auto"/>
        <w:ind w:left="567" w:right="260"/>
        <w:jc w:val="both"/>
        <w:rPr>
          <w:rFonts w:ascii="Arial" w:hAnsi="Arial" w:cs="Arial"/>
          <w:b/>
          <w:iCs/>
        </w:rPr>
      </w:pPr>
      <w:r w:rsidRPr="00987236">
        <w:rPr>
          <w:rFonts w:ascii="Arial" w:hAnsi="Arial" w:cs="Arial"/>
          <w:iCs/>
        </w:rPr>
        <w:t>Reassessment instrument:</w:t>
      </w:r>
      <w:r w:rsidR="00933E76">
        <w:rPr>
          <w:rFonts w:ascii="Arial" w:hAnsi="Arial" w:cs="Arial"/>
          <w:iCs/>
        </w:rPr>
        <w:t xml:space="preserve"> </w:t>
      </w:r>
      <w:r w:rsidRPr="00987236">
        <w:rPr>
          <w:rFonts w:ascii="Arial" w:hAnsi="Arial" w:cs="Arial"/>
          <w:iCs/>
        </w:rPr>
        <w:t>100% coursework</w:t>
      </w:r>
      <w:r w:rsidR="00C57028" w:rsidRPr="00987236">
        <w:rPr>
          <w:rFonts w:ascii="Arial" w:hAnsi="Arial" w:cs="Arial"/>
          <w:iCs/>
        </w:rPr>
        <w:t xml:space="preserve">. </w:t>
      </w:r>
    </w:p>
    <w:p w14:paraId="6DE3590E" w14:textId="77777777" w:rsidR="00696FF5" w:rsidRPr="00987236" w:rsidRDefault="00696FF5" w:rsidP="00302082">
      <w:pPr>
        <w:spacing w:after="120" w:line="240" w:lineRule="auto"/>
        <w:ind w:left="426" w:right="260"/>
        <w:rPr>
          <w:rFonts w:ascii="Arial" w:hAnsi="Arial" w:cs="Arial"/>
          <w:b/>
          <w:iCs/>
        </w:rPr>
      </w:pPr>
    </w:p>
    <w:p w14:paraId="45DC6BF7" w14:textId="7EE4331D" w:rsidR="00274ED7" w:rsidRDefault="006F3F8B" w:rsidP="00696FF5">
      <w:pPr>
        <w:numPr>
          <w:ilvl w:val="0"/>
          <w:numId w:val="1"/>
        </w:numPr>
        <w:spacing w:after="120" w:line="240" w:lineRule="auto"/>
        <w:ind w:left="567" w:right="261" w:hanging="567"/>
        <w:jc w:val="both"/>
        <w:rPr>
          <w:rFonts w:ascii="Arial" w:hAnsi="Arial" w:cs="Arial"/>
          <w:b/>
          <w:iCs/>
        </w:rPr>
      </w:pPr>
      <w:r w:rsidRPr="00933E76">
        <w:rPr>
          <w:rFonts w:ascii="Arial" w:hAnsi="Arial" w:cs="Arial"/>
          <w:b/>
          <w:iCs/>
        </w:rPr>
        <w:t xml:space="preserve">Map of </w:t>
      </w:r>
      <w:r w:rsidR="00883204" w:rsidRPr="00933E76">
        <w:rPr>
          <w:rFonts w:ascii="Arial" w:hAnsi="Arial" w:cs="Arial"/>
          <w:b/>
          <w:iCs/>
        </w:rPr>
        <w:t xml:space="preserve">module learning outcomes </w:t>
      </w:r>
      <w:r w:rsidR="00B30E07" w:rsidRPr="00933E76">
        <w:rPr>
          <w:rFonts w:ascii="Arial" w:hAnsi="Arial" w:cs="Arial"/>
          <w:b/>
          <w:iCs/>
        </w:rPr>
        <w:t>(sections 8 &amp; 9)</w:t>
      </w:r>
      <w:r w:rsidR="00883204" w:rsidRPr="00933E76">
        <w:rPr>
          <w:rFonts w:ascii="Arial" w:hAnsi="Arial" w:cs="Arial"/>
          <w:b/>
          <w:iCs/>
        </w:rPr>
        <w:t xml:space="preserve"> to l</w:t>
      </w:r>
      <w:r w:rsidRPr="00933E76">
        <w:rPr>
          <w:rFonts w:ascii="Arial" w:hAnsi="Arial" w:cs="Arial"/>
          <w:b/>
          <w:iCs/>
        </w:rPr>
        <w:t>earning</w:t>
      </w:r>
      <w:r w:rsidR="00B30E07" w:rsidRPr="00933E76">
        <w:rPr>
          <w:rFonts w:ascii="Arial" w:hAnsi="Arial" w:cs="Arial"/>
          <w:b/>
          <w:iCs/>
        </w:rPr>
        <w:t xml:space="preserve"> and </w:t>
      </w:r>
      <w:r w:rsidR="00883204" w:rsidRPr="00933E76">
        <w:rPr>
          <w:rFonts w:ascii="Arial" w:hAnsi="Arial" w:cs="Arial"/>
          <w:b/>
          <w:iCs/>
        </w:rPr>
        <w:t>teaching m</w:t>
      </w:r>
      <w:r w:rsidR="00B30E07" w:rsidRPr="00933E76">
        <w:rPr>
          <w:rFonts w:ascii="Arial" w:hAnsi="Arial" w:cs="Arial"/>
          <w:b/>
          <w:iCs/>
        </w:rPr>
        <w:t>ethods (section12</w:t>
      </w:r>
      <w:r w:rsidRPr="00933E76">
        <w:rPr>
          <w:rFonts w:ascii="Arial" w:hAnsi="Arial" w:cs="Arial"/>
          <w:b/>
          <w:iCs/>
        </w:rPr>
        <w:t>) and m</w:t>
      </w:r>
      <w:r w:rsidR="00883204" w:rsidRPr="00933E76">
        <w:rPr>
          <w:rFonts w:ascii="Arial" w:hAnsi="Arial" w:cs="Arial"/>
          <w:b/>
          <w:iCs/>
        </w:rPr>
        <w:t>ethods of a</w:t>
      </w:r>
      <w:r w:rsidR="00B30E07" w:rsidRPr="00933E76">
        <w:rPr>
          <w:rFonts w:ascii="Arial" w:hAnsi="Arial" w:cs="Arial"/>
          <w:b/>
          <w:iCs/>
        </w:rPr>
        <w:t>ssessment (section 13</w:t>
      </w:r>
      <w:r w:rsidR="00EF4933" w:rsidRPr="00933E76">
        <w:rPr>
          <w:rFonts w:ascii="Arial" w:hAnsi="Arial" w:cs="Arial"/>
          <w:b/>
          <w:iCs/>
        </w:rPr>
        <w:t>)</w:t>
      </w:r>
    </w:p>
    <w:p w14:paraId="2A8750ED" w14:textId="77777777" w:rsidR="00CC6C8F" w:rsidRPr="00CC6C8F" w:rsidRDefault="00CC6C8F" w:rsidP="00CC6C8F">
      <w:pPr>
        <w:spacing w:after="120" w:line="240" w:lineRule="auto"/>
        <w:ind w:right="543"/>
        <w:jc w:val="both"/>
        <w:rPr>
          <w:rFonts w:ascii="Arial" w:hAnsi="Arial" w:cs="Arial"/>
          <w:b/>
          <w:bCs/>
        </w:rPr>
      </w:pPr>
      <w:r w:rsidRPr="00CC6C8F">
        <w:rPr>
          <w:rFonts w:ascii="Arial" w:hAnsi="Arial" w:cs="Arial"/>
          <w:b/>
          <w:bCs/>
        </w:rPr>
        <w:t>Module learning outcomes against learning and teaching methods:</w:t>
      </w:r>
    </w:p>
    <w:tbl>
      <w:tblPr>
        <w:tblStyle w:val="TableGrid"/>
        <w:tblW w:w="5000" w:type="pct"/>
        <w:tblLook w:val="04A0" w:firstRow="1" w:lastRow="0" w:firstColumn="1" w:lastColumn="0" w:noHBand="0" w:noVBand="1"/>
      </w:tblPr>
      <w:tblGrid>
        <w:gridCol w:w="3533"/>
        <w:gridCol w:w="1157"/>
        <w:gridCol w:w="1154"/>
        <w:gridCol w:w="1154"/>
        <w:gridCol w:w="1154"/>
        <w:gridCol w:w="1154"/>
        <w:gridCol w:w="1150"/>
      </w:tblGrid>
      <w:tr w:rsidR="00FF3A97" w:rsidRPr="00302082" w14:paraId="17E145DE" w14:textId="77777777" w:rsidTr="00CC6C8F">
        <w:tc>
          <w:tcPr>
            <w:tcW w:w="1689" w:type="pct"/>
            <w:shd w:val="clear" w:color="auto" w:fill="D9D9D9" w:themeFill="background1" w:themeFillShade="D9"/>
          </w:tcPr>
          <w:p w14:paraId="0F538416" w14:textId="77777777" w:rsidR="00FF3A97" w:rsidRPr="00302082" w:rsidRDefault="00FF3A97" w:rsidP="00944D07">
            <w:pPr>
              <w:spacing w:after="120"/>
              <w:ind w:left="33"/>
              <w:rPr>
                <w:rFonts w:ascii="Arial" w:hAnsi="Arial" w:cs="Arial"/>
                <w:b/>
              </w:rPr>
            </w:pPr>
            <w:r w:rsidRPr="00302082">
              <w:rPr>
                <w:rFonts w:ascii="Arial" w:hAnsi="Arial" w:cs="Arial"/>
                <w:b/>
              </w:rPr>
              <w:t>Module learning outcome</w:t>
            </w:r>
          </w:p>
        </w:tc>
        <w:tc>
          <w:tcPr>
            <w:tcW w:w="553" w:type="pct"/>
          </w:tcPr>
          <w:p w14:paraId="7C33DB3F" w14:textId="77777777" w:rsidR="00FF3A97" w:rsidRPr="00302082" w:rsidRDefault="00FF3A97" w:rsidP="00944D07">
            <w:pPr>
              <w:spacing w:after="120"/>
              <w:rPr>
                <w:rFonts w:ascii="Arial" w:hAnsi="Arial" w:cs="Arial"/>
                <w:i/>
              </w:rPr>
            </w:pPr>
            <w:r w:rsidRPr="00302082">
              <w:rPr>
                <w:rFonts w:ascii="Arial" w:hAnsi="Arial" w:cs="Arial"/>
                <w:i/>
              </w:rPr>
              <w:t>8.1</w:t>
            </w:r>
          </w:p>
        </w:tc>
        <w:tc>
          <w:tcPr>
            <w:tcW w:w="552" w:type="pct"/>
          </w:tcPr>
          <w:p w14:paraId="6C6EF7FF" w14:textId="77777777" w:rsidR="00FF3A97" w:rsidRPr="00302082" w:rsidRDefault="00FF3A97" w:rsidP="00944D07">
            <w:pPr>
              <w:spacing w:after="120"/>
              <w:rPr>
                <w:rFonts w:ascii="Arial" w:hAnsi="Arial" w:cs="Arial"/>
                <w:i/>
              </w:rPr>
            </w:pPr>
            <w:r w:rsidRPr="00302082">
              <w:rPr>
                <w:rFonts w:ascii="Arial" w:hAnsi="Arial" w:cs="Arial"/>
                <w:i/>
              </w:rPr>
              <w:t>8.2</w:t>
            </w:r>
          </w:p>
        </w:tc>
        <w:tc>
          <w:tcPr>
            <w:tcW w:w="552" w:type="pct"/>
          </w:tcPr>
          <w:p w14:paraId="782CD211" w14:textId="77777777" w:rsidR="00FF3A97" w:rsidRPr="00302082" w:rsidRDefault="00FF3A97" w:rsidP="00944D07">
            <w:pPr>
              <w:spacing w:after="120"/>
              <w:rPr>
                <w:rFonts w:ascii="Arial" w:hAnsi="Arial" w:cs="Arial"/>
                <w:i/>
              </w:rPr>
            </w:pPr>
            <w:r w:rsidRPr="00302082">
              <w:rPr>
                <w:rFonts w:ascii="Arial" w:hAnsi="Arial" w:cs="Arial"/>
                <w:i/>
              </w:rPr>
              <w:t>8.3</w:t>
            </w:r>
          </w:p>
        </w:tc>
        <w:tc>
          <w:tcPr>
            <w:tcW w:w="552" w:type="pct"/>
          </w:tcPr>
          <w:p w14:paraId="6A83CDAF" w14:textId="77777777" w:rsidR="00FF3A97" w:rsidRPr="00302082" w:rsidRDefault="00FF3A97" w:rsidP="00944D07">
            <w:pPr>
              <w:spacing w:after="120"/>
              <w:rPr>
                <w:rFonts w:ascii="Arial" w:hAnsi="Arial" w:cs="Arial"/>
                <w:i/>
              </w:rPr>
            </w:pPr>
            <w:r>
              <w:rPr>
                <w:rFonts w:ascii="Arial" w:hAnsi="Arial" w:cs="Arial"/>
                <w:i/>
              </w:rPr>
              <w:t>9.1</w:t>
            </w:r>
          </w:p>
        </w:tc>
        <w:tc>
          <w:tcPr>
            <w:tcW w:w="552" w:type="pct"/>
          </w:tcPr>
          <w:p w14:paraId="5D76A7FC" w14:textId="77777777" w:rsidR="00FF3A97" w:rsidRPr="00302082" w:rsidRDefault="00FF3A97" w:rsidP="00944D07">
            <w:pPr>
              <w:spacing w:after="120"/>
              <w:rPr>
                <w:rFonts w:ascii="Arial" w:hAnsi="Arial" w:cs="Arial"/>
                <w:i/>
              </w:rPr>
            </w:pPr>
            <w:r>
              <w:rPr>
                <w:rFonts w:ascii="Arial" w:hAnsi="Arial" w:cs="Arial"/>
                <w:i/>
              </w:rPr>
              <w:t>9.2</w:t>
            </w:r>
          </w:p>
        </w:tc>
        <w:tc>
          <w:tcPr>
            <w:tcW w:w="550" w:type="pct"/>
          </w:tcPr>
          <w:p w14:paraId="2C176097" w14:textId="77777777" w:rsidR="00FF3A97" w:rsidRPr="00302082" w:rsidRDefault="00FF3A97" w:rsidP="00944D07">
            <w:pPr>
              <w:spacing w:after="120"/>
              <w:rPr>
                <w:rFonts w:ascii="Arial" w:hAnsi="Arial" w:cs="Arial"/>
                <w:i/>
              </w:rPr>
            </w:pPr>
            <w:r>
              <w:rPr>
                <w:rFonts w:ascii="Arial" w:hAnsi="Arial" w:cs="Arial"/>
                <w:i/>
              </w:rPr>
              <w:t>9.3</w:t>
            </w:r>
          </w:p>
        </w:tc>
      </w:tr>
      <w:tr w:rsidR="00A052EF" w:rsidRPr="00C02917" w14:paraId="18BB4B2D" w14:textId="77777777" w:rsidTr="00CC6C8F">
        <w:tc>
          <w:tcPr>
            <w:tcW w:w="1689" w:type="pct"/>
          </w:tcPr>
          <w:p w14:paraId="1715CC24" w14:textId="77777777" w:rsidR="00A052EF" w:rsidRPr="00FC3CC6" w:rsidRDefault="00A052EF" w:rsidP="00A052EF">
            <w:pPr>
              <w:spacing w:after="120"/>
              <w:rPr>
                <w:rFonts w:ascii="Arial" w:hAnsi="Arial" w:cs="Arial"/>
                <w:i/>
              </w:rPr>
            </w:pPr>
            <w:r w:rsidRPr="00FC3CC6">
              <w:rPr>
                <w:rFonts w:ascii="Arial" w:hAnsi="Arial" w:cs="Arial"/>
                <w:i/>
              </w:rPr>
              <w:t>Private Study</w:t>
            </w:r>
          </w:p>
        </w:tc>
        <w:tc>
          <w:tcPr>
            <w:tcW w:w="553" w:type="pct"/>
          </w:tcPr>
          <w:p w14:paraId="0C571941" w14:textId="77777777" w:rsidR="00A052EF" w:rsidRPr="00C02917" w:rsidRDefault="00A052EF" w:rsidP="00A052EF">
            <w:pPr>
              <w:spacing w:after="120"/>
              <w:rPr>
                <w:rFonts w:ascii="Arial" w:hAnsi="Arial" w:cs="Arial"/>
                <w:b/>
              </w:rPr>
            </w:pPr>
            <w:r w:rsidRPr="00C02917">
              <w:rPr>
                <w:rFonts w:ascii="Arial" w:hAnsi="Arial" w:cs="Arial"/>
                <w:b/>
              </w:rPr>
              <w:t>x</w:t>
            </w:r>
          </w:p>
        </w:tc>
        <w:tc>
          <w:tcPr>
            <w:tcW w:w="552" w:type="pct"/>
          </w:tcPr>
          <w:p w14:paraId="047078FB" w14:textId="77777777" w:rsidR="00A052EF" w:rsidRPr="00C02917" w:rsidRDefault="00A052EF" w:rsidP="00A052EF">
            <w:pPr>
              <w:spacing w:after="120"/>
              <w:rPr>
                <w:rFonts w:ascii="Arial" w:hAnsi="Arial" w:cs="Arial"/>
                <w:b/>
              </w:rPr>
            </w:pPr>
            <w:r w:rsidRPr="00C02917">
              <w:rPr>
                <w:rFonts w:ascii="Arial" w:hAnsi="Arial" w:cs="Arial"/>
                <w:b/>
              </w:rPr>
              <w:t>x</w:t>
            </w:r>
          </w:p>
        </w:tc>
        <w:tc>
          <w:tcPr>
            <w:tcW w:w="552" w:type="pct"/>
          </w:tcPr>
          <w:p w14:paraId="69DDE8A8" w14:textId="77777777" w:rsidR="00A052EF" w:rsidRPr="00C02917" w:rsidRDefault="00A052EF" w:rsidP="00A052EF">
            <w:pPr>
              <w:spacing w:after="120"/>
              <w:rPr>
                <w:rFonts w:ascii="Arial" w:hAnsi="Arial" w:cs="Arial"/>
                <w:b/>
              </w:rPr>
            </w:pPr>
            <w:r w:rsidRPr="00C02917">
              <w:rPr>
                <w:rFonts w:ascii="Arial" w:hAnsi="Arial" w:cs="Arial"/>
                <w:b/>
              </w:rPr>
              <w:t>x</w:t>
            </w:r>
          </w:p>
        </w:tc>
        <w:tc>
          <w:tcPr>
            <w:tcW w:w="552" w:type="pct"/>
          </w:tcPr>
          <w:p w14:paraId="01336D12" w14:textId="77777777" w:rsidR="00A052EF" w:rsidRPr="00C02917" w:rsidRDefault="00A052EF" w:rsidP="00A052EF">
            <w:pPr>
              <w:spacing w:after="120"/>
              <w:rPr>
                <w:rFonts w:ascii="Arial" w:hAnsi="Arial" w:cs="Arial"/>
                <w:b/>
              </w:rPr>
            </w:pPr>
            <w:r w:rsidRPr="00C02917">
              <w:rPr>
                <w:rFonts w:ascii="Arial" w:hAnsi="Arial" w:cs="Arial"/>
                <w:b/>
              </w:rPr>
              <w:t>x</w:t>
            </w:r>
          </w:p>
        </w:tc>
        <w:tc>
          <w:tcPr>
            <w:tcW w:w="552" w:type="pct"/>
          </w:tcPr>
          <w:p w14:paraId="2CEBFE91" w14:textId="7A8AE27D" w:rsidR="00A052EF" w:rsidRPr="00C02917" w:rsidRDefault="00A052EF" w:rsidP="00A052EF">
            <w:pPr>
              <w:spacing w:after="120"/>
              <w:rPr>
                <w:rFonts w:ascii="Arial" w:hAnsi="Arial" w:cs="Arial"/>
                <w:b/>
              </w:rPr>
            </w:pPr>
            <w:r w:rsidRPr="00C02917">
              <w:rPr>
                <w:rFonts w:ascii="Arial" w:hAnsi="Arial" w:cs="Arial"/>
                <w:b/>
              </w:rPr>
              <w:t>x</w:t>
            </w:r>
          </w:p>
        </w:tc>
        <w:tc>
          <w:tcPr>
            <w:tcW w:w="550" w:type="pct"/>
          </w:tcPr>
          <w:p w14:paraId="7491CEE6" w14:textId="77777777" w:rsidR="00A052EF" w:rsidRPr="00C02917" w:rsidRDefault="00A052EF" w:rsidP="00A052EF">
            <w:pPr>
              <w:spacing w:after="120"/>
              <w:rPr>
                <w:rFonts w:ascii="Arial" w:hAnsi="Arial" w:cs="Arial"/>
                <w:b/>
              </w:rPr>
            </w:pPr>
            <w:r w:rsidRPr="00C02917">
              <w:rPr>
                <w:rFonts w:ascii="Arial" w:hAnsi="Arial" w:cs="Arial"/>
                <w:b/>
              </w:rPr>
              <w:t>x</w:t>
            </w:r>
          </w:p>
        </w:tc>
      </w:tr>
      <w:tr w:rsidR="00A052EF" w:rsidRPr="00C02917" w14:paraId="2A6709AE" w14:textId="77777777" w:rsidTr="00CC6C8F">
        <w:tc>
          <w:tcPr>
            <w:tcW w:w="1689" w:type="pct"/>
          </w:tcPr>
          <w:p w14:paraId="643FB1B8" w14:textId="77777777" w:rsidR="00A052EF" w:rsidRPr="00C02917" w:rsidRDefault="00A052EF" w:rsidP="00A052EF">
            <w:pPr>
              <w:spacing w:after="120"/>
              <w:rPr>
                <w:rFonts w:ascii="Arial" w:hAnsi="Arial" w:cs="Arial"/>
                <w:i/>
              </w:rPr>
            </w:pPr>
            <w:r w:rsidRPr="00C02917">
              <w:rPr>
                <w:rFonts w:ascii="Arial" w:hAnsi="Arial" w:cs="Arial"/>
                <w:i/>
              </w:rPr>
              <w:t>Lectures</w:t>
            </w:r>
          </w:p>
        </w:tc>
        <w:tc>
          <w:tcPr>
            <w:tcW w:w="553" w:type="pct"/>
          </w:tcPr>
          <w:p w14:paraId="491C203B" w14:textId="77777777" w:rsidR="00A052EF" w:rsidRPr="00C02917" w:rsidRDefault="00A052EF" w:rsidP="00A052EF">
            <w:pPr>
              <w:spacing w:after="120"/>
              <w:rPr>
                <w:rFonts w:ascii="Arial" w:hAnsi="Arial" w:cs="Arial"/>
                <w:b/>
              </w:rPr>
            </w:pPr>
            <w:r w:rsidRPr="00C02917">
              <w:rPr>
                <w:rFonts w:ascii="Arial" w:hAnsi="Arial" w:cs="Arial"/>
                <w:b/>
              </w:rPr>
              <w:t>x</w:t>
            </w:r>
          </w:p>
        </w:tc>
        <w:tc>
          <w:tcPr>
            <w:tcW w:w="552" w:type="pct"/>
          </w:tcPr>
          <w:p w14:paraId="570D4A3A" w14:textId="77777777" w:rsidR="00A052EF" w:rsidRPr="00C02917" w:rsidRDefault="00A052EF" w:rsidP="00A052EF">
            <w:pPr>
              <w:spacing w:after="120"/>
              <w:rPr>
                <w:rFonts w:ascii="Arial" w:hAnsi="Arial" w:cs="Arial"/>
                <w:b/>
              </w:rPr>
            </w:pPr>
            <w:r w:rsidRPr="00C02917">
              <w:rPr>
                <w:rFonts w:ascii="Arial" w:hAnsi="Arial" w:cs="Arial"/>
                <w:b/>
              </w:rPr>
              <w:t>x</w:t>
            </w:r>
          </w:p>
        </w:tc>
        <w:tc>
          <w:tcPr>
            <w:tcW w:w="552" w:type="pct"/>
          </w:tcPr>
          <w:p w14:paraId="33E58842" w14:textId="77777777" w:rsidR="00A052EF" w:rsidRPr="00C02917" w:rsidRDefault="00A052EF" w:rsidP="00A052EF">
            <w:pPr>
              <w:spacing w:after="120"/>
              <w:rPr>
                <w:rFonts w:ascii="Arial" w:hAnsi="Arial" w:cs="Arial"/>
                <w:b/>
              </w:rPr>
            </w:pPr>
            <w:r w:rsidRPr="00C02917">
              <w:rPr>
                <w:rFonts w:ascii="Arial" w:hAnsi="Arial" w:cs="Arial"/>
                <w:b/>
              </w:rPr>
              <w:t>x</w:t>
            </w:r>
          </w:p>
        </w:tc>
        <w:tc>
          <w:tcPr>
            <w:tcW w:w="552" w:type="pct"/>
          </w:tcPr>
          <w:p w14:paraId="07A9291E" w14:textId="77777777" w:rsidR="00A052EF" w:rsidRPr="00C02917" w:rsidRDefault="00A052EF" w:rsidP="00A052EF">
            <w:pPr>
              <w:spacing w:after="120"/>
              <w:rPr>
                <w:rFonts w:ascii="Arial" w:hAnsi="Arial" w:cs="Arial"/>
                <w:b/>
              </w:rPr>
            </w:pPr>
            <w:r w:rsidRPr="00C02917">
              <w:rPr>
                <w:rFonts w:ascii="Arial" w:hAnsi="Arial" w:cs="Arial"/>
                <w:b/>
              </w:rPr>
              <w:t>x</w:t>
            </w:r>
          </w:p>
        </w:tc>
        <w:tc>
          <w:tcPr>
            <w:tcW w:w="552" w:type="pct"/>
          </w:tcPr>
          <w:p w14:paraId="7F9B0EE7" w14:textId="77777777" w:rsidR="00A052EF" w:rsidRPr="00C02917" w:rsidRDefault="00A052EF" w:rsidP="00A052EF">
            <w:pPr>
              <w:spacing w:after="120"/>
              <w:rPr>
                <w:rFonts w:ascii="Arial" w:hAnsi="Arial" w:cs="Arial"/>
                <w:b/>
              </w:rPr>
            </w:pPr>
          </w:p>
        </w:tc>
        <w:tc>
          <w:tcPr>
            <w:tcW w:w="550" w:type="pct"/>
          </w:tcPr>
          <w:p w14:paraId="7A97BE28" w14:textId="77777777" w:rsidR="00A052EF" w:rsidRPr="00C02917" w:rsidRDefault="00A052EF" w:rsidP="00A052EF">
            <w:pPr>
              <w:spacing w:after="120"/>
              <w:rPr>
                <w:rFonts w:ascii="Arial" w:hAnsi="Arial" w:cs="Arial"/>
                <w:b/>
              </w:rPr>
            </w:pPr>
            <w:r w:rsidRPr="00C02917">
              <w:rPr>
                <w:rFonts w:ascii="Arial" w:hAnsi="Arial" w:cs="Arial"/>
                <w:b/>
              </w:rPr>
              <w:t>x</w:t>
            </w:r>
          </w:p>
        </w:tc>
      </w:tr>
      <w:tr w:rsidR="00A052EF" w:rsidRPr="00C02917" w14:paraId="72E99BBD" w14:textId="77777777" w:rsidTr="00CC6C8F">
        <w:tc>
          <w:tcPr>
            <w:tcW w:w="1689" w:type="pct"/>
          </w:tcPr>
          <w:p w14:paraId="4DEB2982" w14:textId="7B5CBAEC" w:rsidR="00A052EF" w:rsidRPr="00C02917" w:rsidRDefault="00A052EF" w:rsidP="00A052EF">
            <w:pPr>
              <w:spacing w:after="120"/>
              <w:rPr>
                <w:rFonts w:ascii="Arial" w:hAnsi="Arial" w:cs="Arial"/>
                <w:i/>
              </w:rPr>
            </w:pPr>
            <w:r>
              <w:rPr>
                <w:rFonts w:ascii="Arial" w:hAnsi="Arial" w:cs="Arial"/>
                <w:i/>
              </w:rPr>
              <w:t>Seminar/</w:t>
            </w:r>
            <w:r w:rsidRPr="00C02917">
              <w:rPr>
                <w:rFonts w:ascii="Arial" w:hAnsi="Arial" w:cs="Arial"/>
                <w:i/>
              </w:rPr>
              <w:t>Laboratory</w:t>
            </w:r>
          </w:p>
        </w:tc>
        <w:tc>
          <w:tcPr>
            <w:tcW w:w="553" w:type="pct"/>
          </w:tcPr>
          <w:p w14:paraId="24CA4A8C" w14:textId="5787AA6A" w:rsidR="00A052EF" w:rsidRPr="00C02917" w:rsidRDefault="00A052EF" w:rsidP="00A052EF">
            <w:pPr>
              <w:spacing w:after="120"/>
              <w:rPr>
                <w:rFonts w:ascii="Arial" w:hAnsi="Arial" w:cs="Arial"/>
                <w:b/>
              </w:rPr>
            </w:pPr>
            <w:r w:rsidRPr="00C02917">
              <w:rPr>
                <w:rFonts w:ascii="Arial" w:hAnsi="Arial" w:cs="Arial"/>
                <w:b/>
              </w:rPr>
              <w:t>x</w:t>
            </w:r>
          </w:p>
        </w:tc>
        <w:tc>
          <w:tcPr>
            <w:tcW w:w="552" w:type="pct"/>
          </w:tcPr>
          <w:p w14:paraId="7F9AA6BC" w14:textId="14C12EB7" w:rsidR="00A052EF" w:rsidRPr="00C02917" w:rsidRDefault="00A052EF" w:rsidP="00A052EF">
            <w:pPr>
              <w:spacing w:after="120"/>
              <w:rPr>
                <w:rFonts w:ascii="Arial" w:hAnsi="Arial" w:cs="Arial"/>
                <w:b/>
              </w:rPr>
            </w:pPr>
            <w:r w:rsidRPr="00C02917">
              <w:rPr>
                <w:rFonts w:ascii="Arial" w:hAnsi="Arial" w:cs="Arial"/>
                <w:b/>
              </w:rPr>
              <w:t>x</w:t>
            </w:r>
          </w:p>
        </w:tc>
        <w:tc>
          <w:tcPr>
            <w:tcW w:w="552" w:type="pct"/>
          </w:tcPr>
          <w:p w14:paraId="6AFB7E3E" w14:textId="77777777" w:rsidR="00A052EF" w:rsidRPr="00C02917" w:rsidRDefault="00A052EF" w:rsidP="00A052EF">
            <w:pPr>
              <w:spacing w:after="120"/>
              <w:rPr>
                <w:rFonts w:ascii="Arial" w:hAnsi="Arial" w:cs="Arial"/>
                <w:b/>
              </w:rPr>
            </w:pPr>
            <w:r w:rsidRPr="00C02917">
              <w:rPr>
                <w:rFonts w:ascii="Arial" w:hAnsi="Arial" w:cs="Arial"/>
                <w:b/>
              </w:rPr>
              <w:t>x</w:t>
            </w:r>
          </w:p>
        </w:tc>
        <w:tc>
          <w:tcPr>
            <w:tcW w:w="552" w:type="pct"/>
          </w:tcPr>
          <w:p w14:paraId="4D270BC8" w14:textId="77777777" w:rsidR="00A052EF" w:rsidRPr="00C02917" w:rsidRDefault="00A052EF" w:rsidP="00A052EF">
            <w:pPr>
              <w:spacing w:after="120"/>
              <w:rPr>
                <w:rFonts w:ascii="Arial" w:hAnsi="Arial" w:cs="Arial"/>
                <w:b/>
              </w:rPr>
            </w:pPr>
            <w:r w:rsidRPr="00C02917">
              <w:rPr>
                <w:rFonts w:ascii="Arial" w:hAnsi="Arial" w:cs="Arial"/>
                <w:b/>
              </w:rPr>
              <w:t>x</w:t>
            </w:r>
          </w:p>
        </w:tc>
        <w:tc>
          <w:tcPr>
            <w:tcW w:w="552" w:type="pct"/>
          </w:tcPr>
          <w:p w14:paraId="6DFBC9DA" w14:textId="2BC09C31" w:rsidR="00A052EF" w:rsidRPr="00C02917" w:rsidRDefault="00A052EF" w:rsidP="00A052EF">
            <w:pPr>
              <w:spacing w:after="120"/>
              <w:rPr>
                <w:rFonts w:ascii="Arial" w:hAnsi="Arial" w:cs="Arial"/>
                <w:b/>
              </w:rPr>
            </w:pPr>
            <w:r w:rsidRPr="00C02917">
              <w:rPr>
                <w:rFonts w:ascii="Arial" w:hAnsi="Arial" w:cs="Arial"/>
                <w:b/>
              </w:rPr>
              <w:t>x</w:t>
            </w:r>
          </w:p>
        </w:tc>
        <w:tc>
          <w:tcPr>
            <w:tcW w:w="550" w:type="pct"/>
          </w:tcPr>
          <w:p w14:paraId="6F7B93FF" w14:textId="77777777" w:rsidR="00A052EF" w:rsidRPr="00C02917" w:rsidRDefault="00A052EF" w:rsidP="00A052EF">
            <w:pPr>
              <w:spacing w:after="120"/>
              <w:rPr>
                <w:rFonts w:ascii="Arial" w:hAnsi="Arial" w:cs="Arial"/>
                <w:b/>
              </w:rPr>
            </w:pPr>
            <w:r w:rsidRPr="00C02917">
              <w:rPr>
                <w:rFonts w:ascii="Arial" w:hAnsi="Arial" w:cs="Arial"/>
                <w:b/>
              </w:rPr>
              <w:t>x</w:t>
            </w:r>
          </w:p>
        </w:tc>
      </w:tr>
    </w:tbl>
    <w:p w14:paraId="491B6F41" w14:textId="6D77B91D" w:rsidR="00CC6C8F" w:rsidRDefault="00CC6C8F"/>
    <w:p w14:paraId="5E247F8C" w14:textId="3595A93A" w:rsidR="00CC6C8F" w:rsidRPr="007C48C4" w:rsidRDefault="00CC6C8F" w:rsidP="00CC6C8F">
      <w:pPr>
        <w:spacing w:after="120" w:line="240" w:lineRule="auto"/>
        <w:ind w:right="543"/>
        <w:jc w:val="both"/>
        <w:rPr>
          <w:rFonts w:ascii="Arial" w:hAnsi="Arial" w:cs="Arial"/>
          <w:b/>
          <w:bCs/>
        </w:rPr>
      </w:pPr>
      <w:r w:rsidRPr="007C48C4">
        <w:rPr>
          <w:rFonts w:ascii="Arial" w:hAnsi="Arial" w:cs="Arial"/>
          <w:b/>
          <w:bCs/>
        </w:rPr>
        <w:t xml:space="preserve">Module learning outcomes against </w:t>
      </w:r>
      <w:r>
        <w:rPr>
          <w:rFonts w:ascii="Arial" w:hAnsi="Arial" w:cs="Arial"/>
          <w:b/>
          <w:bCs/>
        </w:rPr>
        <w:t>assessment</w:t>
      </w:r>
      <w:r w:rsidRPr="007C48C4">
        <w:rPr>
          <w:rFonts w:ascii="Arial" w:hAnsi="Arial" w:cs="Arial"/>
          <w:b/>
          <w:bCs/>
        </w:rPr>
        <w:t xml:space="preserve"> methods:</w:t>
      </w:r>
    </w:p>
    <w:tbl>
      <w:tblPr>
        <w:tblStyle w:val="TableGrid"/>
        <w:tblW w:w="5000" w:type="pct"/>
        <w:tblLook w:val="04A0" w:firstRow="1" w:lastRow="0" w:firstColumn="1" w:lastColumn="0" w:noHBand="0" w:noVBand="1"/>
      </w:tblPr>
      <w:tblGrid>
        <w:gridCol w:w="3533"/>
        <w:gridCol w:w="1157"/>
        <w:gridCol w:w="1154"/>
        <w:gridCol w:w="1154"/>
        <w:gridCol w:w="1154"/>
        <w:gridCol w:w="1154"/>
        <w:gridCol w:w="1150"/>
      </w:tblGrid>
      <w:tr w:rsidR="00CC6C8F" w:rsidRPr="00C52C98" w14:paraId="172C6A49" w14:textId="77777777" w:rsidTr="00CC6C8F">
        <w:tc>
          <w:tcPr>
            <w:tcW w:w="1689" w:type="pct"/>
            <w:shd w:val="clear" w:color="auto" w:fill="D9D9D9" w:themeFill="background1" w:themeFillShade="D9"/>
          </w:tcPr>
          <w:p w14:paraId="0708967A" w14:textId="2E987312" w:rsidR="00CC6C8F" w:rsidRPr="00302082" w:rsidRDefault="00CC6C8F" w:rsidP="00CC6C8F">
            <w:pPr>
              <w:spacing w:after="120"/>
              <w:rPr>
                <w:rFonts w:ascii="Arial" w:hAnsi="Arial" w:cs="Arial"/>
                <w:b/>
              </w:rPr>
            </w:pPr>
            <w:r w:rsidRPr="00302082">
              <w:rPr>
                <w:rFonts w:ascii="Arial" w:hAnsi="Arial" w:cs="Arial"/>
                <w:b/>
              </w:rPr>
              <w:t>Module learning outcome</w:t>
            </w:r>
          </w:p>
        </w:tc>
        <w:tc>
          <w:tcPr>
            <w:tcW w:w="553" w:type="pct"/>
          </w:tcPr>
          <w:p w14:paraId="5632CCE2" w14:textId="298352A1" w:rsidR="00CC6C8F" w:rsidRPr="00C52C98" w:rsidRDefault="00CC6C8F" w:rsidP="00CC6C8F">
            <w:pPr>
              <w:spacing w:after="120"/>
              <w:rPr>
                <w:rFonts w:ascii="Arial" w:hAnsi="Arial" w:cs="Arial"/>
                <w:b/>
                <w:highlight w:val="yellow"/>
              </w:rPr>
            </w:pPr>
            <w:r w:rsidRPr="00302082">
              <w:rPr>
                <w:rFonts w:ascii="Arial" w:hAnsi="Arial" w:cs="Arial"/>
                <w:i/>
              </w:rPr>
              <w:t>8.1</w:t>
            </w:r>
          </w:p>
        </w:tc>
        <w:tc>
          <w:tcPr>
            <w:tcW w:w="552" w:type="pct"/>
          </w:tcPr>
          <w:p w14:paraId="75EAD822" w14:textId="2E05C334" w:rsidR="00CC6C8F" w:rsidRPr="00C52C98" w:rsidRDefault="00CC6C8F" w:rsidP="00CC6C8F">
            <w:pPr>
              <w:spacing w:after="120"/>
              <w:rPr>
                <w:rFonts w:ascii="Arial" w:hAnsi="Arial" w:cs="Arial"/>
                <w:b/>
                <w:highlight w:val="yellow"/>
              </w:rPr>
            </w:pPr>
            <w:r w:rsidRPr="00302082">
              <w:rPr>
                <w:rFonts w:ascii="Arial" w:hAnsi="Arial" w:cs="Arial"/>
                <w:i/>
              </w:rPr>
              <w:t>8.2</w:t>
            </w:r>
          </w:p>
        </w:tc>
        <w:tc>
          <w:tcPr>
            <w:tcW w:w="552" w:type="pct"/>
          </w:tcPr>
          <w:p w14:paraId="4D728EFB" w14:textId="2E1E7E21" w:rsidR="00CC6C8F" w:rsidRPr="00C52C98" w:rsidRDefault="00CC6C8F" w:rsidP="00CC6C8F">
            <w:pPr>
              <w:spacing w:after="120"/>
              <w:rPr>
                <w:rFonts w:ascii="Arial" w:hAnsi="Arial" w:cs="Arial"/>
                <w:b/>
                <w:highlight w:val="yellow"/>
              </w:rPr>
            </w:pPr>
            <w:r w:rsidRPr="00302082">
              <w:rPr>
                <w:rFonts w:ascii="Arial" w:hAnsi="Arial" w:cs="Arial"/>
                <w:i/>
              </w:rPr>
              <w:t>8.3</w:t>
            </w:r>
          </w:p>
        </w:tc>
        <w:tc>
          <w:tcPr>
            <w:tcW w:w="552" w:type="pct"/>
          </w:tcPr>
          <w:p w14:paraId="3EE40C20" w14:textId="62D98277" w:rsidR="00CC6C8F" w:rsidRPr="00C52C98" w:rsidRDefault="00CC6C8F" w:rsidP="00CC6C8F">
            <w:pPr>
              <w:spacing w:after="120"/>
              <w:rPr>
                <w:rFonts w:ascii="Arial" w:hAnsi="Arial" w:cs="Arial"/>
                <w:b/>
                <w:highlight w:val="yellow"/>
              </w:rPr>
            </w:pPr>
            <w:r>
              <w:rPr>
                <w:rFonts w:ascii="Arial" w:hAnsi="Arial" w:cs="Arial"/>
                <w:i/>
              </w:rPr>
              <w:t>9.1</w:t>
            </w:r>
          </w:p>
        </w:tc>
        <w:tc>
          <w:tcPr>
            <w:tcW w:w="552" w:type="pct"/>
          </w:tcPr>
          <w:p w14:paraId="4DB1F267" w14:textId="4D6EFE33" w:rsidR="00CC6C8F" w:rsidRPr="00C52C98" w:rsidRDefault="00CC6C8F" w:rsidP="00CC6C8F">
            <w:pPr>
              <w:spacing w:after="120"/>
              <w:rPr>
                <w:rFonts w:ascii="Arial" w:hAnsi="Arial" w:cs="Arial"/>
                <w:b/>
                <w:highlight w:val="yellow"/>
              </w:rPr>
            </w:pPr>
            <w:r>
              <w:rPr>
                <w:rFonts w:ascii="Arial" w:hAnsi="Arial" w:cs="Arial"/>
                <w:i/>
              </w:rPr>
              <w:t>9.2</w:t>
            </w:r>
          </w:p>
        </w:tc>
        <w:tc>
          <w:tcPr>
            <w:tcW w:w="550" w:type="pct"/>
          </w:tcPr>
          <w:p w14:paraId="3EAD3DE6" w14:textId="361AC4BE" w:rsidR="00CC6C8F" w:rsidRPr="00C52C98" w:rsidRDefault="00CC6C8F" w:rsidP="00CC6C8F">
            <w:pPr>
              <w:spacing w:after="120"/>
              <w:rPr>
                <w:rFonts w:ascii="Arial" w:hAnsi="Arial" w:cs="Arial"/>
                <w:b/>
                <w:highlight w:val="yellow"/>
              </w:rPr>
            </w:pPr>
            <w:r>
              <w:rPr>
                <w:rFonts w:ascii="Arial" w:hAnsi="Arial" w:cs="Arial"/>
                <w:i/>
              </w:rPr>
              <w:t>9.3</w:t>
            </w:r>
          </w:p>
        </w:tc>
      </w:tr>
      <w:tr w:rsidR="00FF3A97" w:rsidRPr="006F370B" w14:paraId="5872CE13" w14:textId="77777777" w:rsidTr="00CC6C8F">
        <w:tc>
          <w:tcPr>
            <w:tcW w:w="1689" w:type="pct"/>
          </w:tcPr>
          <w:p w14:paraId="1DF6422C" w14:textId="6742B6B8" w:rsidR="00FF3A97" w:rsidRPr="006F370B" w:rsidRDefault="00462E1E" w:rsidP="00944D07">
            <w:pPr>
              <w:spacing w:after="120"/>
              <w:rPr>
                <w:rFonts w:ascii="Arial" w:hAnsi="Arial" w:cs="Arial"/>
                <w:i/>
              </w:rPr>
            </w:pPr>
            <w:r>
              <w:rPr>
                <w:rFonts w:ascii="Arial" w:hAnsi="Arial" w:cs="Arial"/>
                <w:i/>
              </w:rPr>
              <w:t>VLE</w:t>
            </w:r>
          </w:p>
        </w:tc>
        <w:tc>
          <w:tcPr>
            <w:tcW w:w="553" w:type="pct"/>
          </w:tcPr>
          <w:p w14:paraId="61D22BFA" w14:textId="77777777" w:rsidR="00FF3A97" w:rsidRPr="006F370B" w:rsidRDefault="00FF3A97" w:rsidP="00944D07">
            <w:pPr>
              <w:spacing w:after="120"/>
              <w:rPr>
                <w:rFonts w:ascii="Arial" w:hAnsi="Arial" w:cs="Arial"/>
                <w:b/>
              </w:rPr>
            </w:pPr>
          </w:p>
        </w:tc>
        <w:tc>
          <w:tcPr>
            <w:tcW w:w="552" w:type="pct"/>
          </w:tcPr>
          <w:p w14:paraId="56EDFDD2" w14:textId="77777777" w:rsidR="00FF3A97" w:rsidRPr="006F370B" w:rsidRDefault="00FF3A97" w:rsidP="00944D07">
            <w:pPr>
              <w:spacing w:after="120"/>
              <w:rPr>
                <w:rFonts w:ascii="Arial" w:hAnsi="Arial" w:cs="Arial"/>
                <w:b/>
              </w:rPr>
            </w:pPr>
          </w:p>
        </w:tc>
        <w:tc>
          <w:tcPr>
            <w:tcW w:w="552" w:type="pct"/>
          </w:tcPr>
          <w:p w14:paraId="032F3FA1" w14:textId="77777777" w:rsidR="00FF3A97" w:rsidRPr="006F370B" w:rsidRDefault="00FF3A97" w:rsidP="00944D07">
            <w:pPr>
              <w:spacing w:after="120"/>
              <w:rPr>
                <w:rFonts w:ascii="Arial" w:hAnsi="Arial" w:cs="Arial"/>
                <w:b/>
              </w:rPr>
            </w:pPr>
            <w:r w:rsidRPr="006F370B">
              <w:rPr>
                <w:rFonts w:ascii="Arial" w:hAnsi="Arial" w:cs="Arial"/>
                <w:b/>
              </w:rPr>
              <w:t>x</w:t>
            </w:r>
          </w:p>
        </w:tc>
        <w:tc>
          <w:tcPr>
            <w:tcW w:w="552" w:type="pct"/>
          </w:tcPr>
          <w:p w14:paraId="46A8AAE7" w14:textId="77777777" w:rsidR="00FF3A97" w:rsidRPr="006F370B" w:rsidRDefault="00FF3A97" w:rsidP="00944D07">
            <w:pPr>
              <w:spacing w:after="120"/>
              <w:rPr>
                <w:rFonts w:ascii="Arial" w:hAnsi="Arial" w:cs="Arial"/>
                <w:b/>
              </w:rPr>
            </w:pPr>
            <w:r w:rsidRPr="006F370B">
              <w:rPr>
                <w:rFonts w:ascii="Arial" w:hAnsi="Arial" w:cs="Arial"/>
                <w:b/>
              </w:rPr>
              <w:t>x</w:t>
            </w:r>
          </w:p>
        </w:tc>
        <w:tc>
          <w:tcPr>
            <w:tcW w:w="552" w:type="pct"/>
          </w:tcPr>
          <w:p w14:paraId="4FB1283A" w14:textId="77777777" w:rsidR="00FF3A97" w:rsidRPr="006F370B" w:rsidRDefault="00FF3A97" w:rsidP="00944D07">
            <w:pPr>
              <w:spacing w:after="120"/>
              <w:rPr>
                <w:rFonts w:ascii="Arial" w:hAnsi="Arial" w:cs="Arial"/>
                <w:b/>
              </w:rPr>
            </w:pPr>
          </w:p>
        </w:tc>
        <w:tc>
          <w:tcPr>
            <w:tcW w:w="550" w:type="pct"/>
          </w:tcPr>
          <w:p w14:paraId="5A610E6A" w14:textId="77777777" w:rsidR="00FF3A97" w:rsidRPr="006F370B" w:rsidRDefault="00FF3A97" w:rsidP="00944D07">
            <w:pPr>
              <w:spacing w:after="120"/>
              <w:rPr>
                <w:rFonts w:ascii="Arial" w:hAnsi="Arial" w:cs="Arial"/>
                <w:b/>
              </w:rPr>
            </w:pPr>
          </w:p>
        </w:tc>
      </w:tr>
      <w:tr w:rsidR="003E446E" w:rsidRPr="006F370B" w14:paraId="23F5FC1B" w14:textId="77777777" w:rsidTr="00CC6C8F">
        <w:tc>
          <w:tcPr>
            <w:tcW w:w="1689" w:type="pct"/>
          </w:tcPr>
          <w:p w14:paraId="3C84514E" w14:textId="77AB1B7E" w:rsidR="003E446E" w:rsidRPr="006F370B" w:rsidRDefault="002119E5" w:rsidP="003E446E">
            <w:pPr>
              <w:spacing w:after="120"/>
              <w:rPr>
                <w:rFonts w:ascii="Arial" w:hAnsi="Arial" w:cs="Arial"/>
                <w:i/>
              </w:rPr>
            </w:pPr>
            <w:r>
              <w:rPr>
                <w:rFonts w:ascii="Arial" w:hAnsi="Arial" w:cs="Arial"/>
                <w:i/>
              </w:rPr>
              <w:t>Group p</w:t>
            </w:r>
            <w:r w:rsidR="003E446E">
              <w:rPr>
                <w:rFonts w:ascii="Arial" w:hAnsi="Arial" w:cs="Arial"/>
                <w:i/>
              </w:rPr>
              <w:t>resentation</w:t>
            </w:r>
          </w:p>
        </w:tc>
        <w:tc>
          <w:tcPr>
            <w:tcW w:w="553" w:type="pct"/>
          </w:tcPr>
          <w:p w14:paraId="3B2FF766" w14:textId="540931A9" w:rsidR="003E446E" w:rsidRPr="006F370B" w:rsidRDefault="003E446E" w:rsidP="003E446E">
            <w:pPr>
              <w:spacing w:after="120"/>
              <w:rPr>
                <w:rFonts w:ascii="Arial" w:hAnsi="Arial" w:cs="Arial"/>
                <w:b/>
              </w:rPr>
            </w:pPr>
            <w:r w:rsidRPr="00E647A4">
              <w:rPr>
                <w:rFonts w:ascii="Arial" w:hAnsi="Arial" w:cs="Arial"/>
                <w:b/>
              </w:rPr>
              <w:t>x</w:t>
            </w:r>
          </w:p>
        </w:tc>
        <w:tc>
          <w:tcPr>
            <w:tcW w:w="552" w:type="pct"/>
          </w:tcPr>
          <w:p w14:paraId="3A32EAA2" w14:textId="7FC2F2F6" w:rsidR="003E446E" w:rsidRDefault="003E446E" w:rsidP="003E446E">
            <w:pPr>
              <w:spacing w:after="120"/>
              <w:rPr>
                <w:rFonts w:ascii="Arial" w:hAnsi="Arial" w:cs="Arial"/>
                <w:b/>
              </w:rPr>
            </w:pPr>
            <w:r w:rsidRPr="00E647A4">
              <w:rPr>
                <w:rFonts w:ascii="Arial" w:hAnsi="Arial" w:cs="Arial"/>
                <w:b/>
              </w:rPr>
              <w:t>x</w:t>
            </w:r>
          </w:p>
        </w:tc>
        <w:tc>
          <w:tcPr>
            <w:tcW w:w="552" w:type="pct"/>
          </w:tcPr>
          <w:p w14:paraId="4E6015E1" w14:textId="74EFCE03" w:rsidR="003E446E" w:rsidRPr="006F370B" w:rsidRDefault="003E446E" w:rsidP="003E446E">
            <w:pPr>
              <w:spacing w:after="120"/>
              <w:rPr>
                <w:rFonts w:ascii="Arial" w:hAnsi="Arial" w:cs="Arial"/>
                <w:b/>
              </w:rPr>
            </w:pPr>
            <w:r w:rsidRPr="00E647A4">
              <w:rPr>
                <w:rFonts w:ascii="Arial" w:hAnsi="Arial" w:cs="Arial"/>
                <w:b/>
              </w:rPr>
              <w:t>x</w:t>
            </w:r>
          </w:p>
        </w:tc>
        <w:tc>
          <w:tcPr>
            <w:tcW w:w="552" w:type="pct"/>
          </w:tcPr>
          <w:p w14:paraId="57342816" w14:textId="77777777" w:rsidR="003E446E" w:rsidRPr="006F370B" w:rsidRDefault="003E446E" w:rsidP="003E446E">
            <w:pPr>
              <w:spacing w:after="120"/>
              <w:rPr>
                <w:rFonts w:ascii="Arial" w:hAnsi="Arial" w:cs="Arial"/>
                <w:b/>
              </w:rPr>
            </w:pPr>
          </w:p>
        </w:tc>
        <w:tc>
          <w:tcPr>
            <w:tcW w:w="552" w:type="pct"/>
          </w:tcPr>
          <w:p w14:paraId="06F2BB8C" w14:textId="460ABF39" w:rsidR="003E446E" w:rsidRPr="006F370B" w:rsidRDefault="003E446E" w:rsidP="003E446E">
            <w:pPr>
              <w:spacing w:after="120"/>
              <w:rPr>
                <w:rFonts w:ascii="Arial" w:hAnsi="Arial" w:cs="Arial"/>
                <w:b/>
              </w:rPr>
            </w:pPr>
            <w:r w:rsidRPr="00C02917">
              <w:rPr>
                <w:rFonts w:ascii="Arial" w:hAnsi="Arial" w:cs="Arial"/>
                <w:b/>
              </w:rPr>
              <w:t>x</w:t>
            </w:r>
          </w:p>
        </w:tc>
        <w:tc>
          <w:tcPr>
            <w:tcW w:w="550" w:type="pct"/>
          </w:tcPr>
          <w:p w14:paraId="29119E63" w14:textId="082B2F1A" w:rsidR="003E446E" w:rsidRPr="006F370B" w:rsidRDefault="003B0DBA" w:rsidP="003E446E">
            <w:pPr>
              <w:spacing w:after="120"/>
              <w:rPr>
                <w:rFonts w:ascii="Arial" w:hAnsi="Arial" w:cs="Arial"/>
                <w:b/>
              </w:rPr>
            </w:pPr>
            <w:r>
              <w:rPr>
                <w:rFonts w:ascii="Arial" w:hAnsi="Arial" w:cs="Arial"/>
                <w:b/>
              </w:rPr>
              <w:t>x</w:t>
            </w:r>
          </w:p>
        </w:tc>
      </w:tr>
      <w:tr w:rsidR="00FF3A97" w:rsidRPr="006F370B" w14:paraId="6B16E750" w14:textId="77777777" w:rsidTr="00CC6C8F">
        <w:tc>
          <w:tcPr>
            <w:tcW w:w="1689" w:type="pct"/>
          </w:tcPr>
          <w:p w14:paraId="6ACF3B10" w14:textId="210C3C7F" w:rsidR="00FF3A97" w:rsidRPr="006F370B" w:rsidRDefault="003E446E" w:rsidP="003E446E">
            <w:pPr>
              <w:spacing w:after="120"/>
              <w:rPr>
                <w:rFonts w:ascii="Arial" w:hAnsi="Arial" w:cs="Arial"/>
                <w:i/>
              </w:rPr>
            </w:pPr>
            <w:r>
              <w:rPr>
                <w:rFonts w:ascii="Arial" w:hAnsi="Arial" w:cs="Arial"/>
                <w:i/>
              </w:rPr>
              <w:t>Individual r</w:t>
            </w:r>
            <w:r w:rsidR="00FF3A97" w:rsidRPr="006F370B">
              <w:rPr>
                <w:rFonts w:ascii="Arial" w:hAnsi="Arial" w:cs="Arial"/>
                <w:i/>
              </w:rPr>
              <w:t xml:space="preserve">eport </w:t>
            </w:r>
          </w:p>
        </w:tc>
        <w:tc>
          <w:tcPr>
            <w:tcW w:w="553" w:type="pct"/>
          </w:tcPr>
          <w:p w14:paraId="17673F23" w14:textId="77777777" w:rsidR="00FF3A97" w:rsidRPr="006F370B" w:rsidRDefault="00FF3A97" w:rsidP="00944D07">
            <w:pPr>
              <w:spacing w:after="120"/>
              <w:rPr>
                <w:rFonts w:ascii="Arial" w:hAnsi="Arial" w:cs="Arial"/>
                <w:b/>
              </w:rPr>
            </w:pPr>
            <w:r w:rsidRPr="006F370B">
              <w:rPr>
                <w:rFonts w:ascii="Arial" w:hAnsi="Arial" w:cs="Arial"/>
                <w:b/>
              </w:rPr>
              <w:t>x</w:t>
            </w:r>
          </w:p>
        </w:tc>
        <w:tc>
          <w:tcPr>
            <w:tcW w:w="552" w:type="pct"/>
          </w:tcPr>
          <w:p w14:paraId="6EEDF316" w14:textId="77777777" w:rsidR="00FF3A97" w:rsidRPr="006F370B" w:rsidRDefault="00FF3A97" w:rsidP="00944D07">
            <w:pPr>
              <w:spacing w:after="120"/>
              <w:rPr>
                <w:rFonts w:ascii="Arial" w:hAnsi="Arial" w:cs="Arial"/>
                <w:b/>
              </w:rPr>
            </w:pPr>
            <w:r w:rsidRPr="006F370B">
              <w:rPr>
                <w:rFonts w:ascii="Arial" w:hAnsi="Arial" w:cs="Arial"/>
                <w:b/>
              </w:rPr>
              <w:t>x</w:t>
            </w:r>
          </w:p>
        </w:tc>
        <w:tc>
          <w:tcPr>
            <w:tcW w:w="552" w:type="pct"/>
          </w:tcPr>
          <w:p w14:paraId="399376DF" w14:textId="77777777" w:rsidR="00FF3A97" w:rsidRPr="006F370B" w:rsidRDefault="00FF3A97" w:rsidP="00944D07">
            <w:pPr>
              <w:spacing w:after="120"/>
              <w:rPr>
                <w:rFonts w:ascii="Arial" w:hAnsi="Arial" w:cs="Arial"/>
                <w:b/>
              </w:rPr>
            </w:pPr>
            <w:r w:rsidRPr="006F370B">
              <w:rPr>
                <w:rFonts w:ascii="Arial" w:hAnsi="Arial" w:cs="Arial"/>
                <w:b/>
              </w:rPr>
              <w:t>x</w:t>
            </w:r>
          </w:p>
        </w:tc>
        <w:tc>
          <w:tcPr>
            <w:tcW w:w="552" w:type="pct"/>
          </w:tcPr>
          <w:p w14:paraId="694427CB" w14:textId="77777777" w:rsidR="00FF3A97" w:rsidRPr="006F370B" w:rsidRDefault="00FF3A97" w:rsidP="00944D07">
            <w:pPr>
              <w:spacing w:after="120"/>
              <w:rPr>
                <w:rFonts w:ascii="Arial" w:hAnsi="Arial" w:cs="Arial"/>
                <w:b/>
              </w:rPr>
            </w:pPr>
            <w:r w:rsidRPr="006F370B">
              <w:rPr>
                <w:rFonts w:ascii="Arial" w:hAnsi="Arial" w:cs="Arial"/>
                <w:b/>
              </w:rPr>
              <w:t>x</w:t>
            </w:r>
          </w:p>
        </w:tc>
        <w:tc>
          <w:tcPr>
            <w:tcW w:w="552" w:type="pct"/>
          </w:tcPr>
          <w:p w14:paraId="76B78E54" w14:textId="77777777" w:rsidR="00FF3A97" w:rsidRPr="006F370B" w:rsidRDefault="00FF3A97" w:rsidP="00944D07">
            <w:pPr>
              <w:spacing w:after="120"/>
              <w:rPr>
                <w:rFonts w:ascii="Arial" w:hAnsi="Arial" w:cs="Arial"/>
                <w:b/>
              </w:rPr>
            </w:pPr>
            <w:r w:rsidRPr="006F370B">
              <w:rPr>
                <w:rFonts w:ascii="Arial" w:hAnsi="Arial" w:cs="Arial"/>
                <w:b/>
              </w:rPr>
              <w:t>x</w:t>
            </w:r>
          </w:p>
        </w:tc>
        <w:tc>
          <w:tcPr>
            <w:tcW w:w="550" w:type="pct"/>
          </w:tcPr>
          <w:p w14:paraId="7ADC28D2" w14:textId="77777777" w:rsidR="00FF3A97" w:rsidRPr="006F370B" w:rsidRDefault="00FF3A97" w:rsidP="00944D07">
            <w:pPr>
              <w:spacing w:after="120"/>
              <w:rPr>
                <w:rFonts w:ascii="Arial" w:hAnsi="Arial" w:cs="Arial"/>
                <w:b/>
              </w:rPr>
            </w:pPr>
            <w:r w:rsidRPr="006F370B">
              <w:rPr>
                <w:rFonts w:ascii="Arial" w:hAnsi="Arial" w:cs="Arial"/>
                <w:b/>
              </w:rPr>
              <w:t>x</w:t>
            </w:r>
          </w:p>
        </w:tc>
      </w:tr>
    </w:tbl>
    <w:p w14:paraId="037C4AB1" w14:textId="77777777" w:rsidR="00A052EF" w:rsidRPr="00A052EF" w:rsidRDefault="00A052EF" w:rsidP="00A052EF">
      <w:pPr>
        <w:spacing w:after="120" w:line="240" w:lineRule="auto"/>
        <w:ind w:left="567" w:right="260"/>
        <w:jc w:val="both"/>
        <w:rPr>
          <w:rFonts w:ascii="Arial" w:hAnsi="Arial" w:cs="Arial"/>
          <w:iCs/>
        </w:rPr>
      </w:pPr>
    </w:p>
    <w:p w14:paraId="228FDD62" w14:textId="64F41952"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1D7C9B4A"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CC6C8F">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103B6CFD" w:rsidR="00096DA4" w:rsidRDefault="00883204" w:rsidP="00AB6D9A">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2D0E6DF" w14:textId="77777777" w:rsidR="00A052EF" w:rsidRPr="00AB6D9A" w:rsidRDefault="00A052EF" w:rsidP="00AB6D9A">
      <w:pPr>
        <w:tabs>
          <w:tab w:val="left" w:pos="567"/>
        </w:tabs>
        <w:autoSpaceDE w:val="0"/>
        <w:autoSpaceDN w:val="0"/>
        <w:adjustRightInd w:val="0"/>
        <w:spacing w:after="120" w:line="240" w:lineRule="auto"/>
        <w:ind w:left="567" w:right="260"/>
        <w:jc w:val="both"/>
        <w:rPr>
          <w:rFonts w:ascii="Arial" w:hAnsi="Arial" w:cs="Arial"/>
          <w:color w:val="000000"/>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5A8F8287" w:rsidR="00883204"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I</w:t>
      </w:r>
      <w:r w:rsidRPr="004868F9">
        <w:rPr>
          <w:rFonts w:ascii="Arial" w:hAnsi="Arial" w:cs="Arial"/>
          <w:b/>
        </w:rPr>
        <w:t>nternationalisation</w:t>
      </w:r>
    </w:p>
    <w:p w14:paraId="15F0B4D5" w14:textId="77777777" w:rsidR="0007283C" w:rsidRPr="0007283C" w:rsidRDefault="0007283C" w:rsidP="00CD257B">
      <w:pPr>
        <w:pStyle w:val="ListParagraph"/>
        <w:spacing w:after="120" w:line="240" w:lineRule="auto"/>
        <w:ind w:left="567" w:right="260"/>
        <w:rPr>
          <w:rFonts w:ascii="Arial" w:hAnsi="Arial" w:cs="Arial"/>
          <w:iCs/>
        </w:rPr>
      </w:pPr>
      <w:r w:rsidRPr="0007283C">
        <w:rPr>
          <w:rFonts w:ascii="Arial" w:hAnsi="Arial" w:cs="Arial"/>
          <w:iCs/>
        </w:rPr>
        <w:t xml:space="preserve">Examples of an international nature are incorporated into exercises and labs covered in both lectures and seminars. Formal assessments also involve international examples (e.g., the use of global companies for assessment in warehousing and global transportation) </w:t>
      </w:r>
    </w:p>
    <w:p w14:paraId="57341419" w14:textId="63A01908" w:rsidR="00D9731D" w:rsidRPr="00302082" w:rsidRDefault="00D9731D" w:rsidP="00297C0E">
      <w:pPr>
        <w:pStyle w:val="ListParagraph"/>
        <w:pBdr>
          <w:bottom w:val="single" w:sz="6" w:space="1" w:color="auto"/>
        </w:pBdr>
        <w:spacing w:after="120" w:line="240" w:lineRule="auto"/>
        <w:ind w:left="567" w:right="261"/>
        <w:rPr>
          <w:rFonts w:ascii="Arial" w:hAnsi="Arial" w:cs="Arial"/>
        </w:rPr>
      </w:pPr>
    </w:p>
    <w:p w14:paraId="72A6D684" w14:textId="69EC1C67" w:rsidR="00441E76" w:rsidRPr="00BA453C" w:rsidRDefault="00CC6C8F"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p w14:paraId="72593C0D" w14:textId="220A81FF"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110D" w14:textId="77777777" w:rsidR="00D567A6" w:rsidRDefault="00D567A6" w:rsidP="009A2D37">
      <w:pPr>
        <w:spacing w:after="0" w:line="240" w:lineRule="auto"/>
      </w:pPr>
      <w:r>
        <w:separator/>
      </w:r>
    </w:p>
  </w:endnote>
  <w:endnote w:type="continuationSeparator" w:id="0">
    <w:p w14:paraId="3B219BD1" w14:textId="77777777" w:rsidR="00D567A6" w:rsidRDefault="00D567A6" w:rsidP="009A2D37">
      <w:pPr>
        <w:spacing w:after="0" w:line="240" w:lineRule="auto"/>
      </w:pPr>
      <w:r>
        <w:continuationSeparator/>
      </w:r>
    </w:p>
  </w:endnote>
  <w:endnote w:type="continuationNotice" w:id="1">
    <w:p w14:paraId="6AFC1C47" w14:textId="77777777" w:rsidR="00D567A6" w:rsidRDefault="00D567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6ADFCB07" w:rsidR="008B2543" w:rsidRDefault="0019787E" w:rsidP="009A2D37">
        <w:pPr>
          <w:pStyle w:val="Footer"/>
          <w:jc w:val="center"/>
        </w:pPr>
        <w:r>
          <w:fldChar w:fldCharType="begin"/>
        </w:r>
        <w:r>
          <w:instrText xml:space="preserve"> PAGE   \* MERGEFORMAT </w:instrText>
        </w:r>
        <w:r>
          <w:fldChar w:fldCharType="separate"/>
        </w:r>
        <w:r w:rsidR="00FC3CC6">
          <w:rPr>
            <w:noProof/>
          </w:rPr>
          <w:t>3</w:t>
        </w:r>
        <w:r>
          <w:rPr>
            <w:noProof/>
          </w:rPr>
          <w:fldChar w:fldCharType="end"/>
        </w:r>
      </w:p>
    </w:sdtContent>
  </w:sdt>
  <w:p w14:paraId="35172B54" w14:textId="235DD8EE"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A052EF">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2BE7" w14:textId="77777777" w:rsidR="00D567A6" w:rsidRDefault="00D567A6" w:rsidP="009A2D37">
      <w:pPr>
        <w:spacing w:after="0" w:line="240" w:lineRule="auto"/>
      </w:pPr>
      <w:r>
        <w:separator/>
      </w:r>
    </w:p>
  </w:footnote>
  <w:footnote w:type="continuationSeparator" w:id="0">
    <w:p w14:paraId="4D9E4EE5" w14:textId="77777777" w:rsidR="00D567A6" w:rsidRDefault="00D567A6" w:rsidP="009A2D37">
      <w:pPr>
        <w:spacing w:after="0" w:line="240" w:lineRule="auto"/>
      </w:pPr>
      <w:r>
        <w:continuationSeparator/>
      </w:r>
    </w:p>
  </w:footnote>
  <w:footnote w:type="continuationNotice" w:id="1">
    <w:p w14:paraId="7F59D73A" w14:textId="77777777" w:rsidR="00D567A6" w:rsidRDefault="00D567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12070"/>
    <w:multiLevelType w:val="hybridMultilevel"/>
    <w:tmpl w:val="B504C960"/>
    <w:lvl w:ilvl="0" w:tplc="2C7E33DE">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105B29F0"/>
    <w:multiLevelType w:val="hybridMultilevel"/>
    <w:tmpl w:val="DF404B6A"/>
    <w:lvl w:ilvl="0" w:tplc="908E03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8" w15:restartNumberingAfterBreak="0">
    <w:nsid w:val="1C436878"/>
    <w:multiLevelType w:val="hybridMultilevel"/>
    <w:tmpl w:val="F05C9F94"/>
    <w:lvl w:ilvl="0" w:tplc="0EA2C5D2">
      <w:start w:val="1"/>
      <w:numFmt w:val="decimal"/>
      <w:lvlText w:val="%1)"/>
      <w:lvlJc w:val="left"/>
      <w:pPr>
        <w:ind w:left="987" w:hanging="360"/>
      </w:pPr>
      <w:rPr>
        <w:rFonts w:hint="default"/>
      </w:rPr>
    </w:lvl>
    <w:lvl w:ilvl="1" w:tplc="93A4678E">
      <w:start w:val="1"/>
      <w:numFmt w:val="lowerLetter"/>
      <w:lvlText w:val="%2."/>
      <w:lvlJc w:val="left"/>
      <w:pPr>
        <w:ind w:left="1707" w:hanging="360"/>
      </w:pPr>
      <w:rPr>
        <w:rFonts w:hint="default"/>
      </w:r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9"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69F4ADC"/>
    <w:multiLevelType w:val="hybridMultilevel"/>
    <w:tmpl w:val="5BFEA18E"/>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2E5F35CC"/>
    <w:multiLevelType w:val="hybridMultilevel"/>
    <w:tmpl w:val="0FF8FF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F953332"/>
    <w:multiLevelType w:val="hybridMultilevel"/>
    <w:tmpl w:val="63DA00B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F6C5366"/>
    <w:multiLevelType w:val="hybridMultilevel"/>
    <w:tmpl w:val="5FFA764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409F525E"/>
    <w:multiLevelType w:val="hybridMultilevel"/>
    <w:tmpl w:val="1B60AFAA"/>
    <w:lvl w:ilvl="0" w:tplc="A078C3B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ADA2066"/>
    <w:multiLevelType w:val="hybridMultilevel"/>
    <w:tmpl w:val="4822B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2" w15:restartNumberingAfterBreak="0">
    <w:nsid w:val="602A6F90"/>
    <w:multiLevelType w:val="hybridMultilevel"/>
    <w:tmpl w:val="6590C420"/>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74DC7DA6"/>
    <w:multiLevelType w:val="hybridMultilevel"/>
    <w:tmpl w:val="231C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D3611"/>
    <w:multiLevelType w:val="hybridMultilevel"/>
    <w:tmpl w:val="170A33C8"/>
    <w:lvl w:ilvl="0" w:tplc="B0BC9CB4">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65275461">
    <w:abstractNumId w:val="10"/>
  </w:num>
  <w:num w:numId="2" w16cid:durableId="528833533">
    <w:abstractNumId w:val="0"/>
  </w:num>
  <w:num w:numId="3" w16cid:durableId="508062530">
    <w:abstractNumId w:val="15"/>
  </w:num>
  <w:num w:numId="4" w16cid:durableId="744179984">
    <w:abstractNumId w:val="3"/>
  </w:num>
  <w:num w:numId="5" w16cid:durableId="2044015944">
    <w:abstractNumId w:val="28"/>
  </w:num>
  <w:num w:numId="6" w16cid:durableId="954676434">
    <w:abstractNumId w:val="26"/>
  </w:num>
  <w:num w:numId="7" w16cid:durableId="1954901467">
    <w:abstractNumId w:val="38"/>
  </w:num>
  <w:num w:numId="8" w16cid:durableId="946735761">
    <w:abstractNumId w:val="27"/>
  </w:num>
  <w:num w:numId="9" w16cid:durableId="1373846146">
    <w:abstractNumId w:val="16"/>
  </w:num>
  <w:num w:numId="10" w16cid:durableId="475218306">
    <w:abstractNumId w:val="31"/>
  </w:num>
  <w:num w:numId="11" w16cid:durableId="911936544">
    <w:abstractNumId w:val="19"/>
  </w:num>
  <w:num w:numId="12" w16cid:durableId="1409155116">
    <w:abstractNumId w:val="39"/>
  </w:num>
  <w:num w:numId="13" w16cid:durableId="1909924451">
    <w:abstractNumId w:val="11"/>
  </w:num>
  <w:num w:numId="14" w16cid:durableId="2066709358">
    <w:abstractNumId w:val="23"/>
  </w:num>
  <w:num w:numId="15" w16cid:durableId="709189047">
    <w:abstractNumId w:val="24"/>
  </w:num>
  <w:num w:numId="16" w16cid:durableId="1643727095">
    <w:abstractNumId w:val="30"/>
  </w:num>
  <w:num w:numId="17" w16cid:durableId="1547793365">
    <w:abstractNumId w:val="35"/>
  </w:num>
  <w:num w:numId="18" w16cid:durableId="767624180">
    <w:abstractNumId w:val="21"/>
  </w:num>
  <w:num w:numId="19" w16cid:durableId="1887375341">
    <w:abstractNumId w:val="2"/>
  </w:num>
  <w:num w:numId="20" w16cid:durableId="1730690113">
    <w:abstractNumId w:val="33"/>
  </w:num>
  <w:num w:numId="21" w16cid:durableId="749353227">
    <w:abstractNumId w:val="20"/>
  </w:num>
  <w:num w:numId="22" w16cid:durableId="47339088">
    <w:abstractNumId w:val="5"/>
  </w:num>
  <w:num w:numId="23" w16cid:durableId="1414936711">
    <w:abstractNumId w:val="7"/>
  </w:num>
  <w:num w:numId="24" w16cid:durableId="1807813469">
    <w:abstractNumId w:val="34"/>
  </w:num>
  <w:num w:numId="25" w16cid:durableId="1192375506">
    <w:abstractNumId w:val="4"/>
  </w:num>
  <w:num w:numId="26" w16cid:durableId="1718580514">
    <w:abstractNumId w:val="9"/>
  </w:num>
  <w:num w:numId="27" w16cid:durableId="1715883963">
    <w:abstractNumId w:val="40"/>
  </w:num>
  <w:num w:numId="28" w16cid:durableId="37052773">
    <w:abstractNumId w:val="25"/>
  </w:num>
  <w:num w:numId="29" w16cid:durableId="723455856">
    <w:abstractNumId w:val="22"/>
  </w:num>
  <w:num w:numId="30" w16cid:durableId="1907951635">
    <w:abstractNumId w:val="17"/>
  </w:num>
  <w:num w:numId="31" w16cid:durableId="573126119">
    <w:abstractNumId w:val="12"/>
  </w:num>
  <w:num w:numId="32" w16cid:durableId="173225538">
    <w:abstractNumId w:val="36"/>
  </w:num>
  <w:num w:numId="33" w16cid:durableId="1990473926">
    <w:abstractNumId w:val="13"/>
  </w:num>
  <w:num w:numId="34" w16cid:durableId="2067600844">
    <w:abstractNumId w:val="1"/>
  </w:num>
  <w:num w:numId="35" w16cid:durableId="820198494">
    <w:abstractNumId w:val="29"/>
  </w:num>
  <w:num w:numId="36" w16cid:durableId="1838573569">
    <w:abstractNumId w:val="37"/>
  </w:num>
  <w:num w:numId="37" w16cid:durableId="1758868374">
    <w:abstractNumId w:val="18"/>
  </w:num>
  <w:num w:numId="38" w16cid:durableId="1188522385">
    <w:abstractNumId w:val="32"/>
  </w:num>
  <w:num w:numId="39" w16cid:durableId="2063285784">
    <w:abstractNumId w:val="14"/>
  </w:num>
  <w:num w:numId="40" w16cid:durableId="1897205359">
    <w:abstractNumId w:val="8"/>
  </w:num>
  <w:num w:numId="41" w16cid:durableId="3692589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1MDMwMTQwNjW3NDRX0lEKTi0uzszPAykwqgUAsbDG7SwAAAA="/>
  </w:docVars>
  <w:rsids>
    <w:rsidRoot w:val="00FE187B"/>
    <w:rsid w:val="00000C8C"/>
    <w:rsid w:val="000017F2"/>
    <w:rsid w:val="0000456B"/>
    <w:rsid w:val="00005661"/>
    <w:rsid w:val="000107AA"/>
    <w:rsid w:val="00010A16"/>
    <w:rsid w:val="0001243F"/>
    <w:rsid w:val="00021EA0"/>
    <w:rsid w:val="00025992"/>
    <w:rsid w:val="00027937"/>
    <w:rsid w:val="00030C9E"/>
    <w:rsid w:val="00031E67"/>
    <w:rsid w:val="000408CC"/>
    <w:rsid w:val="00044F7E"/>
    <w:rsid w:val="00045373"/>
    <w:rsid w:val="0004639E"/>
    <w:rsid w:val="00063A2F"/>
    <w:rsid w:val="000678D3"/>
    <w:rsid w:val="0007283C"/>
    <w:rsid w:val="00072B11"/>
    <w:rsid w:val="000851A9"/>
    <w:rsid w:val="00094810"/>
    <w:rsid w:val="00096DA4"/>
    <w:rsid w:val="000C0294"/>
    <w:rsid w:val="000C7A1C"/>
    <w:rsid w:val="000D2A8A"/>
    <w:rsid w:val="000D32AC"/>
    <w:rsid w:val="000E0CF7"/>
    <w:rsid w:val="000E20C1"/>
    <w:rsid w:val="000E3B73"/>
    <w:rsid w:val="000F6C56"/>
    <w:rsid w:val="000F7FBF"/>
    <w:rsid w:val="00106BE5"/>
    <w:rsid w:val="00110947"/>
    <w:rsid w:val="001112B2"/>
    <w:rsid w:val="00111906"/>
    <w:rsid w:val="00111CB3"/>
    <w:rsid w:val="00117577"/>
    <w:rsid w:val="00117793"/>
    <w:rsid w:val="001206E4"/>
    <w:rsid w:val="001214D3"/>
    <w:rsid w:val="00121BFC"/>
    <w:rsid w:val="00123E8A"/>
    <w:rsid w:val="001402AD"/>
    <w:rsid w:val="001540CE"/>
    <w:rsid w:val="0015717B"/>
    <w:rsid w:val="00157ACA"/>
    <w:rsid w:val="00160427"/>
    <w:rsid w:val="00162D46"/>
    <w:rsid w:val="00164ED5"/>
    <w:rsid w:val="00172793"/>
    <w:rsid w:val="00180558"/>
    <w:rsid w:val="001811E5"/>
    <w:rsid w:val="00183B34"/>
    <w:rsid w:val="00185F46"/>
    <w:rsid w:val="00194316"/>
    <w:rsid w:val="00196C6A"/>
    <w:rsid w:val="0019787E"/>
    <w:rsid w:val="001A425B"/>
    <w:rsid w:val="001B1B28"/>
    <w:rsid w:val="001B27FB"/>
    <w:rsid w:val="001C4A85"/>
    <w:rsid w:val="001C5443"/>
    <w:rsid w:val="001D0C7D"/>
    <w:rsid w:val="001D1F2D"/>
    <w:rsid w:val="001D2314"/>
    <w:rsid w:val="001D2D8B"/>
    <w:rsid w:val="001D6398"/>
    <w:rsid w:val="001E1F45"/>
    <w:rsid w:val="001E62C1"/>
    <w:rsid w:val="001F0779"/>
    <w:rsid w:val="001F3C3E"/>
    <w:rsid w:val="001F49D6"/>
    <w:rsid w:val="00201C5F"/>
    <w:rsid w:val="0020243A"/>
    <w:rsid w:val="002119E5"/>
    <w:rsid w:val="0021578E"/>
    <w:rsid w:val="00225086"/>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97C0E"/>
    <w:rsid w:val="002A0C18"/>
    <w:rsid w:val="002A219B"/>
    <w:rsid w:val="002A22DB"/>
    <w:rsid w:val="002B20F5"/>
    <w:rsid w:val="002B2A1A"/>
    <w:rsid w:val="002B71F2"/>
    <w:rsid w:val="002E71C0"/>
    <w:rsid w:val="002F05F4"/>
    <w:rsid w:val="002F0CE4"/>
    <w:rsid w:val="002F23EF"/>
    <w:rsid w:val="002F2626"/>
    <w:rsid w:val="00300D48"/>
    <w:rsid w:val="00302082"/>
    <w:rsid w:val="00302848"/>
    <w:rsid w:val="00306620"/>
    <w:rsid w:val="003078C9"/>
    <w:rsid w:val="003262B9"/>
    <w:rsid w:val="00327F58"/>
    <w:rsid w:val="00334A02"/>
    <w:rsid w:val="00335875"/>
    <w:rsid w:val="00335FBE"/>
    <w:rsid w:val="003363CD"/>
    <w:rsid w:val="00351D4F"/>
    <w:rsid w:val="00352D8E"/>
    <w:rsid w:val="00356B68"/>
    <w:rsid w:val="0035702D"/>
    <w:rsid w:val="003604D4"/>
    <w:rsid w:val="00362537"/>
    <w:rsid w:val="003627B0"/>
    <w:rsid w:val="003641B7"/>
    <w:rsid w:val="00373EE0"/>
    <w:rsid w:val="00374DF6"/>
    <w:rsid w:val="003759B0"/>
    <w:rsid w:val="00375F84"/>
    <w:rsid w:val="00376E34"/>
    <w:rsid w:val="003804E7"/>
    <w:rsid w:val="003934D2"/>
    <w:rsid w:val="003968EB"/>
    <w:rsid w:val="003973A1"/>
    <w:rsid w:val="003A5DA0"/>
    <w:rsid w:val="003A5EEB"/>
    <w:rsid w:val="003A6143"/>
    <w:rsid w:val="003B0DBA"/>
    <w:rsid w:val="003B35F4"/>
    <w:rsid w:val="003B4FC5"/>
    <w:rsid w:val="003B7C76"/>
    <w:rsid w:val="003C3CEC"/>
    <w:rsid w:val="003C3E0C"/>
    <w:rsid w:val="003C776B"/>
    <w:rsid w:val="003D268E"/>
    <w:rsid w:val="003D4A1C"/>
    <w:rsid w:val="003D6E86"/>
    <w:rsid w:val="003D7AA0"/>
    <w:rsid w:val="003E1FF7"/>
    <w:rsid w:val="003E311D"/>
    <w:rsid w:val="003E446E"/>
    <w:rsid w:val="003F4470"/>
    <w:rsid w:val="003F5A04"/>
    <w:rsid w:val="003F67CD"/>
    <w:rsid w:val="00402ED7"/>
    <w:rsid w:val="004048E6"/>
    <w:rsid w:val="004114F8"/>
    <w:rsid w:val="00411689"/>
    <w:rsid w:val="00422B69"/>
    <w:rsid w:val="00423D86"/>
    <w:rsid w:val="00424C90"/>
    <w:rsid w:val="004349FD"/>
    <w:rsid w:val="00436BE9"/>
    <w:rsid w:val="00441E76"/>
    <w:rsid w:val="00443647"/>
    <w:rsid w:val="004443DA"/>
    <w:rsid w:val="00446A75"/>
    <w:rsid w:val="004474A2"/>
    <w:rsid w:val="00455DB5"/>
    <w:rsid w:val="00460925"/>
    <w:rsid w:val="00462E1E"/>
    <w:rsid w:val="00471C6C"/>
    <w:rsid w:val="00472023"/>
    <w:rsid w:val="00484745"/>
    <w:rsid w:val="004857DC"/>
    <w:rsid w:val="004868F9"/>
    <w:rsid w:val="00486993"/>
    <w:rsid w:val="00492DA4"/>
    <w:rsid w:val="00496AA3"/>
    <w:rsid w:val="00497C98"/>
    <w:rsid w:val="004A39D7"/>
    <w:rsid w:val="004A55FA"/>
    <w:rsid w:val="004B5D03"/>
    <w:rsid w:val="004C1EC4"/>
    <w:rsid w:val="004D035C"/>
    <w:rsid w:val="004F3C18"/>
    <w:rsid w:val="004F4328"/>
    <w:rsid w:val="004F650F"/>
    <w:rsid w:val="005005E4"/>
    <w:rsid w:val="00513689"/>
    <w:rsid w:val="0051375A"/>
    <w:rsid w:val="00521097"/>
    <w:rsid w:val="0053059E"/>
    <w:rsid w:val="00532F6F"/>
    <w:rsid w:val="00533663"/>
    <w:rsid w:val="005460C2"/>
    <w:rsid w:val="005526FB"/>
    <w:rsid w:val="0055280A"/>
    <w:rsid w:val="005548E1"/>
    <w:rsid w:val="00554AE9"/>
    <w:rsid w:val="0055585D"/>
    <w:rsid w:val="0056127B"/>
    <w:rsid w:val="00561D26"/>
    <w:rsid w:val="00564738"/>
    <w:rsid w:val="00567CB6"/>
    <w:rsid w:val="00567EC9"/>
    <w:rsid w:val="00571630"/>
    <w:rsid w:val="005759F4"/>
    <w:rsid w:val="005779D1"/>
    <w:rsid w:val="0058041A"/>
    <w:rsid w:val="0058743D"/>
    <w:rsid w:val="00587BF7"/>
    <w:rsid w:val="00591401"/>
    <w:rsid w:val="00592034"/>
    <w:rsid w:val="0059477B"/>
    <w:rsid w:val="00596884"/>
    <w:rsid w:val="005A14B5"/>
    <w:rsid w:val="005B364D"/>
    <w:rsid w:val="005B5A98"/>
    <w:rsid w:val="005C1A4F"/>
    <w:rsid w:val="005C27D7"/>
    <w:rsid w:val="005D087C"/>
    <w:rsid w:val="005D7CD0"/>
    <w:rsid w:val="005E1A3A"/>
    <w:rsid w:val="005E6ADC"/>
    <w:rsid w:val="005E6D10"/>
    <w:rsid w:val="005E6D38"/>
    <w:rsid w:val="005E7730"/>
    <w:rsid w:val="005E7B3F"/>
    <w:rsid w:val="005F0105"/>
    <w:rsid w:val="005F040F"/>
    <w:rsid w:val="005F14D6"/>
    <w:rsid w:val="005F2C42"/>
    <w:rsid w:val="00602EBB"/>
    <w:rsid w:val="006043FC"/>
    <w:rsid w:val="006050CF"/>
    <w:rsid w:val="0060721F"/>
    <w:rsid w:val="00612B9D"/>
    <w:rsid w:val="006253AA"/>
    <w:rsid w:val="00626023"/>
    <w:rsid w:val="006300BC"/>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86A7E"/>
    <w:rsid w:val="00694309"/>
    <w:rsid w:val="00695285"/>
    <w:rsid w:val="00696FF5"/>
    <w:rsid w:val="006A6BB4"/>
    <w:rsid w:val="006A7FB0"/>
    <w:rsid w:val="006B4B5B"/>
    <w:rsid w:val="006C1DB9"/>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4EE5"/>
    <w:rsid w:val="00720270"/>
    <w:rsid w:val="0072075F"/>
    <w:rsid w:val="00724362"/>
    <w:rsid w:val="00727780"/>
    <w:rsid w:val="00731651"/>
    <w:rsid w:val="0073792C"/>
    <w:rsid w:val="00754069"/>
    <w:rsid w:val="00766287"/>
    <w:rsid w:val="007667DF"/>
    <w:rsid w:val="0077080B"/>
    <w:rsid w:val="00773AC9"/>
    <w:rsid w:val="00787070"/>
    <w:rsid w:val="007906FD"/>
    <w:rsid w:val="007950E0"/>
    <w:rsid w:val="0079622A"/>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74B4"/>
    <w:rsid w:val="007D5FDC"/>
    <w:rsid w:val="007E3412"/>
    <w:rsid w:val="007E439B"/>
    <w:rsid w:val="007F393D"/>
    <w:rsid w:val="007F67CB"/>
    <w:rsid w:val="008002E1"/>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875DE"/>
    <w:rsid w:val="0089148D"/>
    <w:rsid w:val="00891580"/>
    <w:rsid w:val="00891E0D"/>
    <w:rsid w:val="008A0F36"/>
    <w:rsid w:val="008B2543"/>
    <w:rsid w:val="008B4B6E"/>
    <w:rsid w:val="008C2291"/>
    <w:rsid w:val="008D7401"/>
    <w:rsid w:val="00903DF6"/>
    <w:rsid w:val="00921CF6"/>
    <w:rsid w:val="00922E9E"/>
    <w:rsid w:val="00924EF0"/>
    <w:rsid w:val="00933E76"/>
    <w:rsid w:val="00934D7B"/>
    <w:rsid w:val="00947180"/>
    <w:rsid w:val="00947C71"/>
    <w:rsid w:val="0095061F"/>
    <w:rsid w:val="009567BE"/>
    <w:rsid w:val="00965E78"/>
    <w:rsid w:val="009676FA"/>
    <w:rsid w:val="009679E0"/>
    <w:rsid w:val="00977632"/>
    <w:rsid w:val="00982A8E"/>
    <w:rsid w:val="00987236"/>
    <w:rsid w:val="00987DB4"/>
    <w:rsid w:val="0099029D"/>
    <w:rsid w:val="00996204"/>
    <w:rsid w:val="009970B1"/>
    <w:rsid w:val="009A26CB"/>
    <w:rsid w:val="009A2BC2"/>
    <w:rsid w:val="009A2D37"/>
    <w:rsid w:val="009A61D0"/>
    <w:rsid w:val="009A751B"/>
    <w:rsid w:val="009A7587"/>
    <w:rsid w:val="009B0A69"/>
    <w:rsid w:val="009B0E56"/>
    <w:rsid w:val="009C2474"/>
    <w:rsid w:val="009C7082"/>
    <w:rsid w:val="009D0006"/>
    <w:rsid w:val="009D027C"/>
    <w:rsid w:val="009D068C"/>
    <w:rsid w:val="009D2AEE"/>
    <w:rsid w:val="009D3314"/>
    <w:rsid w:val="009F3A2A"/>
    <w:rsid w:val="009F58E9"/>
    <w:rsid w:val="009F731F"/>
    <w:rsid w:val="009F7D33"/>
    <w:rsid w:val="00A021FE"/>
    <w:rsid w:val="00A052EF"/>
    <w:rsid w:val="00A1270E"/>
    <w:rsid w:val="00A15342"/>
    <w:rsid w:val="00A178C1"/>
    <w:rsid w:val="00A24ED0"/>
    <w:rsid w:val="00A3007E"/>
    <w:rsid w:val="00A32048"/>
    <w:rsid w:val="00A3205B"/>
    <w:rsid w:val="00A41F06"/>
    <w:rsid w:val="00A442D1"/>
    <w:rsid w:val="00A45A5B"/>
    <w:rsid w:val="00A50FD4"/>
    <w:rsid w:val="00A52DB4"/>
    <w:rsid w:val="00A5680F"/>
    <w:rsid w:val="00A618E1"/>
    <w:rsid w:val="00A629B9"/>
    <w:rsid w:val="00A70C20"/>
    <w:rsid w:val="00A71BFD"/>
    <w:rsid w:val="00A74292"/>
    <w:rsid w:val="00A74465"/>
    <w:rsid w:val="00A7526A"/>
    <w:rsid w:val="00A776DE"/>
    <w:rsid w:val="00A80640"/>
    <w:rsid w:val="00A87FFD"/>
    <w:rsid w:val="00A9202D"/>
    <w:rsid w:val="00A97038"/>
    <w:rsid w:val="00AA3C15"/>
    <w:rsid w:val="00AA6330"/>
    <w:rsid w:val="00AB6D9A"/>
    <w:rsid w:val="00AC7501"/>
    <w:rsid w:val="00AD665F"/>
    <w:rsid w:val="00AD748B"/>
    <w:rsid w:val="00AE4865"/>
    <w:rsid w:val="00AE6918"/>
    <w:rsid w:val="00AF50EE"/>
    <w:rsid w:val="00B0591D"/>
    <w:rsid w:val="00B118DD"/>
    <w:rsid w:val="00B13402"/>
    <w:rsid w:val="00B14BC2"/>
    <w:rsid w:val="00B17024"/>
    <w:rsid w:val="00B17CD2"/>
    <w:rsid w:val="00B213D2"/>
    <w:rsid w:val="00B248BA"/>
    <w:rsid w:val="00B24B56"/>
    <w:rsid w:val="00B30E07"/>
    <w:rsid w:val="00B34ADD"/>
    <w:rsid w:val="00B45CF0"/>
    <w:rsid w:val="00B51599"/>
    <w:rsid w:val="00B52FF5"/>
    <w:rsid w:val="00B5498B"/>
    <w:rsid w:val="00B57219"/>
    <w:rsid w:val="00B577A7"/>
    <w:rsid w:val="00B6006F"/>
    <w:rsid w:val="00B658A3"/>
    <w:rsid w:val="00B67694"/>
    <w:rsid w:val="00B71A6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148"/>
    <w:rsid w:val="00CB11CE"/>
    <w:rsid w:val="00CB34E8"/>
    <w:rsid w:val="00CC25A2"/>
    <w:rsid w:val="00CC6C8F"/>
    <w:rsid w:val="00CD257B"/>
    <w:rsid w:val="00CD5E2F"/>
    <w:rsid w:val="00CD7F07"/>
    <w:rsid w:val="00CE04F3"/>
    <w:rsid w:val="00CE12D8"/>
    <w:rsid w:val="00CE4291"/>
    <w:rsid w:val="00CE4574"/>
    <w:rsid w:val="00CE70E6"/>
    <w:rsid w:val="00CE7BDF"/>
    <w:rsid w:val="00CF2E1E"/>
    <w:rsid w:val="00CF599B"/>
    <w:rsid w:val="00D02E99"/>
    <w:rsid w:val="00D07E0B"/>
    <w:rsid w:val="00D13357"/>
    <w:rsid w:val="00D13A13"/>
    <w:rsid w:val="00D21910"/>
    <w:rsid w:val="00D2689A"/>
    <w:rsid w:val="00D268A5"/>
    <w:rsid w:val="00D3102D"/>
    <w:rsid w:val="00D34D87"/>
    <w:rsid w:val="00D567A6"/>
    <w:rsid w:val="00D65506"/>
    <w:rsid w:val="00D773CF"/>
    <w:rsid w:val="00D83563"/>
    <w:rsid w:val="00D8448F"/>
    <w:rsid w:val="00D9731D"/>
    <w:rsid w:val="00DA64B6"/>
    <w:rsid w:val="00DB5C9D"/>
    <w:rsid w:val="00DD02E6"/>
    <w:rsid w:val="00DF58EA"/>
    <w:rsid w:val="00DF665B"/>
    <w:rsid w:val="00E0152A"/>
    <w:rsid w:val="00E03394"/>
    <w:rsid w:val="00E04DB0"/>
    <w:rsid w:val="00E066E5"/>
    <w:rsid w:val="00E22F03"/>
    <w:rsid w:val="00E233C1"/>
    <w:rsid w:val="00E346EB"/>
    <w:rsid w:val="00E51404"/>
    <w:rsid w:val="00E574C9"/>
    <w:rsid w:val="00E610DE"/>
    <w:rsid w:val="00E65A33"/>
    <w:rsid w:val="00E66167"/>
    <w:rsid w:val="00E71F2F"/>
    <w:rsid w:val="00E77786"/>
    <w:rsid w:val="00E806FB"/>
    <w:rsid w:val="00E84B63"/>
    <w:rsid w:val="00E974A7"/>
    <w:rsid w:val="00EB1C2D"/>
    <w:rsid w:val="00EC1810"/>
    <w:rsid w:val="00EC3FCC"/>
    <w:rsid w:val="00EC7AE3"/>
    <w:rsid w:val="00ED32FF"/>
    <w:rsid w:val="00EE090C"/>
    <w:rsid w:val="00EF039B"/>
    <w:rsid w:val="00EF1866"/>
    <w:rsid w:val="00EF4933"/>
    <w:rsid w:val="00EF5044"/>
    <w:rsid w:val="00F01956"/>
    <w:rsid w:val="00F031AB"/>
    <w:rsid w:val="00F116CE"/>
    <w:rsid w:val="00F176DE"/>
    <w:rsid w:val="00F20B27"/>
    <w:rsid w:val="00F21C47"/>
    <w:rsid w:val="00F244E2"/>
    <w:rsid w:val="00F340DE"/>
    <w:rsid w:val="00F43542"/>
    <w:rsid w:val="00F44BAB"/>
    <w:rsid w:val="00F527CB"/>
    <w:rsid w:val="00F562AA"/>
    <w:rsid w:val="00F615F4"/>
    <w:rsid w:val="00F66975"/>
    <w:rsid w:val="00F7105A"/>
    <w:rsid w:val="00F712EB"/>
    <w:rsid w:val="00F7710E"/>
    <w:rsid w:val="00F77676"/>
    <w:rsid w:val="00F77F7E"/>
    <w:rsid w:val="00F8197C"/>
    <w:rsid w:val="00F82B4E"/>
    <w:rsid w:val="00F83038"/>
    <w:rsid w:val="00F87559"/>
    <w:rsid w:val="00F96D71"/>
    <w:rsid w:val="00F97C9E"/>
    <w:rsid w:val="00FA20DE"/>
    <w:rsid w:val="00FA4EE8"/>
    <w:rsid w:val="00FB12CA"/>
    <w:rsid w:val="00FB36EC"/>
    <w:rsid w:val="00FB4E1B"/>
    <w:rsid w:val="00FC0291"/>
    <w:rsid w:val="00FC1C92"/>
    <w:rsid w:val="00FC3CC6"/>
    <w:rsid w:val="00FD333B"/>
    <w:rsid w:val="00FD689C"/>
    <w:rsid w:val="00FD705C"/>
    <w:rsid w:val="00FD777A"/>
    <w:rsid w:val="00FE187B"/>
    <w:rsid w:val="00FE260B"/>
    <w:rsid w:val="00FE5B29"/>
    <w:rsid w:val="00FE692E"/>
    <w:rsid w:val="00FF31CA"/>
    <w:rsid w:val="00FF3A97"/>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B577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 w:type="character" w:customStyle="1" w:styleId="apple-converted-space">
    <w:name w:val="apple-converted-space"/>
    <w:basedOn w:val="DefaultParagraphFont"/>
    <w:rsid w:val="00F615F4"/>
  </w:style>
  <w:style w:type="table" w:customStyle="1" w:styleId="TableGrid2">
    <w:name w:val="Table Grid2"/>
    <w:basedOn w:val="TableNormal"/>
    <w:next w:val="TableGrid"/>
    <w:uiPriority w:val="59"/>
    <w:rsid w:val="0059140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2D8B"/>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B577A7"/>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FB55E-8F95-4CE6-B1C8-169440BC4695}">
  <ds:schemaRefs>
    <ds:schemaRef ds:uri="http://schemas.openxmlformats.org/officeDocument/2006/bibliography"/>
  </ds:schemaRefs>
</ds:datastoreItem>
</file>

<file path=customXml/itemProps2.xml><?xml version="1.0" encoding="utf-8"?>
<ds:datastoreItem xmlns:ds="http://schemas.openxmlformats.org/officeDocument/2006/customXml" ds:itemID="{5E115CE2-F7E1-4B03-B617-BE07B284B148}">
  <ds:schemaRefs>
    <ds:schemaRef ds:uri="http://schemas.microsoft.com/sharepoint/v3/contenttype/forms"/>
  </ds:schemaRefs>
</ds:datastoreItem>
</file>

<file path=customXml/itemProps3.xml><?xml version="1.0" encoding="utf-8"?>
<ds:datastoreItem xmlns:ds="http://schemas.openxmlformats.org/officeDocument/2006/customXml" ds:itemID="{5149793B-2ED4-42CF-A66E-6210670C432F}">
  <ds:schemaRefs>
    <ds:schemaRef ds:uri="http://schemas.microsoft.com/office/2006/metadata/properties"/>
    <ds:schemaRef ds:uri="http://schemas.microsoft.com/office/infopath/2007/PartnerControls"/>
    <ds:schemaRef ds:uri="38c837cb-b56f-40c5-bbb0-effb01650ca7"/>
  </ds:schemaRefs>
</ds:datastoreItem>
</file>

<file path=customXml/itemProps4.xml><?xml version="1.0" encoding="utf-8"?>
<ds:datastoreItem xmlns:ds="http://schemas.openxmlformats.org/officeDocument/2006/customXml" ds:itemID="{573AAF42-C2CA-48F2-BEA9-68B95DC6743D}"/>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2</cp:revision>
  <cp:lastPrinted>2015-09-09T08:37:00Z</cp:lastPrinted>
  <dcterms:created xsi:type="dcterms:W3CDTF">2022-12-14T12:01:00Z</dcterms:created>
  <dcterms:modified xsi:type="dcterms:W3CDTF">2022-12-14T12:01:00Z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0e93fb1f-10dd-45c6-854d-95ec79f18bfa</vt:lpwstr>
  </property>
  <property fmtid="{D5CDD505-2E9C-101B-9397-08002B2CF9AE}" pid="4" name="Order">
    <vt:r8>61200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GrammarlyDocumentId">
    <vt:lpwstr>36300492854dba9ed77e73d2b6aa8f9abe4165e5ea9811dfd74260076d86d3b6</vt:lpwstr>
  </property>
</Properties>
</file>